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1D" w:rsidRDefault="00FD4C68">
      <w:r>
        <w:t>Hey everybody! Some information on the scavenger hunt:</w:t>
      </w:r>
    </w:p>
    <w:p w:rsidR="00FD4C68" w:rsidRDefault="00FD4C68" w:rsidP="00FD4C68">
      <w:pPr>
        <w:pStyle w:val="ListParagraph"/>
        <w:numPr>
          <w:ilvl w:val="0"/>
          <w:numId w:val="1"/>
        </w:numPr>
      </w:pPr>
      <w:r>
        <w:t xml:space="preserve">Everyone </w:t>
      </w:r>
      <w:r w:rsidR="0010599D">
        <w:t>s</w:t>
      </w:r>
      <w:r>
        <w:t>tart</w:t>
      </w:r>
      <w:r w:rsidR="0010599D">
        <w:t>s</w:t>
      </w:r>
      <w:r>
        <w:t xml:space="preserve"> at baldwinlib.org/hunt</w:t>
      </w:r>
    </w:p>
    <w:p w:rsidR="00FD4C68" w:rsidRDefault="00FD4C68" w:rsidP="00FD4C68">
      <w:pPr>
        <w:pStyle w:val="ListParagraph"/>
        <w:numPr>
          <w:ilvl w:val="0"/>
          <w:numId w:val="1"/>
        </w:numPr>
      </w:pPr>
      <w:r>
        <w:t>There is a button there that will jump them to the scavenger hunt website. They can start from anywhere in the building, but the first clue will direct them to the teen area.</w:t>
      </w:r>
    </w:p>
    <w:p w:rsidR="00F90C09" w:rsidRDefault="00F90C09" w:rsidP="00FD4C68">
      <w:pPr>
        <w:pStyle w:val="ListParagraph"/>
        <w:numPr>
          <w:ilvl w:val="0"/>
          <w:numId w:val="1"/>
        </w:numPr>
      </w:pPr>
      <w:r>
        <w:t>They are doing this on a browser on their phones.</w:t>
      </w:r>
      <w:bookmarkStart w:id="0" w:name="_GoBack"/>
      <w:bookmarkEnd w:id="0"/>
    </w:p>
    <w:p w:rsidR="00FD4C68" w:rsidRDefault="00FD4C68" w:rsidP="00FD4C68">
      <w:pPr>
        <w:pStyle w:val="ListParagraph"/>
        <w:numPr>
          <w:ilvl w:val="0"/>
          <w:numId w:val="1"/>
        </w:numPr>
      </w:pPr>
      <w:r>
        <w:t>Codes can be entered uppercase or lowercase</w:t>
      </w:r>
    </w:p>
    <w:p w:rsidR="00A70165" w:rsidRDefault="00A70165" w:rsidP="00FD4C68">
      <w:pPr>
        <w:pStyle w:val="ListParagraph"/>
        <w:numPr>
          <w:ilvl w:val="0"/>
          <w:numId w:val="1"/>
        </w:numPr>
      </w:pPr>
      <w:r>
        <w:t>There is a note at the beginning to ask questions if they get lost, but it really is self-explanatory. The clues should be simple to find, but perhaps some directional questions may arise.</w:t>
      </w:r>
      <w:r w:rsidR="0010599D">
        <w:t xml:space="preserve"> Youth will be free of these and circ may be asked where the Claudia Ireland Room and/or map is, but I pretty much spell it out for them.</w:t>
      </w:r>
    </w:p>
    <w:p w:rsidR="0010599D" w:rsidRDefault="0010599D" w:rsidP="001059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291"/>
        <w:gridCol w:w="1984"/>
        <w:gridCol w:w="675"/>
        <w:gridCol w:w="2676"/>
      </w:tblGrid>
      <w:tr w:rsidR="00586D2B" w:rsidTr="00586D2B">
        <w:tc>
          <w:tcPr>
            <w:tcW w:w="1738" w:type="dxa"/>
          </w:tcPr>
          <w:p w:rsidR="00FD4C68" w:rsidRDefault="00FD4C68" w:rsidP="00FD4C68">
            <w:pPr>
              <w:jc w:val="center"/>
            </w:pPr>
            <w:r>
              <w:t>Stop Number</w:t>
            </w:r>
          </w:p>
        </w:tc>
        <w:tc>
          <w:tcPr>
            <w:tcW w:w="2291" w:type="dxa"/>
          </w:tcPr>
          <w:p w:rsidR="00FD4C68" w:rsidRDefault="00FD4C68" w:rsidP="00FD4C68">
            <w:pPr>
              <w:jc w:val="center"/>
            </w:pPr>
            <w:r>
              <w:t>Stop Location</w:t>
            </w:r>
          </w:p>
        </w:tc>
        <w:tc>
          <w:tcPr>
            <w:tcW w:w="1996" w:type="dxa"/>
          </w:tcPr>
          <w:p w:rsidR="00FD4C68" w:rsidRDefault="00FD4C68" w:rsidP="00FD4C68">
            <w:pPr>
              <w:jc w:val="center"/>
            </w:pPr>
            <w:r>
              <w:t>Code Location</w:t>
            </w:r>
          </w:p>
        </w:tc>
        <w:tc>
          <w:tcPr>
            <w:tcW w:w="630" w:type="dxa"/>
          </w:tcPr>
          <w:p w:rsidR="00FD4C68" w:rsidRDefault="007B178B" w:rsidP="00FD4C68">
            <w:pPr>
              <w:jc w:val="center"/>
            </w:pPr>
            <w:r>
              <w:t>Code</w:t>
            </w:r>
          </w:p>
        </w:tc>
        <w:tc>
          <w:tcPr>
            <w:tcW w:w="2695" w:type="dxa"/>
          </w:tcPr>
          <w:p w:rsidR="00FD4C68" w:rsidRDefault="00FD4C68" w:rsidP="00FD4C68">
            <w:pPr>
              <w:jc w:val="center"/>
            </w:pPr>
            <w:r>
              <w:t>Activity</w:t>
            </w:r>
          </w:p>
        </w:tc>
      </w:tr>
      <w:tr w:rsidR="00586D2B" w:rsidTr="00586D2B">
        <w:tc>
          <w:tcPr>
            <w:tcW w:w="1738" w:type="dxa"/>
          </w:tcPr>
          <w:p w:rsidR="00FD4C68" w:rsidRDefault="007B178B" w:rsidP="00FD4C68">
            <w:r>
              <w:t>Intro page</w:t>
            </w:r>
          </w:p>
        </w:tc>
        <w:tc>
          <w:tcPr>
            <w:tcW w:w="2291" w:type="dxa"/>
          </w:tcPr>
          <w:p w:rsidR="00FD4C68" w:rsidRDefault="007B178B" w:rsidP="00FD4C68">
            <w:r>
              <w:t>N/A</w:t>
            </w:r>
          </w:p>
        </w:tc>
        <w:tc>
          <w:tcPr>
            <w:tcW w:w="1996" w:type="dxa"/>
          </w:tcPr>
          <w:p w:rsidR="00FD4C68" w:rsidRDefault="007B178B" w:rsidP="00FD4C68">
            <w:r>
              <w:t>N/A</w:t>
            </w:r>
          </w:p>
        </w:tc>
        <w:tc>
          <w:tcPr>
            <w:tcW w:w="630" w:type="dxa"/>
          </w:tcPr>
          <w:p w:rsidR="00FD4C68" w:rsidRDefault="007B178B" w:rsidP="00FD4C68">
            <w:r>
              <w:t>N/A</w:t>
            </w:r>
          </w:p>
        </w:tc>
        <w:tc>
          <w:tcPr>
            <w:tcW w:w="2695" w:type="dxa"/>
          </w:tcPr>
          <w:p w:rsidR="00FD4C68" w:rsidRDefault="007B178B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1</w:t>
            </w:r>
          </w:p>
        </w:tc>
        <w:tc>
          <w:tcPr>
            <w:tcW w:w="2291" w:type="dxa"/>
          </w:tcPr>
          <w:p w:rsidR="00FD4C68" w:rsidRDefault="007B178B" w:rsidP="00FD4C68">
            <w:r>
              <w:t>Teen Area</w:t>
            </w:r>
          </w:p>
        </w:tc>
        <w:tc>
          <w:tcPr>
            <w:tcW w:w="1996" w:type="dxa"/>
          </w:tcPr>
          <w:p w:rsidR="00FD4C68" w:rsidRDefault="007B178B" w:rsidP="00FD4C68">
            <w:r>
              <w:t>On the pillar</w:t>
            </w:r>
          </w:p>
        </w:tc>
        <w:tc>
          <w:tcPr>
            <w:tcW w:w="630" w:type="dxa"/>
          </w:tcPr>
          <w:p w:rsidR="00FD4C68" w:rsidRDefault="007B178B" w:rsidP="00FD4C68">
            <w:r>
              <w:t>A</w:t>
            </w:r>
          </w:p>
        </w:tc>
        <w:tc>
          <w:tcPr>
            <w:tcW w:w="2695" w:type="dxa"/>
          </w:tcPr>
          <w:p w:rsidR="00FD4C68" w:rsidRDefault="007B178B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2</w:t>
            </w:r>
          </w:p>
        </w:tc>
        <w:tc>
          <w:tcPr>
            <w:tcW w:w="2291" w:type="dxa"/>
          </w:tcPr>
          <w:p w:rsidR="00FD4C68" w:rsidRDefault="007B178B" w:rsidP="00FD4C68">
            <w:r>
              <w:t>Classic DVDs</w:t>
            </w:r>
          </w:p>
        </w:tc>
        <w:tc>
          <w:tcPr>
            <w:tcW w:w="1996" w:type="dxa"/>
          </w:tcPr>
          <w:p w:rsidR="00FD4C68" w:rsidRDefault="007B178B" w:rsidP="00D965B5">
            <w:r>
              <w:t>In</w:t>
            </w:r>
            <w:r w:rsidR="00903DD0">
              <w:t>side</w:t>
            </w:r>
            <w:r w:rsidR="00D965B5">
              <w:t xml:space="preserve"> the fake DVD case</w:t>
            </w:r>
            <w:r>
              <w:t>s I made, title</w:t>
            </w:r>
            <w:r w:rsidR="00903DD0">
              <w:t>d</w:t>
            </w:r>
            <w:r>
              <w:t xml:space="preserve"> ‘Sack Lunch’ in Classic DVDs</w:t>
            </w:r>
          </w:p>
        </w:tc>
        <w:tc>
          <w:tcPr>
            <w:tcW w:w="630" w:type="dxa"/>
          </w:tcPr>
          <w:p w:rsidR="00FD4C68" w:rsidRDefault="003149E0" w:rsidP="00FD4C68">
            <w:r>
              <w:t>H</w:t>
            </w:r>
          </w:p>
        </w:tc>
        <w:tc>
          <w:tcPr>
            <w:tcW w:w="2695" w:type="dxa"/>
          </w:tcPr>
          <w:p w:rsidR="00FD4C68" w:rsidRDefault="00B02850" w:rsidP="00FD4C68">
            <w:r>
              <w:t>Find Sack Lunch DVD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3</w:t>
            </w:r>
          </w:p>
        </w:tc>
        <w:tc>
          <w:tcPr>
            <w:tcW w:w="2291" w:type="dxa"/>
          </w:tcPr>
          <w:p w:rsidR="00FD4C68" w:rsidRDefault="007B178B" w:rsidP="00FD4C68">
            <w:r>
              <w:t>Adult Reference Desk</w:t>
            </w:r>
          </w:p>
        </w:tc>
        <w:tc>
          <w:tcPr>
            <w:tcW w:w="1996" w:type="dxa"/>
          </w:tcPr>
          <w:p w:rsidR="00FD4C68" w:rsidRDefault="007B178B" w:rsidP="00FD4C68">
            <w:r>
              <w:t>They must ask the librarians for the code</w:t>
            </w:r>
          </w:p>
        </w:tc>
        <w:tc>
          <w:tcPr>
            <w:tcW w:w="630" w:type="dxa"/>
          </w:tcPr>
          <w:p w:rsidR="00FD4C68" w:rsidRDefault="007B178B" w:rsidP="00FD4C68">
            <w:r>
              <w:t>T</w:t>
            </w:r>
          </w:p>
        </w:tc>
        <w:tc>
          <w:tcPr>
            <w:tcW w:w="2695" w:type="dxa"/>
          </w:tcPr>
          <w:p w:rsidR="00FD4C68" w:rsidRDefault="00F62578" w:rsidP="00FD4C68">
            <w:r>
              <w:t>Talk to two friendly librarians who probably won’t be too busy because of this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4</w:t>
            </w:r>
          </w:p>
        </w:tc>
        <w:tc>
          <w:tcPr>
            <w:tcW w:w="2291" w:type="dxa"/>
          </w:tcPr>
          <w:p w:rsidR="00FD4C68" w:rsidRDefault="007B178B" w:rsidP="00FD4C68">
            <w:r>
              <w:t>400s in Nonfiction</w:t>
            </w:r>
          </w:p>
        </w:tc>
        <w:tc>
          <w:tcPr>
            <w:tcW w:w="1996" w:type="dxa"/>
          </w:tcPr>
          <w:p w:rsidR="00FD4C68" w:rsidRDefault="007B178B" w:rsidP="00FD4C68">
            <w:r>
              <w:t>On top of the short shelf housing the 400s</w:t>
            </w:r>
          </w:p>
        </w:tc>
        <w:tc>
          <w:tcPr>
            <w:tcW w:w="630" w:type="dxa"/>
          </w:tcPr>
          <w:p w:rsidR="00FD4C68" w:rsidRDefault="003149E0" w:rsidP="00FD4C68">
            <w:r>
              <w:t>X</w:t>
            </w:r>
          </w:p>
        </w:tc>
        <w:tc>
          <w:tcPr>
            <w:tcW w:w="2695" w:type="dxa"/>
          </w:tcPr>
          <w:p w:rsidR="00FD4C68" w:rsidRDefault="007B178B" w:rsidP="00FD4C68">
            <w:r>
              <w:t xml:space="preserve">Add an item or two to the To Do area, </w:t>
            </w:r>
            <w:hyperlink r:id="rId5" w:history="1">
              <w:r w:rsidRPr="007B178B">
                <w:rPr>
                  <w:rStyle w:val="Hyperlink"/>
                </w:rPr>
                <w:t>idea taken from here</w:t>
              </w:r>
            </w:hyperlink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5</w:t>
            </w:r>
          </w:p>
        </w:tc>
        <w:tc>
          <w:tcPr>
            <w:tcW w:w="2291" w:type="dxa"/>
          </w:tcPr>
          <w:p w:rsidR="00FD4C68" w:rsidRDefault="007B178B" w:rsidP="00FD4C68">
            <w:r>
              <w:t>The end of the Green Brick Road pathway</w:t>
            </w:r>
          </w:p>
        </w:tc>
        <w:tc>
          <w:tcPr>
            <w:tcW w:w="1996" w:type="dxa"/>
          </w:tcPr>
          <w:p w:rsidR="00FD4C68" w:rsidRDefault="007B178B" w:rsidP="00FD4C68">
            <w:r>
              <w:t>Pillar at the end of the Green Brick Road pathway</w:t>
            </w:r>
          </w:p>
        </w:tc>
        <w:tc>
          <w:tcPr>
            <w:tcW w:w="630" w:type="dxa"/>
          </w:tcPr>
          <w:p w:rsidR="00FD4C68" w:rsidRDefault="003149E0" w:rsidP="00FD4C68">
            <w:r>
              <w:t>M</w:t>
            </w:r>
          </w:p>
        </w:tc>
        <w:tc>
          <w:tcPr>
            <w:tcW w:w="2695" w:type="dxa"/>
          </w:tcPr>
          <w:p w:rsidR="00FD4C68" w:rsidRDefault="007B178B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6</w:t>
            </w:r>
          </w:p>
        </w:tc>
        <w:tc>
          <w:tcPr>
            <w:tcW w:w="2291" w:type="dxa"/>
          </w:tcPr>
          <w:p w:rsidR="00FD4C68" w:rsidRDefault="007B178B" w:rsidP="00FD4C68">
            <w:r>
              <w:t>Brick between the Bierkerts emergency exit and the Children’s Entrance</w:t>
            </w:r>
          </w:p>
        </w:tc>
        <w:tc>
          <w:tcPr>
            <w:tcW w:w="1996" w:type="dxa"/>
          </w:tcPr>
          <w:p w:rsidR="00FD4C68" w:rsidRDefault="007B178B" w:rsidP="00FD4C68">
            <w:r>
              <w:t>On the easel sitting in this area, along the brick wall</w:t>
            </w:r>
          </w:p>
        </w:tc>
        <w:tc>
          <w:tcPr>
            <w:tcW w:w="630" w:type="dxa"/>
          </w:tcPr>
          <w:p w:rsidR="00FD4C68" w:rsidRDefault="003149E0" w:rsidP="00FD4C68">
            <w:r>
              <w:t>R</w:t>
            </w:r>
          </w:p>
        </w:tc>
        <w:tc>
          <w:tcPr>
            <w:tcW w:w="2695" w:type="dxa"/>
          </w:tcPr>
          <w:p w:rsidR="00FD4C68" w:rsidRDefault="007B178B" w:rsidP="00FD4C68">
            <w:r>
              <w:t>An exquisite corpse-type collaborative drawing on an easel in which people can only contribute one unbroken line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7</w:t>
            </w:r>
          </w:p>
        </w:tc>
        <w:tc>
          <w:tcPr>
            <w:tcW w:w="2291" w:type="dxa"/>
          </w:tcPr>
          <w:p w:rsidR="00FD4C68" w:rsidRDefault="007B178B" w:rsidP="00FD4C68">
            <w:r>
              <w:t>Harry Allen Room</w:t>
            </w:r>
          </w:p>
        </w:tc>
        <w:tc>
          <w:tcPr>
            <w:tcW w:w="1996" w:type="dxa"/>
          </w:tcPr>
          <w:p w:rsidR="00FD4C68" w:rsidRDefault="007B178B" w:rsidP="00FD4C68">
            <w:r>
              <w:t>Facing the doorway on the window</w:t>
            </w:r>
          </w:p>
        </w:tc>
        <w:tc>
          <w:tcPr>
            <w:tcW w:w="630" w:type="dxa"/>
          </w:tcPr>
          <w:p w:rsidR="00FD4C68" w:rsidRDefault="003149E0" w:rsidP="00FD4C68">
            <w:r>
              <w:t>E</w:t>
            </w:r>
          </w:p>
        </w:tc>
        <w:tc>
          <w:tcPr>
            <w:tcW w:w="2695" w:type="dxa"/>
          </w:tcPr>
          <w:p w:rsidR="00FD4C68" w:rsidRDefault="007B178B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8</w:t>
            </w:r>
          </w:p>
        </w:tc>
        <w:tc>
          <w:tcPr>
            <w:tcW w:w="2291" w:type="dxa"/>
          </w:tcPr>
          <w:p w:rsidR="00FD4C68" w:rsidRDefault="007B178B" w:rsidP="00FD4C68">
            <w:r>
              <w:t>Claudia Ireland Reading Room</w:t>
            </w:r>
          </w:p>
        </w:tc>
        <w:tc>
          <w:tcPr>
            <w:tcW w:w="1996" w:type="dxa"/>
          </w:tcPr>
          <w:p w:rsidR="00FD4C68" w:rsidRDefault="007B178B" w:rsidP="00FD4C68">
            <w:r>
              <w:t>Atop the first shelve you see as you enter (first one on the left)</w:t>
            </w:r>
          </w:p>
        </w:tc>
        <w:tc>
          <w:tcPr>
            <w:tcW w:w="630" w:type="dxa"/>
          </w:tcPr>
          <w:p w:rsidR="00FD4C68" w:rsidRDefault="00E61B85" w:rsidP="00FD4C68">
            <w:r>
              <w:t>J</w:t>
            </w:r>
          </w:p>
        </w:tc>
        <w:tc>
          <w:tcPr>
            <w:tcW w:w="2695" w:type="dxa"/>
          </w:tcPr>
          <w:p w:rsidR="00FD4C68" w:rsidRDefault="007B178B" w:rsidP="00FD4C68">
            <w:r>
              <w:t>Write a favorite book and see what others have written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9</w:t>
            </w:r>
          </w:p>
        </w:tc>
        <w:tc>
          <w:tcPr>
            <w:tcW w:w="2291" w:type="dxa"/>
          </w:tcPr>
          <w:p w:rsidR="00FD4C68" w:rsidRDefault="007B178B" w:rsidP="00FD4C68">
            <w:r>
              <w:t>Walkway where the old map is now hung, across from circ</w:t>
            </w:r>
          </w:p>
        </w:tc>
        <w:tc>
          <w:tcPr>
            <w:tcW w:w="1996" w:type="dxa"/>
          </w:tcPr>
          <w:p w:rsidR="00FD4C68" w:rsidRDefault="006C2C45" w:rsidP="00FD4C68">
            <w:r>
              <w:t>On that map, near where Birmingham is located</w:t>
            </w:r>
          </w:p>
        </w:tc>
        <w:tc>
          <w:tcPr>
            <w:tcW w:w="630" w:type="dxa"/>
          </w:tcPr>
          <w:p w:rsidR="00FD4C68" w:rsidRDefault="00C70D0C" w:rsidP="00FD4C68">
            <w:r>
              <w:t>V</w:t>
            </w:r>
          </w:p>
        </w:tc>
        <w:tc>
          <w:tcPr>
            <w:tcW w:w="2695" w:type="dxa"/>
          </w:tcPr>
          <w:p w:rsidR="00FD4C68" w:rsidRDefault="006C2C45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FD4C68" w:rsidP="00FD4C68">
            <w:r>
              <w:t>10</w:t>
            </w:r>
          </w:p>
        </w:tc>
        <w:tc>
          <w:tcPr>
            <w:tcW w:w="2291" w:type="dxa"/>
          </w:tcPr>
          <w:p w:rsidR="00FD4C68" w:rsidRDefault="007B178B" w:rsidP="00FD4C68">
            <w:r>
              <w:t>Makerspace/Computer Lab</w:t>
            </w:r>
          </w:p>
        </w:tc>
        <w:tc>
          <w:tcPr>
            <w:tcW w:w="1996" w:type="dxa"/>
          </w:tcPr>
          <w:p w:rsidR="00FD4C68" w:rsidRDefault="00586D2B" w:rsidP="00FD4C68">
            <w:r>
              <w:t>Under the computer class schedule</w:t>
            </w:r>
          </w:p>
        </w:tc>
        <w:tc>
          <w:tcPr>
            <w:tcW w:w="630" w:type="dxa"/>
          </w:tcPr>
          <w:p w:rsidR="00FD4C68" w:rsidRDefault="00C70D0C" w:rsidP="00FD4C68">
            <w:r>
              <w:t>S</w:t>
            </w:r>
          </w:p>
        </w:tc>
        <w:tc>
          <w:tcPr>
            <w:tcW w:w="2695" w:type="dxa"/>
          </w:tcPr>
          <w:p w:rsidR="00FD4C68" w:rsidRDefault="00586D2B" w:rsidP="00FD4C68">
            <w:r>
              <w:t>--</w:t>
            </w:r>
          </w:p>
        </w:tc>
      </w:tr>
      <w:tr w:rsidR="00586D2B" w:rsidTr="00586D2B">
        <w:tc>
          <w:tcPr>
            <w:tcW w:w="1738" w:type="dxa"/>
          </w:tcPr>
          <w:p w:rsidR="00FD4C68" w:rsidRDefault="007B178B" w:rsidP="00FD4C68">
            <w:r>
              <w:t>Outro page</w:t>
            </w:r>
          </w:p>
        </w:tc>
        <w:tc>
          <w:tcPr>
            <w:tcW w:w="2291" w:type="dxa"/>
          </w:tcPr>
          <w:p w:rsidR="00FD4C68" w:rsidRDefault="007B178B" w:rsidP="00FD4C68">
            <w:r>
              <w:t>N/A</w:t>
            </w:r>
          </w:p>
        </w:tc>
        <w:tc>
          <w:tcPr>
            <w:tcW w:w="1996" w:type="dxa"/>
          </w:tcPr>
          <w:p w:rsidR="00FD4C68" w:rsidRDefault="007B178B" w:rsidP="00FD4C68">
            <w:r>
              <w:t>N/A</w:t>
            </w:r>
          </w:p>
        </w:tc>
        <w:tc>
          <w:tcPr>
            <w:tcW w:w="630" w:type="dxa"/>
          </w:tcPr>
          <w:p w:rsidR="00FD4C68" w:rsidRDefault="007B178B" w:rsidP="00FD4C68">
            <w:r>
              <w:t>N/A</w:t>
            </w:r>
          </w:p>
        </w:tc>
        <w:tc>
          <w:tcPr>
            <w:tcW w:w="2695" w:type="dxa"/>
          </w:tcPr>
          <w:p w:rsidR="00FD4C68" w:rsidRDefault="00586D2B" w:rsidP="00FD4C68">
            <w:r>
              <w:t xml:space="preserve">Admire Shia LeBeouf aggressively clapping at you in congratulations of your </w:t>
            </w:r>
            <w:r w:rsidR="004823BE">
              <w:t xml:space="preserve">grand </w:t>
            </w:r>
            <w:r>
              <w:t>triumph</w:t>
            </w:r>
          </w:p>
        </w:tc>
      </w:tr>
    </w:tbl>
    <w:p w:rsidR="00FD4C68" w:rsidRDefault="00FD4C68" w:rsidP="00A70165"/>
    <w:sectPr w:rsidR="00FD4C68" w:rsidSect="001059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25D19"/>
    <w:multiLevelType w:val="hybridMultilevel"/>
    <w:tmpl w:val="893A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23"/>
    <w:rsid w:val="000A4FFB"/>
    <w:rsid w:val="0010599D"/>
    <w:rsid w:val="0030071D"/>
    <w:rsid w:val="003149E0"/>
    <w:rsid w:val="004823BE"/>
    <w:rsid w:val="00586D2B"/>
    <w:rsid w:val="006C2C45"/>
    <w:rsid w:val="007B178B"/>
    <w:rsid w:val="008F1B07"/>
    <w:rsid w:val="00903DD0"/>
    <w:rsid w:val="00A70165"/>
    <w:rsid w:val="00B02850"/>
    <w:rsid w:val="00C70D0C"/>
    <w:rsid w:val="00D3074A"/>
    <w:rsid w:val="00D965B5"/>
    <w:rsid w:val="00E61B85"/>
    <w:rsid w:val="00F62578"/>
    <w:rsid w:val="00F90C09"/>
    <w:rsid w:val="00F97F23"/>
    <w:rsid w:val="00FD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6B94"/>
  <w15:chartTrackingRefBased/>
  <w15:docId w15:val="{4FA63E26-7D03-4829-A0C6-42A783E7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68"/>
    <w:pPr>
      <w:ind w:left="720"/>
      <w:contextualSpacing/>
    </w:pPr>
  </w:style>
  <w:style w:type="table" w:styleId="TableGrid">
    <w:name w:val="Table Grid"/>
    <w:basedOn w:val="TableNormal"/>
    <w:uiPriority w:val="39"/>
    <w:rsid w:val="00FD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78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B178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llegalart.org/projects/to-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bplas</dc:creator>
  <cp:keywords/>
  <dc:description/>
  <cp:lastModifiedBy>staff</cp:lastModifiedBy>
  <cp:revision>15</cp:revision>
  <dcterms:created xsi:type="dcterms:W3CDTF">2017-06-14T00:46:00Z</dcterms:created>
  <dcterms:modified xsi:type="dcterms:W3CDTF">2017-06-15T20:16:00Z</dcterms:modified>
</cp:coreProperties>
</file>