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B9BD0" w14:textId="7BC72651" w:rsidR="00472376" w:rsidRPr="004B2F3B" w:rsidRDefault="00BF6A4A" w:rsidP="00BF6A4A">
      <w:pPr>
        <w:spacing w:line="360" w:lineRule="auto"/>
        <w:rPr>
          <w:rFonts w:ascii="Times New Roman" w:hAnsi="Times New Roman" w:cs="Times New Roman"/>
          <w:b/>
          <w:bCs/>
        </w:rPr>
      </w:pPr>
      <w:r w:rsidRPr="004B2F3B">
        <w:rPr>
          <w:rFonts w:ascii="Times New Roman" w:hAnsi="Times New Roman" w:cs="Times New Roman"/>
          <w:b/>
          <w:bCs/>
        </w:rPr>
        <w:t>Methods</w:t>
      </w:r>
    </w:p>
    <w:p w14:paraId="2215F3E1" w14:textId="6F98B53B" w:rsidR="00BF6A4A" w:rsidRPr="004B2F3B" w:rsidRDefault="004B2F3B" w:rsidP="004B2F3B">
      <w:pPr>
        <w:spacing w:line="360" w:lineRule="auto"/>
        <w:rPr>
          <w:rFonts w:ascii="Times New Roman" w:hAnsi="Times New Roman" w:cs="Times New Roman"/>
          <w:i/>
          <w:iCs/>
        </w:rPr>
      </w:pPr>
      <w:r w:rsidRPr="004B2F3B">
        <w:rPr>
          <w:rFonts w:ascii="Times New Roman" w:hAnsi="Times New Roman" w:cs="Times New Roman"/>
          <w:i/>
          <w:iCs/>
        </w:rPr>
        <w:t>Data Sources</w:t>
      </w:r>
    </w:p>
    <w:p w14:paraId="59F48F03" w14:textId="619F7E52" w:rsidR="008C444D" w:rsidRDefault="008C444D" w:rsidP="004B2F3B">
      <w:pPr>
        <w:spacing w:line="360" w:lineRule="auto"/>
        <w:ind w:firstLine="720"/>
        <w:rPr>
          <w:rFonts w:ascii="Times New Roman" w:hAnsi="Times New Roman" w:cs="Times New Roman"/>
        </w:rPr>
      </w:pPr>
      <w:r>
        <w:rPr>
          <w:rFonts w:ascii="Times New Roman" w:hAnsi="Times New Roman" w:cs="Times New Roman"/>
        </w:rPr>
        <w:t>The scope of inference for this study (Figure X) is approximately 788,000 ha (7880 km2) centered primarily on western Plumas county. A digital elevation model was acquired from the US Geological Survey National Elevation Dataset (</w:t>
      </w:r>
      <w:r w:rsidRPr="008C444D">
        <w:rPr>
          <w:rFonts w:ascii="Times New Roman" w:hAnsi="Times New Roman" w:cs="Times New Roman"/>
        </w:rPr>
        <w:t>https://viewer.nationalmap.gov/</w:t>
      </w:r>
      <w:r>
        <w:rPr>
          <w:rFonts w:ascii="Times New Roman" w:hAnsi="Times New Roman" w:cs="Times New Roman"/>
        </w:rPr>
        <w:t xml:space="preserve">) at 1/3 arc-second (8 x 10 m) </w:t>
      </w:r>
      <w:proofErr w:type="gramStart"/>
      <w:r>
        <w:rPr>
          <w:rFonts w:ascii="Times New Roman" w:hAnsi="Times New Roman" w:cs="Times New Roman"/>
        </w:rPr>
        <w:t>resolution, and</w:t>
      </w:r>
      <w:proofErr w:type="gramEnd"/>
      <w:r>
        <w:rPr>
          <w:rFonts w:ascii="Times New Roman" w:hAnsi="Times New Roman" w:cs="Times New Roman"/>
        </w:rPr>
        <w:t xml:space="preserve"> converted to corresponding slope and aspect layers using QGIS. Climate data were acquired from the Basin Characterization Model dataset </w:t>
      </w:r>
      <w:r>
        <w:rPr>
          <w:rFonts w:ascii="Times New Roman" w:hAnsi="Times New Roman" w:cs="Times New Roman"/>
        </w:rPr>
        <w:fldChar w:fldCharType="begin"/>
      </w:r>
      <w:r>
        <w:rPr>
          <w:rFonts w:ascii="Times New Roman" w:hAnsi="Times New Roman" w:cs="Times New Roman"/>
        </w:rPr>
        <w:instrText xml:space="preserve"> ADDIN EN.CITE &lt;EndNote&gt;&lt;Cite&gt;&lt;Author&gt;Flint&lt;/Author&gt;&lt;Year&gt;2013&lt;/Year&gt;&lt;RecNum&gt;2279&lt;/RecNum&gt;&lt;DisplayText&gt;(Flint et al. 2013)&lt;/DisplayText&gt;&lt;record&gt;&lt;rec-number&gt;2279&lt;/rec-number&gt;&lt;foreign-keys&gt;&lt;key app="EN" db-id="w0ppaavf8t2zvwe9f0oxa5rcervz0wedp050" timestamp="1416329405"&gt;2279&lt;/key&gt;&lt;/foreign-keys&gt;&lt;ref-type name="Journal Article"&gt;17&lt;/ref-type&gt;&lt;contributors&gt;&lt;authors&gt;&lt;author&gt;Flint, Lorraine E.&lt;/author&gt;&lt;author&gt;Flint, Alan L.&lt;/author&gt;&lt;author&gt;Thorne, James H.&lt;/author&gt;&lt;author&gt;Boynton, Ryan&lt;/author&gt;&lt;/authors&gt;&lt;/contributors&gt;&lt;titles&gt;&lt;title&gt;Fine-scale hydrologic modeling for regional landscape applications: the California Basin Characterization Model development and performance&lt;/title&gt;&lt;secondary-title&gt;Ecological Processes&lt;/secondary-title&gt;&lt;alt-title&gt;Ecol Process&lt;/alt-title&gt;&lt;/titles&gt;&lt;periodical&gt;&lt;full-title&gt;Ecological Processes&lt;/full-title&gt;&lt;abbr-1&gt;Ecol Process&lt;/abbr-1&gt;&lt;/periodical&gt;&lt;alt-periodical&gt;&lt;full-title&gt;Ecological Processes&lt;/full-title&gt;&lt;abbr-1&gt;Ecol Process&lt;/abbr-1&gt;&lt;/alt-periodical&gt;&lt;pages&gt;1-21&lt;/pages&gt;&lt;volume&gt;2&lt;/volume&gt;&lt;number&gt;1&lt;/number&gt;&lt;keywords&gt;&lt;keyword&gt;Water balance&lt;/keyword&gt;&lt;keyword&gt;Basin models&lt;/keyword&gt;&lt;keyword&gt;Watershed hydrology&lt;/keyword&gt;&lt;keyword&gt;Climate change&lt;/keyword&gt;&lt;keyword&gt;Downscaling&lt;/keyword&gt;&lt;keyword&gt;Basin characterization model&lt;/keyword&gt;&lt;/keywords&gt;&lt;dates&gt;&lt;year&gt;2013&lt;/year&gt;&lt;pub-dates&gt;&lt;date&gt;2013/07/31&lt;/date&gt;&lt;/pub-dates&gt;&lt;/dates&gt;&lt;publisher&gt;Springer Berlin Heidelberg&lt;/publisher&gt;&lt;urls&gt;&lt;related-urls&gt;&lt;url&gt;http://dx.doi.org/10.1186/2192-1709-2-25&lt;/url&gt;&lt;/related-urls&gt;&lt;/urls&gt;&lt;custom7&gt;25&lt;/custom7&gt;&lt;electronic-resource-num&gt;10.1186/2192-1709-2-25&lt;/electronic-resource-num&gt;&lt;research-notes&gt;Read 14 11/18/14&amp;#xD;Abstract only&amp;#xD;A new method to downscale climatic water deficit.&amp;#xD;Cited in Frank Davis&amp;apos; 2014 ESA talk&lt;/research-notes&gt;&lt;language&gt;English&lt;/language&gt;&lt;/record&gt;&lt;/Cite&gt;&lt;/EndNote&gt;</w:instrText>
      </w:r>
      <w:r>
        <w:rPr>
          <w:rFonts w:ascii="Times New Roman" w:hAnsi="Times New Roman" w:cs="Times New Roman"/>
        </w:rPr>
        <w:fldChar w:fldCharType="separate"/>
      </w:r>
      <w:r>
        <w:rPr>
          <w:rFonts w:ascii="Times New Roman" w:hAnsi="Times New Roman" w:cs="Times New Roman"/>
          <w:noProof/>
        </w:rPr>
        <w:t>(Flint et al. 2013)</w:t>
      </w:r>
      <w:r>
        <w:rPr>
          <w:rFonts w:ascii="Times New Roman" w:hAnsi="Times New Roman" w:cs="Times New Roman"/>
        </w:rPr>
        <w:fldChar w:fldCharType="end"/>
      </w:r>
      <w:r>
        <w:rPr>
          <w:rFonts w:ascii="Times New Roman" w:hAnsi="Times New Roman" w:cs="Times New Roman"/>
        </w:rPr>
        <w:t xml:space="preserve"> for the same geographic footprint</w:t>
      </w:r>
      <w:r w:rsidR="006325A0">
        <w:rPr>
          <w:rFonts w:ascii="Times New Roman" w:hAnsi="Times New Roman" w:cs="Times New Roman"/>
        </w:rPr>
        <w:t xml:space="preserve"> at 270 m resolution</w:t>
      </w:r>
      <w:r>
        <w:rPr>
          <w:rFonts w:ascii="Times New Roman" w:hAnsi="Times New Roman" w:cs="Times New Roman"/>
        </w:rPr>
        <w:t>.</w:t>
      </w:r>
      <w:r w:rsidR="006325A0">
        <w:rPr>
          <w:rFonts w:ascii="Times New Roman" w:hAnsi="Times New Roman" w:cs="Times New Roman"/>
        </w:rPr>
        <w:t xml:space="preserve"> For spatial predictive models, all data were scaled and aligned at 270m resolution.</w:t>
      </w:r>
      <w:r>
        <w:rPr>
          <w:rFonts w:ascii="Times New Roman" w:hAnsi="Times New Roman" w:cs="Times New Roman"/>
        </w:rPr>
        <w:t xml:space="preserve"> </w:t>
      </w:r>
    </w:p>
    <w:p w14:paraId="3EBE0594" w14:textId="7D9670E5" w:rsidR="003E4867" w:rsidRDefault="003E4867" w:rsidP="004B2F3B">
      <w:pPr>
        <w:spacing w:line="360" w:lineRule="auto"/>
        <w:ind w:firstLine="720"/>
        <w:rPr>
          <w:rFonts w:ascii="Times New Roman" w:hAnsi="Times New Roman" w:cs="Times New Roman"/>
        </w:rPr>
      </w:pPr>
      <w:r>
        <w:rPr>
          <w:rFonts w:ascii="Times New Roman" w:hAnsi="Times New Roman" w:cs="Times New Roman"/>
        </w:rPr>
        <w:t>We identified FIA plots that fell within the footprint defined above (n = 294</w:t>
      </w:r>
      <w:proofErr w:type="gramStart"/>
      <w:r>
        <w:rPr>
          <w:rFonts w:ascii="Times New Roman" w:hAnsi="Times New Roman" w:cs="Times New Roman"/>
        </w:rPr>
        <w:t>), and</w:t>
      </w:r>
      <w:proofErr w:type="gramEnd"/>
      <w:r>
        <w:rPr>
          <w:rFonts w:ascii="Times New Roman" w:hAnsi="Times New Roman" w:cs="Times New Roman"/>
        </w:rPr>
        <w:t xml:space="preserve"> conducted a series of filtering exercises to select those plots comparable to our historical data. …leaving this section for Lex to fill in… </w:t>
      </w:r>
      <w:proofErr w:type="gramStart"/>
      <w:r>
        <w:rPr>
          <w:rFonts w:ascii="Times New Roman" w:hAnsi="Times New Roman" w:cs="Times New Roman"/>
        </w:rPr>
        <w:t>Ultimately</w:t>
      </w:r>
      <w:proofErr w:type="gramEnd"/>
      <w:r>
        <w:rPr>
          <w:rFonts w:ascii="Times New Roman" w:hAnsi="Times New Roman" w:cs="Times New Roman"/>
        </w:rPr>
        <w:t xml:space="preserve"> we included 76 FIA plots as a modern comparison for our historical data.</w:t>
      </w:r>
    </w:p>
    <w:p w14:paraId="0F760658" w14:textId="47F146E8" w:rsidR="003E4867" w:rsidRDefault="003E4867" w:rsidP="003E4867">
      <w:pPr>
        <w:spacing w:line="360" w:lineRule="auto"/>
        <w:rPr>
          <w:rFonts w:ascii="Times New Roman" w:hAnsi="Times New Roman" w:cs="Times New Roman"/>
        </w:rPr>
      </w:pPr>
      <w:r>
        <w:rPr>
          <w:rFonts w:ascii="Times New Roman" w:hAnsi="Times New Roman" w:cs="Times New Roman"/>
          <w:i/>
          <w:iCs/>
        </w:rPr>
        <w:t>Analysis</w:t>
      </w:r>
    </w:p>
    <w:p w14:paraId="0E3A00F6" w14:textId="02DF9481" w:rsidR="003E4867" w:rsidRDefault="003E4867" w:rsidP="003E4867">
      <w:pPr>
        <w:spacing w:line="360" w:lineRule="auto"/>
        <w:ind w:firstLine="720"/>
        <w:rPr>
          <w:rFonts w:ascii="Times New Roman" w:hAnsi="Times New Roman" w:cs="Times New Roman"/>
        </w:rPr>
      </w:pPr>
      <w:r>
        <w:rPr>
          <w:rFonts w:ascii="Times New Roman" w:hAnsi="Times New Roman" w:cs="Times New Roman"/>
        </w:rPr>
        <w:t xml:space="preserve">For both the 1551 lots in the historical dataset and the 76 plots in the modern dataset, we extracted underlying climate and topographic data at 270 m resolution (datasets described above). </w:t>
      </w:r>
      <w:r w:rsidR="00A31324">
        <w:rPr>
          <w:rFonts w:ascii="Times New Roman" w:hAnsi="Times New Roman" w:cs="Times New Roman"/>
        </w:rPr>
        <w:t xml:space="preserve">We calculated the best-fit model to explain three variables – trees per hectare, basal area per hectare, and pine fraction – using two methods: automated model selection using Akaike’s Information Criterion, and a Random Forests approach. </w:t>
      </w:r>
    </w:p>
    <w:p w14:paraId="5650D2EF" w14:textId="1A79CF57" w:rsidR="00FC309F" w:rsidRPr="00040DA3" w:rsidRDefault="00040DA3" w:rsidP="00040DA3">
      <w:pPr>
        <w:spacing w:line="360" w:lineRule="auto"/>
        <w:rPr>
          <w:rFonts w:ascii="Times New Roman" w:hAnsi="Times New Roman" w:cs="Times New Roman"/>
          <w:b/>
          <w:bCs/>
        </w:rPr>
      </w:pPr>
      <w:r w:rsidRPr="00040DA3">
        <w:rPr>
          <w:rFonts w:ascii="Times New Roman" w:hAnsi="Times New Roman" w:cs="Times New Roman"/>
          <w:b/>
          <w:bCs/>
        </w:rPr>
        <w:t>Results</w:t>
      </w:r>
    </w:p>
    <w:p w14:paraId="7C220219" w14:textId="0A64CA34" w:rsidR="008C444D" w:rsidRDefault="00040DA3" w:rsidP="004B2F3B">
      <w:pPr>
        <w:spacing w:line="360" w:lineRule="auto"/>
        <w:ind w:firstLine="720"/>
        <w:rPr>
          <w:rFonts w:ascii="Times New Roman" w:hAnsi="Times New Roman" w:cs="Times New Roman"/>
        </w:rPr>
      </w:pPr>
      <w:r>
        <w:rPr>
          <w:rFonts w:ascii="Times New Roman" w:hAnsi="Times New Roman" w:cs="Times New Roman"/>
        </w:rPr>
        <w:t>The</w:t>
      </w:r>
      <w:r w:rsidR="00067BA4">
        <w:rPr>
          <w:rFonts w:ascii="Times New Roman" w:hAnsi="Times New Roman" w:cs="Times New Roman"/>
        </w:rPr>
        <w:t xml:space="preserve"> best model according to AIC had five strong predictors of historical TPH (deficit, AET, snowpack, precipitation and slope; Table A1), and several weaker predictors. Four of these five strong predictors were also identified by the Random Forest model as having high importance, with snowpack being replaced by elevation in the top five variables. We proceeded with a model that had the top five variables from the AIC procedure but no other variables, to simplify our regression tree analysis.</w:t>
      </w:r>
    </w:p>
    <w:p w14:paraId="53E7CC62" w14:textId="63850906" w:rsidR="009469CF" w:rsidRDefault="009469CF" w:rsidP="009469CF">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4D1D0BA5" wp14:editId="5BD05CCD">
            <wp:extent cx="5943600" cy="355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14.pdf"/>
                    <pic:cNvPicPr/>
                  </pic:nvPicPr>
                  <pic:blipFill>
                    <a:blip r:embed="rId4">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14:paraId="01B8223F" w14:textId="41AE2B66" w:rsidR="009469CF" w:rsidRDefault="009469CF" w:rsidP="009469CF">
      <w:pPr>
        <w:spacing w:line="360" w:lineRule="auto"/>
        <w:rPr>
          <w:rFonts w:ascii="Times New Roman" w:hAnsi="Times New Roman" w:cs="Times New Roman"/>
        </w:rPr>
      </w:pPr>
      <w:r w:rsidRPr="00B70D9F">
        <w:rPr>
          <w:rFonts w:ascii="Times New Roman" w:hAnsi="Times New Roman" w:cs="Times New Roman"/>
          <w:b/>
          <w:bCs/>
        </w:rPr>
        <w:t>Figure 1</w:t>
      </w:r>
      <w:r>
        <w:rPr>
          <w:rFonts w:ascii="Times New Roman" w:hAnsi="Times New Roman" w:cs="Times New Roman"/>
        </w:rPr>
        <w:t xml:space="preserve">: This is a placeholder for now, but this is an initial regression tree for TPA (not TPH) based on a compromise model that wasn’t the best model (which had more variables) but had all the most important variables (the three shown here, plus slope and snowpack). There is not much variation in TPA which makes it hard. We probably have more work to do on this. Eventually we will want to replicate this for Basal Area and Pine Fraction as well. </w:t>
      </w:r>
    </w:p>
    <w:p w14:paraId="51C3C783" w14:textId="5EC9D62A" w:rsidR="00B70D9F" w:rsidRDefault="00B70D9F" w:rsidP="009469CF">
      <w:pPr>
        <w:spacing w:line="360" w:lineRule="auto"/>
        <w:rPr>
          <w:rFonts w:ascii="Times New Roman" w:hAnsi="Times New Roman" w:cs="Times New Roman"/>
        </w:rPr>
      </w:pPr>
    </w:p>
    <w:p w14:paraId="0029E07B" w14:textId="77777777" w:rsidR="00B70D9F" w:rsidRDefault="00B70D9F" w:rsidP="009469CF">
      <w:pPr>
        <w:spacing w:line="360" w:lineRule="auto"/>
        <w:rPr>
          <w:rFonts w:ascii="Times New Roman" w:hAnsi="Times New Roman" w:cs="Times New Roman"/>
        </w:rPr>
      </w:pPr>
    </w:p>
    <w:p w14:paraId="3C8D7C1B" w14:textId="1ADEE523" w:rsidR="00040DA3" w:rsidRDefault="00040DA3" w:rsidP="004B2F3B">
      <w:pPr>
        <w:spacing w:line="360" w:lineRule="auto"/>
        <w:ind w:firstLine="720"/>
        <w:rPr>
          <w:rFonts w:ascii="Times New Roman" w:hAnsi="Times New Roman" w:cs="Times New Roman"/>
        </w:rPr>
      </w:pPr>
    </w:p>
    <w:p w14:paraId="74093492" w14:textId="2032C279" w:rsidR="00040DA3" w:rsidRDefault="00040DA3" w:rsidP="004B2F3B">
      <w:pPr>
        <w:spacing w:line="360" w:lineRule="auto"/>
        <w:ind w:firstLine="720"/>
        <w:rPr>
          <w:rFonts w:ascii="Times New Roman" w:hAnsi="Times New Roman" w:cs="Times New Roman"/>
        </w:rPr>
      </w:pPr>
    </w:p>
    <w:p w14:paraId="565B5221" w14:textId="77777777" w:rsidR="00040DA3" w:rsidRDefault="00040DA3" w:rsidP="004B2F3B">
      <w:pPr>
        <w:spacing w:line="360" w:lineRule="auto"/>
        <w:ind w:firstLine="720"/>
        <w:rPr>
          <w:rFonts w:ascii="Times New Roman" w:hAnsi="Times New Roman" w:cs="Times New Roman"/>
        </w:rPr>
      </w:pPr>
    </w:p>
    <w:p w14:paraId="5A4D077B" w14:textId="18B7DD4C" w:rsidR="00FC309F" w:rsidRDefault="00FC309F" w:rsidP="00FC309F">
      <w:pPr>
        <w:tabs>
          <w:tab w:val="left" w:pos="3254"/>
        </w:tabs>
        <w:rPr>
          <w:rFonts w:ascii="Times New Roman" w:hAnsi="Times New Roman" w:cs="Times New Roman"/>
        </w:rPr>
      </w:pPr>
      <w:r>
        <w:rPr>
          <w:rFonts w:ascii="Times New Roman" w:hAnsi="Times New Roman" w:cs="Times New Roman"/>
          <w:b/>
          <w:bCs/>
        </w:rPr>
        <w:tab/>
      </w:r>
    </w:p>
    <w:p w14:paraId="4A62826C" w14:textId="7D7A5CF4" w:rsidR="008C444D" w:rsidRDefault="008C444D">
      <w:pPr>
        <w:rPr>
          <w:rFonts w:ascii="Times New Roman" w:hAnsi="Times New Roman" w:cs="Times New Roman"/>
        </w:rPr>
      </w:pPr>
      <w:r>
        <w:rPr>
          <w:rFonts w:ascii="Times New Roman" w:hAnsi="Times New Roman" w:cs="Times New Roman"/>
        </w:rPr>
        <w:br w:type="page"/>
      </w:r>
    </w:p>
    <w:p w14:paraId="7C0B1ED1" w14:textId="7BDBDAA0" w:rsidR="008C444D" w:rsidRDefault="00FC309F" w:rsidP="008C444D">
      <w:pPr>
        <w:spacing w:line="360" w:lineRule="auto"/>
        <w:rPr>
          <w:rFonts w:ascii="Times New Roman" w:hAnsi="Times New Roman" w:cs="Times New Roman"/>
        </w:rPr>
      </w:pPr>
      <w:r>
        <w:rPr>
          <w:rFonts w:ascii="Times New Roman" w:hAnsi="Times New Roman" w:cs="Times New Roman"/>
        </w:rPr>
        <w:lastRenderedPageBreak/>
        <w:t>Appendices</w:t>
      </w:r>
    </w:p>
    <w:p w14:paraId="3C5F2044" w14:textId="0BC05446" w:rsidR="00FC309F" w:rsidRDefault="00FC309F" w:rsidP="008C444D">
      <w:pPr>
        <w:spacing w:line="360" w:lineRule="auto"/>
        <w:rPr>
          <w:rFonts w:ascii="Times New Roman" w:hAnsi="Times New Roman" w:cs="Times New Roman"/>
        </w:rPr>
      </w:pPr>
      <w:r>
        <w:rPr>
          <w:rFonts w:ascii="Times New Roman" w:hAnsi="Times New Roman" w:cs="Times New Roman"/>
        </w:rPr>
        <w:t xml:space="preserve">Appendix A: </w:t>
      </w:r>
      <w:r w:rsidR="00040DA3">
        <w:rPr>
          <w:rFonts w:ascii="Times New Roman" w:hAnsi="Times New Roman" w:cs="Times New Roman"/>
        </w:rPr>
        <w:t xml:space="preserve">Table </w:t>
      </w:r>
      <w:r w:rsidR="00067BA4">
        <w:rPr>
          <w:rFonts w:ascii="Times New Roman" w:hAnsi="Times New Roman" w:cs="Times New Roman"/>
        </w:rPr>
        <w:t>A</w:t>
      </w:r>
      <w:r w:rsidR="00040DA3">
        <w:rPr>
          <w:rFonts w:ascii="Times New Roman" w:hAnsi="Times New Roman" w:cs="Times New Roman"/>
        </w:rPr>
        <w:t xml:space="preserve">1 </w:t>
      </w:r>
      <w:r>
        <w:rPr>
          <w:rFonts w:ascii="Times New Roman" w:hAnsi="Times New Roman" w:cs="Times New Roman"/>
        </w:rPr>
        <w:t>Model results for TPH</w:t>
      </w:r>
    </w:p>
    <w:tbl>
      <w:tblPr>
        <w:tblStyle w:val="TableGrid"/>
        <w:tblW w:w="0" w:type="auto"/>
        <w:tblLook w:val="04A0" w:firstRow="1" w:lastRow="0" w:firstColumn="1" w:lastColumn="0" w:noHBand="0" w:noVBand="1"/>
      </w:tblPr>
      <w:tblGrid>
        <w:gridCol w:w="1870"/>
        <w:gridCol w:w="1870"/>
        <w:gridCol w:w="1870"/>
        <w:gridCol w:w="1870"/>
        <w:gridCol w:w="1870"/>
      </w:tblGrid>
      <w:tr w:rsidR="00FC309F" w14:paraId="3AF4B455" w14:textId="77777777" w:rsidTr="00FC309F">
        <w:tc>
          <w:tcPr>
            <w:tcW w:w="1870" w:type="dxa"/>
          </w:tcPr>
          <w:p w14:paraId="4B0FEFD0" w14:textId="6A1E2753" w:rsidR="00FC309F" w:rsidRDefault="00FC309F" w:rsidP="00FC309F">
            <w:pPr>
              <w:spacing w:line="360" w:lineRule="auto"/>
              <w:rPr>
                <w:rFonts w:ascii="Times New Roman" w:hAnsi="Times New Roman" w:cs="Times New Roman"/>
              </w:rPr>
            </w:pPr>
          </w:p>
        </w:tc>
        <w:tc>
          <w:tcPr>
            <w:tcW w:w="1870" w:type="dxa"/>
          </w:tcPr>
          <w:p w14:paraId="3D6FCCF0" w14:textId="13D8FFB2" w:rsidR="00FC309F" w:rsidRDefault="00FC309F" w:rsidP="00FC309F">
            <w:pPr>
              <w:spacing w:line="360" w:lineRule="auto"/>
              <w:rPr>
                <w:rFonts w:ascii="Times New Roman" w:hAnsi="Times New Roman" w:cs="Times New Roman"/>
              </w:rPr>
            </w:pPr>
            <w:r>
              <w:rPr>
                <w:rFonts w:ascii="Times New Roman" w:hAnsi="Times New Roman" w:cs="Times New Roman"/>
              </w:rPr>
              <w:t xml:space="preserve">AIC </w:t>
            </w:r>
            <w:proofErr w:type="spellStart"/>
            <w:r>
              <w:rPr>
                <w:rFonts w:ascii="Times New Roman" w:hAnsi="Times New Roman" w:cs="Times New Roman"/>
              </w:rPr>
              <w:t>multimodel</w:t>
            </w:r>
            <w:proofErr w:type="spellEnd"/>
            <w:r>
              <w:rPr>
                <w:rFonts w:ascii="Times New Roman" w:hAnsi="Times New Roman" w:cs="Times New Roman"/>
              </w:rPr>
              <w:t xml:space="preserve"> selection</w:t>
            </w:r>
          </w:p>
        </w:tc>
        <w:tc>
          <w:tcPr>
            <w:tcW w:w="1870" w:type="dxa"/>
          </w:tcPr>
          <w:p w14:paraId="0515ECE1" w14:textId="4675BB90" w:rsidR="00FC309F" w:rsidRDefault="00FC309F" w:rsidP="00FC309F">
            <w:pPr>
              <w:spacing w:line="360" w:lineRule="auto"/>
              <w:rPr>
                <w:rFonts w:ascii="Times New Roman" w:hAnsi="Times New Roman" w:cs="Times New Roman"/>
              </w:rPr>
            </w:pPr>
          </w:p>
        </w:tc>
        <w:tc>
          <w:tcPr>
            <w:tcW w:w="1870" w:type="dxa"/>
          </w:tcPr>
          <w:p w14:paraId="352D3779" w14:textId="7B280514" w:rsidR="00FC309F" w:rsidRDefault="00FC309F" w:rsidP="00FC309F">
            <w:pPr>
              <w:spacing w:line="360" w:lineRule="auto"/>
              <w:rPr>
                <w:rFonts w:ascii="Times New Roman" w:hAnsi="Times New Roman" w:cs="Times New Roman"/>
              </w:rPr>
            </w:pPr>
            <w:r>
              <w:rPr>
                <w:rFonts w:ascii="Times New Roman" w:hAnsi="Times New Roman" w:cs="Times New Roman"/>
              </w:rPr>
              <w:t>Random forest model</w:t>
            </w:r>
          </w:p>
        </w:tc>
        <w:tc>
          <w:tcPr>
            <w:tcW w:w="1870" w:type="dxa"/>
          </w:tcPr>
          <w:p w14:paraId="22B5FE97" w14:textId="77777777" w:rsidR="00FC309F" w:rsidRDefault="00FC309F" w:rsidP="00FC309F">
            <w:pPr>
              <w:spacing w:line="360" w:lineRule="auto"/>
              <w:rPr>
                <w:rFonts w:ascii="Times New Roman" w:hAnsi="Times New Roman" w:cs="Times New Roman"/>
              </w:rPr>
            </w:pPr>
          </w:p>
        </w:tc>
      </w:tr>
      <w:tr w:rsidR="00FC309F" w14:paraId="58AB0A08" w14:textId="77777777" w:rsidTr="00FC309F">
        <w:tc>
          <w:tcPr>
            <w:tcW w:w="1870" w:type="dxa"/>
          </w:tcPr>
          <w:p w14:paraId="58B6F3AC" w14:textId="0A4C9E26" w:rsidR="00FC309F" w:rsidRDefault="00FC309F" w:rsidP="00FC309F">
            <w:pPr>
              <w:spacing w:line="360" w:lineRule="auto"/>
              <w:rPr>
                <w:rFonts w:ascii="Times New Roman" w:hAnsi="Times New Roman" w:cs="Times New Roman"/>
              </w:rPr>
            </w:pPr>
            <w:r>
              <w:rPr>
                <w:rFonts w:ascii="Times New Roman" w:hAnsi="Times New Roman" w:cs="Times New Roman"/>
              </w:rPr>
              <w:t>Variable rank</w:t>
            </w:r>
          </w:p>
        </w:tc>
        <w:tc>
          <w:tcPr>
            <w:tcW w:w="1870" w:type="dxa"/>
          </w:tcPr>
          <w:p w14:paraId="7DAF02AB" w14:textId="0A7085C5" w:rsidR="00FC309F" w:rsidRDefault="00FC309F" w:rsidP="00FC309F">
            <w:pPr>
              <w:spacing w:line="360" w:lineRule="auto"/>
              <w:rPr>
                <w:rFonts w:ascii="Times New Roman" w:hAnsi="Times New Roman" w:cs="Times New Roman"/>
              </w:rPr>
            </w:pPr>
            <w:r>
              <w:rPr>
                <w:rFonts w:ascii="Times New Roman" w:hAnsi="Times New Roman" w:cs="Times New Roman"/>
              </w:rPr>
              <w:t>T value</w:t>
            </w:r>
          </w:p>
        </w:tc>
        <w:tc>
          <w:tcPr>
            <w:tcW w:w="1870" w:type="dxa"/>
          </w:tcPr>
          <w:p w14:paraId="3E065D9F" w14:textId="1F5DACEF" w:rsidR="00FC309F" w:rsidRDefault="00FC309F" w:rsidP="00FC309F">
            <w:pPr>
              <w:spacing w:line="360" w:lineRule="auto"/>
              <w:rPr>
                <w:rFonts w:ascii="Times New Roman" w:hAnsi="Times New Roman" w:cs="Times New Roman"/>
              </w:rPr>
            </w:pPr>
            <w:r>
              <w:rPr>
                <w:rFonts w:ascii="Times New Roman" w:hAnsi="Times New Roman" w:cs="Times New Roman"/>
              </w:rPr>
              <w:t>Variable rank</w:t>
            </w:r>
          </w:p>
        </w:tc>
        <w:tc>
          <w:tcPr>
            <w:tcW w:w="1870" w:type="dxa"/>
          </w:tcPr>
          <w:p w14:paraId="15426E36" w14:textId="4957B857" w:rsidR="00FC309F" w:rsidRDefault="00FC309F" w:rsidP="00FC309F">
            <w:pPr>
              <w:spacing w:line="360" w:lineRule="auto"/>
              <w:rPr>
                <w:rFonts w:ascii="Times New Roman" w:hAnsi="Times New Roman" w:cs="Times New Roman"/>
              </w:rPr>
            </w:pPr>
            <w:r>
              <w:rPr>
                <w:rFonts w:ascii="Times New Roman" w:hAnsi="Times New Roman" w:cs="Times New Roman"/>
              </w:rPr>
              <w:t>Importance value</w:t>
            </w:r>
          </w:p>
        </w:tc>
        <w:tc>
          <w:tcPr>
            <w:tcW w:w="1870" w:type="dxa"/>
          </w:tcPr>
          <w:p w14:paraId="308AD21A" w14:textId="77777777" w:rsidR="00FC309F" w:rsidRDefault="00FC309F" w:rsidP="00FC309F">
            <w:pPr>
              <w:spacing w:line="360" w:lineRule="auto"/>
              <w:rPr>
                <w:rFonts w:ascii="Times New Roman" w:hAnsi="Times New Roman" w:cs="Times New Roman"/>
              </w:rPr>
            </w:pPr>
          </w:p>
        </w:tc>
      </w:tr>
      <w:tr w:rsidR="00FC309F" w14:paraId="19CEC1EC" w14:textId="77777777" w:rsidTr="00FC309F">
        <w:tc>
          <w:tcPr>
            <w:tcW w:w="1870" w:type="dxa"/>
          </w:tcPr>
          <w:p w14:paraId="34ACC5E6" w14:textId="1B7B9404" w:rsidR="00FC309F" w:rsidRDefault="00FC309F" w:rsidP="00FC309F">
            <w:pPr>
              <w:spacing w:line="360" w:lineRule="auto"/>
              <w:rPr>
                <w:rFonts w:ascii="Times New Roman" w:hAnsi="Times New Roman" w:cs="Times New Roman"/>
              </w:rPr>
            </w:pPr>
            <w:r>
              <w:rPr>
                <w:rFonts w:ascii="Times New Roman" w:hAnsi="Times New Roman" w:cs="Times New Roman"/>
              </w:rPr>
              <w:t>1-cwd</w:t>
            </w:r>
          </w:p>
        </w:tc>
        <w:tc>
          <w:tcPr>
            <w:tcW w:w="1870" w:type="dxa"/>
          </w:tcPr>
          <w:p w14:paraId="6330DF18" w14:textId="5FC3EE57" w:rsidR="00FC309F" w:rsidRDefault="00FC309F" w:rsidP="00FC309F">
            <w:pPr>
              <w:spacing w:line="360" w:lineRule="auto"/>
              <w:rPr>
                <w:rFonts w:ascii="Times New Roman" w:hAnsi="Times New Roman" w:cs="Times New Roman"/>
              </w:rPr>
            </w:pPr>
            <w:r>
              <w:rPr>
                <w:rFonts w:ascii="Times New Roman" w:hAnsi="Times New Roman" w:cs="Times New Roman"/>
              </w:rPr>
              <w:t>9.5</w:t>
            </w:r>
          </w:p>
        </w:tc>
        <w:tc>
          <w:tcPr>
            <w:tcW w:w="1870" w:type="dxa"/>
          </w:tcPr>
          <w:p w14:paraId="64EB940D" w14:textId="18D6DE5F" w:rsidR="00FC309F" w:rsidRDefault="00FC309F" w:rsidP="00FC309F">
            <w:pPr>
              <w:spacing w:line="360" w:lineRule="auto"/>
              <w:rPr>
                <w:rFonts w:ascii="Times New Roman" w:hAnsi="Times New Roman" w:cs="Times New Roman"/>
              </w:rPr>
            </w:pPr>
            <w:r>
              <w:rPr>
                <w:rFonts w:ascii="Times New Roman" w:hAnsi="Times New Roman" w:cs="Times New Roman"/>
              </w:rPr>
              <w:t>1-ppt</w:t>
            </w:r>
          </w:p>
        </w:tc>
        <w:tc>
          <w:tcPr>
            <w:tcW w:w="1870" w:type="dxa"/>
          </w:tcPr>
          <w:p w14:paraId="3C9BABFC" w14:textId="1A79FA1A" w:rsidR="00FC309F" w:rsidRDefault="00FC309F" w:rsidP="00FC309F">
            <w:pPr>
              <w:spacing w:line="360" w:lineRule="auto"/>
              <w:rPr>
                <w:rFonts w:ascii="Times New Roman" w:hAnsi="Times New Roman" w:cs="Times New Roman"/>
              </w:rPr>
            </w:pPr>
            <w:r>
              <w:rPr>
                <w:rFonts w:ascii="Times New Roman" w:hAnsi="Times New Roman" w:cs="Times New Roman"/>
              </w:rPr>
              <w:t>48.0%</w:t>
            </w:r>
          </w:p>
        </w:tc>
        <w:tc>
          <w:tcPr>
            <w:tcW w:w="1870" w:type="dxa"/>
          </w:tcPr>
          <w:p w14:paraId="3B21C6A7" w14:textId="77777777" w:rsidR="00FC309F" w:rsidRDefault="00FC309F" w:rsidP="00FC309F">
            <w:pPr>
              <w:spacing w:line="360" w:lineRule="auto"/>
              <w:rPr>
                <w:rFonts w:ascii="Times New Roman" w:hAnsi="Times New Roman" w:cs="Times New Roman"/>
              </w:rPr>
            </w:pPr>
          </w:p>
        </w:tc>
      </w:tr>
      <w:tr w:rsidR="00FC309F" w14:paraId="54BAB8FE" w14:textId="77777777" w:rsidTr="00FC309F">
        <w:tc>
          <w:tcPr>
            <w:tcW w:w="1870" w:type="dxa"/>
          </w:tcPr>
          <w:p w14:paraId="2BF238A0" w14:textId="4B4E12CF" w:rsidR="00FC309F" w:rsidRDefault="00FC309F" w:rsidP="00FC309F">
            <w:pPr>
              <w:spacing w:line="360" w:lineRule="auto"/>
              <w:rPr>
                <w:rFonts w:ascii="Times New Roman" w:hAnsi="Times New Roman" w:cs="Times New Roman"/>
              </w:rPr>
            </w:pPr>
            <w:r>
              <w:rPr>
                <w:rFonts w:ascii="Times New Roman" w:hAnsi="Times New Roman" w:cs="Times New Roman"/>
              </w:rPr>
              <w:t>2-aet</w:t>
            </w:r>
          </w:p>
        </w:tc>
        <w:tc>
          <w:tcPr>
            <w:tcW w:w="1870" w:type="dxa"/>
          </w:tcPr>
          <w:p w14:paraId="06732D51" w14:textId="1D1CCE3B" w:rsidR="00FC309F" w:rsidRDefault="00FC309F" w:rsidP="00FC309F">
            <w:pPr>
              <w:spacing w:line="360" w:lineRule="auto"/>
              <w:rPr>
                <w:rFonts w:ascii="Times New Roman" w:hAnsi="Times New Roman" w:cs="Times New Roman"/>
              </w:rPr>
            </w:pPr>
            <w:r>
              <w:rPr>
                <w:rFonts w:ascii="Times New Roman" w:hAnsi="Times New Roman" w:cs="Times New Roman"/>
              </w:rPr>
              <w:t>8.3</w:t>
            </w:r>
          </w:p>
        </w:tc>
        <w:tc>
          <w:tcPr>
            <w:tcW w:w="1870" w:type="dxa"/>
          </w:tcPr>
          <w:p w14:paraId="0B9E3214" w14:textId="47B2043C" w:rsidR="00FC309F" w:rsidRDefault="00FC309F" w:rsidP="00FC309F">
            <w:pPr>
              <w:spacing w:line="360" w:lineRule="auto"/>
              <w:rPr>
                <w:rFonts w:ascii="Times New Roman" w:hAnsi="Times New Roman" w:cs="Times New Roman"/>
              </w:rPr>
            </w:pPr>
            <w:r>
              <w:rPr>
                <w:rFonts w:ascii="Times New Roman" w:hAnsi="Times New Roman" w:cs="Times New Roman"/>
              </w:rPr>
              <w:t>2-elev</w:t>
            </w:r>
          </w:p>
        </w:tc>
        <w:tc>
          <w:tcPr>
            <w:tcW w:w="1870" w:type="dxa"/>
          </w:tcPr>
          <w:p w14:paraId="4EF3DED7" w14:textId="3073087F" w:rsidR="00FC309F" w:rsidRDefault="00FC309F" w:rsidP="00FC309F">
            <w:pPr>
              <w:spacing w:line="360" w:lineRule="auto"/>
              <w:rPr>
                <w:rFonts w:ascii="Times New Roman" w:hAnsi="Times New Roman" w:cs="Times New Roman"/>
              </w:rPr>
            </w:pPr>
            <w:r>
              <w:rPr>
                <w:rFonts w:ascii="Times New Roman" w:hAnsi="Times New Roman" w:cs="Times New Roman"/>
              </w:rPr>
              <w:t>39.3%</w:t>
            </w:r>
          </w:p>
        </w:tc>
        <w:tc>
          <w:tcPr>
            <w:tcW w:w="1870" w:type="dxa"/>
          </w:tcPr>
          <w:p w14:paraId="7CB8B312" w14:textId="77777777" w:rsidR="00FC309F" w:rsidRDefault="00FC309F" w:rsidP="00FC309F">
            <w:pPr>
              <w:spacing w:line="360" w:lineRule="auto"/>
              <w:rPr>
                <w:rFonts w:ascii="Times New Roman" w:hAnsi="Times New Roman" w:cs="Times New Roman"/>
              </w:rPr>
            </w:pPr>
          </w:p>
        </w:tc>
      </w:tr>
      <w:tr w:rsidR="00FC309F" w14:paraId="0A464D2A" w14:textId="77777777" w:rsidTr="00FC309F">
        <w:tc>
          <w:tcPr>
            <w:tcW w:w="1870" w:type="dxa"/>
          </w:tcPr>
          <w:p w14:paraId="1A57C111" w14:textId="7CE848FB" w:rsidR="00FC309F" w:rsidRDefault="00FC309F" w:rsidP="00FC309F">
            <w:pPr>
              <w:spacing w:line="360" w:lineRule="auto"/>
              <w:rPr>
                <w:rFonts w:ascii="Times New Roman" w:hAnsi="Times New Roman" w:cs="Times New Roman"/>
              </w:rPr>
            </w:pPr>
            <w:r>
              <w:rPr>
                <w:rFonts w:ascii="Times New Roman" w:hAnsi="Times New Roman" w:cs="Times New Roman"/>
              </w:rPr>
              <w:t>3-spk</w:t>
            </w:r>
          </w:p>
        </w:tc>
        <w:tc>
          <w:tcPr>
            <w:tcW w:w="1870" w:type="dxa"/>
          </w:tcPr>
          <w:p w14:paraId="33966605" w14:textId="0B04D09B" w:rsidR="00FC309F" w:rsidRDefault="00FC309F" w:rsidP="00FC309F">
            <w:pPr>
              <w:spacing w:line="360" w:lineRule="auto"/>
              <w:rPr>
                <w:rFonts w:ascii="Times New Roman" w:hAnsi="Times New Roman" w:cs="Times New Roman"/>
              </w:rPr>
            </w:pPr>
            <w:r>
              <w:rPr>
                <w:rFonts w:ascii="Times New Roman" w:hAnsi="Times New Roman" w:cs="Times New Roman"/>
              </w:rPr>
              <w:t>8.0</w:t>
            </w:r>
          </w:p>
        </w:tc>
        <w:tc>
          <w:tcPr>
            <w:tcW w:w="1870" w:type="dxa"/>
          </w:tcPr>
          <w:p w14:paraId="2BD4942D" w14:textId="15EF875C" w:rsidR="00FC309F" w:rsidRDefault="00FC309F" w:rsidP="00FC309F">
            <w:pPr>
              <w:spacing w:line="360" w:lineRule="auto"/>
              <w:rPr>
                <w:rFonts w:ascii="Times New Roman" w:hAnsi="Times New Roman" w:cs="Times New Roman"/>
              </w:rPr>
            </w:pPr>
            <w:r>
              <w:rPr>
                <w:rFonts w:ascii="Times New Roman" w:hAnsi="Times New Roman" w:cs="Times New Roman"/>
              </w:rPr>
              <w:t>3-aet</w:t>
            </w:r>
          </w:p>
        </w:tc>
        <w:tc>
          <w:tcPr>
            <w:tcW w:w="1870" w:type="dxa"/>
          </w:tcPr>
          <w:p w14:paraId="15454B55" w14:textId="575FDE3D" w:rsidR="00FC309F" w:rsidRDefault="00FC309F" w:rsidP="00FC309F">
            <w:pPr>
              <w:spacing w:line="360" w:lineRule="auto"/>
              <w:rPr>
                <w:rFonts w:ascii="Times New Roman" w:hAnsi="Times New Roman" w:cs="Times New Roman"/>
              </w:rPr>
            </w:pPr>
            <w:r>
              <w:rPr>
                <w:rFonts w:ascii="Times New Roman" w:hAnsi="Times New Roman" w:cs="Times New Roman"/>
              </w:rPr>
              <w:t>36.7%</w:t>
            </w:r>
          </w:p>
        </w:tc>
        <w:tc>
          <w:tcPr>
            <w:tcW w:w="1870" w:type="dxa"/>
          </w:tcPr>
          <w:p w14:paraId="1E67AC36" w14:textId="77777777" w:rsidR="00FC309F" w:rsidRDefault="00FC309F" w:rsidP="00FC309F">
            <w:pPr>
              <w:spacing w:line="360" w:lineRule="auto"/>
              <w:rPr>
                <w:rFonts w:ascii="Times New Roman" w:hAnsi="Times New Roman" w:cs="Times New Roman"/>
              </w:rPr>
            </w:pPr>
          </w:p>
        </w:tc>
      </w:tr>
      <w:tr w:rsidR="00FC309F" w14:paraId="477C461A" w14:textId="77777777" w:rsidTr="00FC309F">
        <w:tc>
          <w:tcPr>
            <w:tcW w:w="1870" w:type="dxa"/>
          </w:tcPr>
          <w:p w14:paraId="460B0AEA" w14:textId="2009BD95" w:rsidR="00FC309F" w:rsidRDefault="00FC309F" w:rsidP="00FC309F">
            <w:pPr>
              <w:spacing w:line="360" w:lineRule="auto"/>
              <w:rPr>
                <w:rFonts w:ascii="Times New Roman" w:hAnsi="Times New Roman" w:cs="Times New Roman"/>
              </w:rPr>
            </w:pPr>
            <w:r>
              <w:rPr>
                <w:rFonts w:ascii="Times New Roman" w:hAnsi="Times New Roman" w:cs="Times New Roman"/>
              </w:rPr>
              <w:t>4-ppt</w:t>
            </w:r>
          </w:p>
        </w:tc>
        <w:tc>
          <w:tcPr>
            <w:tcW w:w="1870" w:type="dxa"/>
          </w:tcPr>
          <w:p w14:paraId="30AE97DD" w14:textId="02A03DC1" w:rsidR="00FC309F" w:rsidRDefault="00FC309F" w:rsidP="00FC309F">
            <w:pPr>
              <w:spacing w:line="360" w:lineRule="auto"/>
              <w:rPr>
                <w:rFonts w:ascii="Times New Roman" w:hAnsi="Times New Roman" w:cs="Times New Roman"/>
              </w:rPr>
            </w:pPr>
            <w:r>
              <w:rPr>
                <w:rFonts w:ascii="Times New Roman" w:hAnsi="Times New Roman" w:cs="Times New Roman"/>
              </w:rPr>
              <w:t>-6.8</w:t>
            </w:r>
          </w:p>
        </w:tc>
        <w:tc>
          <w:tcPr>
            <w:tcW w:w="1870" w:type="dxa"/>
          </w:tcPr>
          <w:p w14:paraId="3504BF7E" w14:textId="473777E9" w:rsidR="00FC309F" w:rsidRDefault="00FC309F" w:rsidP="00FC309F">
            <w:pPr>
              <w:spacing w:line="360" w:lineRule="auto"/>
              <w:rPr>
                <w:rFonts w:ascii="Times New Roman" w:hAnsi="Times New Roman" w:cs="Times New Roman"/>
              </w:rPr>
            </w:pPr>
            <w:r>
              <w:rPr>
                <w:rFonts w:ascii="Times New Roman" w:hAnsi="Times New Roman" w:cs="Times New Roman"/>
              </w:rPr>
              <w:t>4-slope</w:t>
            </w:r>
          </w:p>
        </w:tc>
        <w:tc>
          <w:tcPr>
            <w:tcW w:w="1870" w:type="dxa"/>
          </w:tcPr>
          <w:p w14:paraId="1233262F" w14:textId="6ABFD538" w:rsidR="00FC309F" w:rsidRDefault="00FC309F" w:rsidP="00FC309F">
            <w:pPr>
              <w:spacing w:line="360" w:lineRule="auto"/>
              <w:rPr>
                <w:rFonts w:ascii="Times New Roman" w:hAnsi="Times New Roman" w:cs="Times New Roman"/>
              </w:rPr>
            </w:pPr>
            <w:r>
              <w:rPr>
                <w:rFonts w:ascii="Times New Roman" w:hAnsi="Times New Roman" w:cs="Times New Roman"/>
              </w:rPr>
              <w:t>35.9%</w:t>
            </w:r>
          </w:p>
        </w:tc>
        <w:tc>
          <w:tcPr>
            <w:tcW w:w="1870" w:type="dxa"/>
          </w:tcPr>
          <w:p w14:paraId="4F4C91A5" w14:textId="77777777" w:rsidR="00FC309F" w:rsidRDefault="00FC309F" w:rsidP="00FC309F">
            <w:pPr>
              <w:spacing w:line="360" w:lineRule="auto"/>
              <w:rPr>
                <w:rFonts w:ascii="Times New Roman" w:hAnsi="Times New Roman" w:cs="Times New Roman"/>
              </w:rPr>
            </w:pPr>
          </w:p>
        </w:tc>
      </w:tr>
      <w:tr w:rsidR="00FC309F" w14:paraId="4646E67C" w14:textId="77777777" w:rsidTr="00FC309F">
        <w:tc>
          <w:tcPr>
            <w:tcW w:w="1870" w:type="dxa"/>
          </w:tcPr>
          <w:p w14:paraId="059A2126" w14:textId="3613D2AB" w:rsidR="00FC309F" w:rsidRDefault="00FC309F" w:rsidP="00FC309F">
            <w:pPr>
              <w:spacing w:line="360" w:lineRule="auto"/>
              <w:rPr>
                <w:rFonts w:ascii="Times New Roman" w:hAnsi="Times New Roman" w:cs="Times New Roman"/>
              </w:rPr>
            </w:pPr>
            <w:r>
              <w:rPr>
                <w:rFonts w:ascii="Times New Roman" w:hAnsi="Times New Roman" w:cs="Times New Roman"/>
              </w:rPr>
              <w:t>5-slope</w:t>
            </w:r>
          </w:p>
        </w:tc>
        <w:tc>
          <w:tcPr>
            <w:tcW w:w="1870" w:type="dxa"/>
          </w:tcPr>
          <w:p w14:paraId="04F67025" w14:textId="261F7F37" w:rsidR="00FC309F" w:rsidRDefault="00FC309F" w:rsidP="00FC309F">
            <w:pPr>
              <w:spacing w:line="360" w:lineRule="auto"/>
              <w:rPr>
                <w:rFonts w:ascii="Times New Roman" w:hAnsi="Times New Roman" w:cs="Times New Roman"/>
              </w:rPr>
            </w:pPr>
            <w:r>
              <w:rPr>
                <w:rFonts w:ascii="Times New Roman" w:hAnsi="Times New Roman" w:cs="Times New Roman"/>
              </w:rPr>
              <w:t>5.5</w:t>
            </w:r>
          </w:p>
        </w:tc>
        <w:tc>
          <w:tcPr>
            <w:tcW w:w="1870" w:type="dxa"/>
          </w:tcPr>
          <w:p w14:paraId="7D38FDE6" w14:textId="7E5051C4" w:rsidR="00FC309F" w:rsidRDefault="00FC309F" w:rsidP="00FC309F">
            <w:pPr>
              <w:spacing w:line="360" w:lineRule="auto"/>
              <w:rPr>
                <w:rFonts w:ascii="Times New Roman" w:hAnsi="Times New Roman" w:cs="Times New Roman"/>
              </w:rPr>
            </w:pPr>
            <w:r>
              <w:rPr>
                <w:rFonts w:ascii="Times New Roman" w:hAnsi="Times New Roman" w:cs="Times New Roman"/>
              </w:rPr>
              <w:t>5-cwd</w:t>
            </w:r>
          </w:p>
        </w:tc>
        <w:tc>
          <w:tcPr>
            <w:tcW w:w="1870" w:type="dxa"/>
          </w:tcPr>
          <w:p w14:paraId="0E71652E" w14:textId="6FE705AA" w:rsidR="00FC309F" w:rsidRDefault="00FC309F" w:rsidP="00FC309F">
            <w:pPr>
              <w:spacing w:line="360" w:lineRule="auto"/>
              <w:rPr>
                <w:rFonts w:ascii="Times New Roman" w:hAnsi="Times New Roman" w:cs="Times New Roman"/>
              </w:rPr>
            </w:pPr>
            <w:r>
              <w:rPr>
                <w:rFonts w:ascii="Times New Roman" w:hAnsi="Times New Roman" w:cs="Times New Roman"/>
              </w:rPr>
              <w:t>31.1%</w:t>
            </w:r>
          </w:p>
        </w:tc>
        <w:tc>
          <w:tcPr>
            <w:tcW w:w="1870" w:type="dxa"/>
          </w:tcPr>
          <w:p w14:paraId="2F435CAB" w14:textId="77777777" w:rsidR="00FC309F" w:rsidRDefault="00FC309F" w:rsidP="00FC309F">
            <w:pPr>
              <w:spacing w:line="360" w:lineRule="auto"/>
              <w:rPr>
                <w:rFonts w:ascii="Times New Roman" w:hAnsi="Times New Roman" w:cs="Times New Roman"/>
              </w:rPr>
            </w:pPr>
          </w:p>
        </w:tc>
      </w:tr>
      <w:tr w:rsidR="00067BA4" w14:paraId="7224C1FC" w14:textId="77777777" w:rsidTr="00FC309F">
        <w:tc>
          <w:tcPr>
            <w:tcW w:w="1870" w:type="dxa"/>
          </w:tcPr>
          <w:p w14:paraId="315FD8C8" w14:textId="7AA776DC" w:rsidR="00067BA4" w:rsidRDefault="00067BA4" w:rsidP="00FC309F">
            <w:pPr>
              <w:spacing w:line="360" w:lineRule="auto"/>
              <w:rPr>
                <w:rFonts w:ascii="Times New Roman" w:hAnsi="Times New Roman" w:cs="Times New Roman"/>
              </w:rPr>
            </w:pPr>
            <w:r>
              <w:rPr>
                <w:rFonts w:ascii="Times New Roman" w:hAnsi="Times New Roman" w:cs="Times New Roman"/>
              </w:rPr>
              <w:t>6-aspect</w:t>
            </w:r>
          </w:p>
        </w:tc>
        <w:tc>
          <w:tcPr>
            <w:tcW w:w="1870" w:type="dxa"/>
          </w:tcPr>
          <w:p w14:paraId="450C3AAF" w14:textId="40CA8F3A" w:rsidR="00067BA4" w:rsidRDefault="00067BA4" w:rsidP="00FC309F">
            <w:pPr>
              <w:spacing w:line="360" w:lineRule="auto"/>
              <w:rPr>
                <w:rFonts w:ascii="Times New Roman" w:hAnsi="Times New Roman" w:cs="Times New Roman"/>
              </w:rPr>
            </w:pPr>
            <w:r>
              <w:rPr>
                <w:rFonts w:ascii="Times New Roman" w:hAnsi="Times New Roman" w:cs="Times New Roman"/>
              </w:rPr>
              <w:t>2.2</w:t>
            </w:r>
          </w:p>
        </w:tc>
        <w:tc>
          <w:tcPr>
            <w:tcW w:w="1870" w:type="dxa"/>
          </w:tcPr>
          <w:p w14:paraId="0134371A" w14:textId="48775D4F" w:rsidR="00067BA4" w:rsidRDefault="00067BA4" w:rsidP="00FC309F">
            <w:pPr>
              <w:spacing w:line="360" w:lineRule="auto"/>
              <w:rPr>
                <w:rFonts w:ascii="Times New Roman" w:hAnsi="Times New Roman" w:cs="Times New Roman"/>
              </w:rPr>
            </w:pPr>
            <w:r>
              <w:rPr>
                <w:rFonts w:ascii="Times New Roman" w:hAnsi="Times New Roman" w:cs="Times New Roman"/>
              </w:rPr>
              <w:t>6-spk</w:t>
            </w:r>
          </w:p>
        </w:tc>
        <w:tc>
          <w:tcPr>
            <w:tcW w:w="1870" w:type="dxa"/>
          </w:tcPr>
          <w:p w14:paraId="4B3286A9" w14:textId="40EEAD88" w:rsidR="00067BA4" w:rsidRDefault="00067BA4" w:rsidP="00FC309F">
            <w:pPr>
              <w:spacing w:line="360" w:lineRule="auto"/>
              <w:rPr>
                <w:rFonts w:ascii="Times New Roman" w:hAnsi="Times New Roman" w:cs="Times New Roman"/>
              </w:rPr>
            </w:pPr>
            <w:r>
              <w:rPr>
                <w:rFonts w:ascii="Times New Roman" w:hAnsi="Times New Roman" w:cs="Times New Roman"/>
              </w:rPr>
              <w:t>27.9%</w:t>
            </w:r>
          </w:p>
        </w:tc>
        <w:tc>
          <w:tcPr>
            <w:tcW w:w="1870" w:type="dxa"/>
          </w:tcPr>
          <w:p w14:paraId="6C64CD4C" w14:textId="77777777" w:rsidR="00067BA4" w:rsidRDefault="00067BA4" w:rsidP="00FC309F">
            <w:pPr>
              <w:spacing w:line="360" w:lineRule="auto"/>
              <w:rPr>
                <w:rFonts w:ascii="Times New Roman" w:hAnsi="Times New Roman" w:cs="Times New Roman"/>
              </w:rPr>
            </w:pPr>
          </w:p>
        </w:tc>
      </w:tr>
    </w:tbl>
    <w:p w14:paraId="1C8277F9" w14:textId="77777777" w:rsidR="00FC309F" w:rsidRDefault="00FC309F" w:rsidP="008C444D">
      <w:pPr>
        <w:spacing w:line="360" w:lineRule="auto"/>
        <w:rPr>
          <w:rFonts w:ascii="Times New Roman" w:hAnsi="Times New Roman" w:cs="Times New Roman"/>
        </w:rPr>
      </w:pPr>
    </w:p>
    <w:p w14:paraId="036FE40E" w14:textId="77777777" w:rsidR="008C444D" w:rsidRPr="008C444D" w:rsidRDefault="008C444D" w:rsidP="008C444D">
      <w:pPr>
        <w:pStyle w:val="EndNoteBibliographyTitle"/>
        <w:rPr>
          <w:b/>
          <w:noProof/>
        </w:rPr>
      </w:pPr>
      <w:r>
        <w:fldChar w:fldCharType="begin"/>
      </w:r>
      <w:r>
        <w:instrText xml:space="preserve"> ADDIN EN.REFLIST </w:instrText>
      </w:r>
      <w:r>
        <w:fldChar w:fldCharType="separate"/>
      </w:r>
      <w:r w:rsidRPr="008C444D">
        <w:rPr>
          <w:b/>
          <w:noProof/>
        </w:rPr>
        <w:t>References</w:t>
      </w:r>
    </w:p>
    <w:p w14:paraId="0AE1B288" w14:textId="77777777" w:rsidR="008C444D" w:rsidRPr="008C444D" w:rsidRDefault="008C444D" w:rsidP="008C444D">
      <w:pPr>
        <w:pStyle w:val="EndNoteBibliographyTitle"/>
        <w:rPr>
          <w:b/>
          <w:noProof/>
        </w:rPr>
      </w:pPr>
    </w:p>
    <w:p w14:paraId="25E6ECC1" w14:textId="77777777" w:rsidR="008C444D" w:rsidRPr="008C444D" w:rsidRDefault="008C444D" w:rsidP="008C444D">
      <w:pPr>
        <w:pStyle w:val="EndNoteBibliography"/>
        <w:ind w:left="720" w:hanging="720"/>
        <w:rPr>
          <w:noProof/>
        </w:rPr>
      </w:pPr>
      <w:r w:rsidRPr="008C444D">
        <w:rPr>
          <w:noProof/>
        </w:rPr>
        <w:t xml:space="preserve">Flint, L. E., A. L. Flint, J. H. Thorne, and R. Boynton. 2013. Fine-scale hydrologic modeling for regional landscape applications: the California Basin Characterization Model development and performance. Ecological Processes </w:t>
      </w:r>
      <w:r w:rsidRPr="008C444D">
        <w:rPr>
          <w:b/>
          <w:noProof/>
        </w:rPr>
        <w:t>2</w:t>
      </w:r>
      <w:r w:rsidRPr="008C444D">
        <w:rPr>
          <w:noProof/>
        </w:rPr>
        <w:t>:1-21.</w:t>
      </w:r>
    </w:p>
    <w:p w14:paraId="506D88C0" w14:textId="287B8696" w:rsidR="004B2F3B" w:rsidRPr="00BF6A4A" w:rsidRDefault="008C444D" w:rsidP="008C444D">
      <w:pPr>
        <w:spacing w:line="360" w:lineRule="auto"/>
        <w:rPr>
          <w:rFonts w:ascii="Times New Roman" w:hAnsi="Times New Roman" w:cs="Times New Roman"/>
        </w:rPr>
      </w:pPr>
      <w:r>
        <w:rPr>
          <w:rFonts w:ascii="Times New Roman" w:hAnsi="Times New Roman" w:cs="Times New Roman"/>
        </w:rPr>
        <w:fldChar w:fldCharType="end"/>
      </w:r>
    </w:p>
    <w:sectPr w:rsidR="004B2F3B" w:rsidRPr="00BF6A4A" w:rsidSect="00AF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ppaavf8t2zvwe9f0oxa5rcervz0wedp050&quot;&gt;USGS Research&lt;record-ids&gt;&lt;item&gt;2279&lt;/item&gt;&lt;/record-ids&gt;&lt;/item&gt;&lt;/Libraries&gt;"/>
  </w:docVars>
  <w:rsids>
    <w:rsidRoot w:val="00BF6A4A"/>
    <w:rsid w:val="00023506"/>
    <w:rsid w:val="0003484F"/>
    <w:rsid w:val="00040DA3"/>
    <w:rsid w:val="00047C7D"/>
    <w:rsid w:val="00067BA4"/>
    <w:rsid w:val="00073B35"/>
    <w:rsid w:val="00096EA2"/>
    <w:rsid w:val="000C53D5"/>
    <w:rsid w:val="000C5EE7"/>
    <w:rsid w:val="000F21B7"/>
    <w:rsid w:val="0011592A"/>
    <w:rsid w:val="00125D3F"/>
    <w:rsid w:val="00145C63"/>
    <w:rsid w:val="0015479C"/>
    <w:rsid w:val="001668F1"/>
    <w:rsid w:val="0018403C"/>
    <w:rsid w:val="0018456D"/>
    <w:rsid w:val="0019045B"/>
    <w:rsid w:val="002032AF"/>
    <w:rsid w:val="002314DD"/>
    <w:rsid w:val="00254082"/>
    <w:rsid w:val="00291B04"/>
    <w:rsid w:val="00292D5F"/>
    <w:rsid w:val="002A6EDD"/>
    <w:rsid w:val="002B0A1B"/>
    <w:rsid w:val="002E05DD"/>
    <w:rsid w:val="002E3130"/>
    <w:rsid w:val="002F45B0"/>
    <w:rsid w:val="002F6DD5"/>
    <w:rsid w:val="00302151"/>
    <w:rsid w:val="00302A94"/>
    <w:rsid w:val="00317E81"/>
    <w:rsid w:val="003260C0"/>
    <w:rsid w:val="00335C43"/>
    <w:rsid w:val="00385DE6"/>
    <w:rsid w:val="00392F59"/>
    <w:rsid w:val="00395CB8"/>
    <w:rsid w:val="003A65A3"/>
    <w:rsid w:val="003B4FA9"/>
    <w:rsid w:val="003C4216"/>
    <w:rsid w:val="003C70D5"/>
    <w:rsid w:val="003E0AA7"/>
    <w:rsid w:val="003E4867"/>
    <w:rsid w:val="004041DA"/>
    <w:rsid w:val="004116BC"/>
    <w:rsid w:val="004225F2"/>
    <w:rsid w:val="00423BAD"/>
    <w:rsid w:val="00431E74"/>
    <w:rsid w:val="0043644D"/>
    <w:rsid w:val="004506B5"/>
    <w:rsid w:val="004535B4"/>
    <w:rsid w:val="0045798E"/>
    <w:rsid w:val="004728F1"/>
    <w:rsid w:val="004810D9"/>
    <w:rsid w:val="00485F11"/>
    <w:rsid w:val="004B2F3B"/>
    <w:rsid w:val="004B5911"/>
    <w:rsid w:val="004D7A2B"/>
    <w:rsid w:val="004F3621"/>
    <w:rsid w:val="00503803"/>
    <w:rsid w:val="00510998"/>
    <w:rsid w:val="00512CA7"/>
    <w:rsid w:val="005313A3"/>
    <w:rsid w:val="00540299"/>
    <w:rsid w:val="005467B2"/>
    <w:rsid w:val="00561D14"/>
    <w:rsid w:val="00564E37"/>
    <w:rsid w:val="00585318"/>
    <w:rsid w:val="00587C81"/>
    <w:rsid w:val="00592070"/>
    <w:rsid w:val="0059455A"/>
    <w:rsid w:val="005B7F9E"/>
    <w:rsid w:val="005C57E6"/>
    <w:rsid w:val="005D0C6E"/>
    <w:rsid w:val="005D1C42"/>
    <w:rsid w:val="005E06EB"/>
    <w:rsid w:val="005E121F"/>
    <w:rsid w:val="00603013"/>
    <w:rsid w:val="006325A0"/>
    <w:rsid w:val="006413DD"/>
    <w:rsid w:val="00666AF0"/>
    <w:rsid w:val="00671FA6"/>
    <w:rsid w:val="00673000"/>
    <w:rsid w:val="006770A3"/>
    <w:rsid w:val="006779C3"/>
    <w:rsid w:val="006835D7"/>
    <w:rsid w:val="006841AB"/>
    <w:rsid w:val="006B7C23"/>
    <w:rsid w:val="006C1817"/>
    <w:rsid w:val="006C6997"/>
    <w:rsid w:val="006D49D9"/>
    <w:rsid w:val="006E1EAA"/>
    <w:rsid w:val="006F395B"/>
    <w:rsid w:val="00703DC9"/>
    <w:rsid w:val="00737A02"/>
    <w:rsid w:val="00753FBB"/>
    <w:rsid w:val="00771BC7"/>
    <w:rsid w:val="007762CA"/>
    <w:rsid w:val="007A3A61"/>
    <w:rsid w:val="007B375B"/>
    <w:rsid w:val="007D7ECC"/>
    <w:rsid w:val="007E65CA"/>
    <w:rsid w:val="008073D3"/>
    <w:rsid w:val="00817CD4"/>
    <w:rsid w:val="00822C2D"/>
    <w:rsid w:val="008306A2"/>
    <w:rsid w:val="00843E11"/>
    <w:rsid w:val="008460E7"/>
    <w:rsid w:val="00855BA6"/>
    <w:rsid w:val="00856B02"/>
    <w:rsid w:val="0086430C"/>
    <w:rsid w:val="0088600D"/>
    <w:rsid w:val="008A63EB"/>
    <w:rsid w:val="008C444D"/>
    <w:rsid w:val="008C6A76"/>
    <w:rsid w:val="008F1341"/>
    <w:rsid w:val="00914AD8"/>
    <w:rsid w:val="009255ED"/>
    <w:rsid w:val="00940937"/>
    <w:rsid w:val="00941C30"/>
    <w:rsid w:val="009469CF"/>
    <w:rsid w:val="009508E8"/>
    <w:rsid w:val="009532FC"/>
    <w:rsid w:val="00957B94"/>
    <w:rsid w:val="00961B48"/>
    <w:rsid w:val="009A04D8"/>
    <w:rsid w:val="009A7260"/>
    <w:rsid w:val="009B5AB5"/>
    <w:rsid w:val="009D651F"/>
    <w:rsid w:val="009F6C63"/>
    <w:rsid w:val="00A14451"/>
    <w:rsid w:val="00A16207"/>
    <w:rsid w:val="00A23110"/>
    <w:rsid w:val="00A23E8E"/>
    <w:rsid w:val="00A31324"/>
    <w:rsid w:val="00A34FD1"/>
    <w:rsid w:val="00A55091"/>
    <w:rsid w:val="00A57443"/>
    <w:rsid w:val="00A867B5"/>
    <w:rsid w:val="00AC06A6"/>
    <w:rsid w:val="00AC1420"/>
    <w:rsid w:val="00AC577D"/>
    <w:rsid w:val="00AD1355"/>
    <w:rsid w:val="00AD6B3C"/>
    <w:rsid w:val="00AE4DF2"/>
    <w:rsid w:val="00AF0E1F"/>
    <w:rsid w:val="00AF1BDA"/>
    <w:rsid w:val="00AF1F34"/>
    <w:rsid w:val="00B0578F"/>
    <w:rsid w:val="00B36D2A"/>
    <w:rsid w:val="00B63EE3"/>
    <w:rsid w:val="00B66AA3"/>
    <w:rsid w:val="00B70D9F"/>
    <w:rsid w:val="00B91C1C"/>
    <w:rsid w:val="00BB018C"/>
    <w:rsid w:val="00BB3E45"/>
    <w:rsid w:val="00BE05AF"/>
    <w:rsid w:val="00BF356D"/>
    <w:rsid w:val="00BF4AF9"/>
    <w:rsid w:val="00BF68B0"/>
    <w:rsid w:val="00BF6A4A"/>
    <w:rsid w:val="00C04548"/>
    <w:rsid w:val="00C105EA"/>
    <w:rsid w:val="00C27B88"/>
    <w:rsid w:val="00C31BA2"/>
    <w:rsid w:val="00C4579B"/>
    <w:rsid w:val="00C55898"/>
    <w:rsid w:val="00C56C6B"/>
    <w:rsid w:val="00C934CE"/>
    <w:rsid w:val="00CC56EB"/>
    <w:rsid w:val="00D1115A"/>
    <w:rsid w:val="00D24E53"/>
    <w:rsid w:val="00D40E2F"/>
    <w:rsid w:val="00D6377B"/>
    <w:rsid w:val="00D64A52"/>
    <w:rsid w:val="00D679BF"/>
    <w:rsid w:val="00D708C8"/>
    <w:rsid w:val="00D752C1"/>
    <w:rsid w:val="00D75F74"/>
    <w:rsid w:val="00DA72EF"/>
    <w:rsid w:val="00DB2AE6"/>
    <w:rsid w:val="00DB491D"/>
    <w:rsid w:val="00DC0C89"/>
    <w:rsid w:val="00DD1691"/>
    <w:rsid w:val="00E218F9"/>
    <w:rsid w:val="00E36B7B"/>
    <w:rsid w:val="00E54442"/>
    <w:rsid w:val="00E55033"/>
    <w:rsid w:val="00E5736F"/>
    <w:rsid w:val="00E64D9C"/>
    <w:rsid w:val="00E77CB3"/>
    <w:rsid w:val="00E91065"/>
    <w:rsid w:val="00EA0C83"/>
    <w:rsid w:val="00EB5EAA"/>
    <w:rsid w:val="00ED7425"/>
    <w:rsid w:val="00F11E21"/>
    <w:rsid w:val="00F53687"/>
    <w:rsid w:val="00F930C9"/>
    <w:rsid w:val="00FA2E5C"/>
    <w:rsid w:val="00FB2FF3"/>
    <w:rsid w:val="00FC2573"/>
    <w:rsid w:val="00FC309F"/>
    <w:rsid w:val="00FE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AC34"/>
  <w15:chartTrackingRefBased/>
  <w15:docId w15:val="{F4E50905-D105-E649-AA73-0EFBFAF1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7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578F"/>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8C444D"/>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8C444D"/>
    <w:rPr>
      <w:rFonts w:ascii="Times New Roman" w:hAnsi="Times New Roman" w:cs="Times New Roman"/>
    </w:rPr>
  </w:style>
  <w:style w:type="paragraph" w:customStyle="1" w:styleId="EndNoteBibliography">
    <w:name w:val="EndNote Bibliography"/>
    <w:basedOn w:val="Normal"/>
    <w:link w:val="EndNoteBibliographyChar"/>
    <w:rsid w:val="008C444D"/>
    <w:rPr>
      <w:rFonts w:ascii="Times New Roman" w:hAnsi="Times New Roman" w:cs="Times New Roman"/>
    </w:rPr>
  </w:style>
  <w:style w:type="character" w:customStyle="1" w:styleId="EndNoteBibliographyChar">
    <w:name w:val="EndNote Bibliography Char"/>
    <w:basedOn w:val="DefaultParagraphFont"/>
    <w:link w:val="EndNoteBibliography"/>
    <w:rsid w:val="008C444D"/>
    <w:rPr>
      <w:rFonts w:ascii="Times New Roman" w:hAnsi="Times New Roman" w:cs="Times New Roman"/>
    </w:rPr>
  </w:style>
  <w:style w:type="table" w:styleId="TableGrid">
    <w:name w:val="Table Grid"/>
    <w:basedOn w:val="TableNormal"/>
    <w:uiPriority w:val="39"/>
    <w:rsid w:val="00FC3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Jens T</dc:creator>
  <cp:keywords/>
  <dc:description/>
  <cp:lastModifiedBy>Stevens, Jens T</cp:lastModifiedBy>
  <cp:revision>3</cp:revision>
  <dcterms:created xsi:type="dcterms:W3CDTF">2020-04-24T17:31:00Z</dcterms:created>
  <dcterms:modified xsi:type="dcterms:W3CDTF">2020-04-25T00:13:00Z</dcterms:modified>
</cp:coreProperties>
</file>