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00"/>
      </w:pPr>
      <w:r>
        <w:rPr>
          <w:rFonts w:ascii="Calibri" w:cs="Calibri" w:eastAsia="Calibri" w:hAnsi="Calibri"/>
          <w:b/>
          <w:bCs/>
          <w:color w:val="1F3352"/>
          <w:sz w:val="52"/>
          <w:szCs w:val="52"/>
        </w:rPr>
        <w:t xml:space="preserve">UNIFIED CRM BLUEPRINT</w:t>
      </w:r>
    </w:p>
    <w:p>
      <w:pPr>
        <w:pBdr>
          <w:bottom w:val="single" w:color="1F3352" w:sz="12" w:space="8"/>
        </w:pBdr>
        <w:spacing w:after="300"/>
      </w:pPr>
      <w:r>
        <w:rPr>
          <w:rFonts w:ascii="Calibri" w:cs="Calibri" w:eastAsia="Calibri" w:hAnsi="Calibri"/>
          <w:color w:val="4A5568"/>
          <w:sz w:val="28"/>
          <w:szCs w:val="28"/>
        </w:rPr>
        <w:t xml:space="preserve">One CompanyHub Instance — Real Estate + Auto Verticals</w:t>
      </w:r>
    </w:p>
    <w:p>
      <w:pPr>
        <w:spacing w:after="60" w:line="276"/>
      </w:pPr>
      <w:r>
        <w:rPr>
          <w:rFonts w:ascii="Calibri" w:cs="Calibri" w:eastAsia="Calibri" w:hAnsi="Calibri"/>
          <w:b/>
          <w:bCs/>
          <w:color w:val="222222"/>
          <w:sz w:val="24"/>
          <w:szCs w:val="24"/>
        </w:rPr>
        <w:t xml:space="preserve">Honeycomb Investors LLC</w:t>
      </w:r>
    </w:p>
    <w:p>
      <w:pPr>
        <w:spacing w:after="400" w:line="276"/>
      </w:pPr>
      <w:r>
        <w:rPr>
          <w:rFonts w:ascii="Calibri" w:cs="Calibri" w:eastAsia="Calibri" w:hAnsi="Calibri"/>
          <w:color w:val="4A5568"/>
          <w:sz w:val="22"/>
          <w:szCs w:val="22"/>
        </w:rPr>
        <w:t xml:space="preserve">CompanyHub CRM — Pattern C Extended</w:t>
      </w:r>
    </w:p>
    <w:p>
      <w:pPr>
        <w:spacing w:after="600"/>
      </w:pP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2400"/>
        <w:gridCol w:w="6960"/>
      </w:tblGrid>
      <w:tr>
        <w:trPr>
          <w:cantSplit/>
          <w:tblHeader/>
        </w:trPr>
        <w:tc>
          <w:tcPr>
            <w:tcW w:type="dxa" w:w="24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Field</w:t>
            </w:r>
          </w:p>
        </w:tc>
        <w:tc>
          <w:tcPr>
            <w:tcW w:type="dxa" w:w="69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Value</w:t>
            </w:r>
          </w:p>
        </w:tc>
      </w:tr>
      <w:tr>
        <w:trPr>
          <w:cantSplit/>
          <w:tblHeader w:val="false"/>
        </w:trPr>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Document</w:t>
            </w:r>
          </w:p>
        </w:tc>
        <w:tc>
          <w:tcPr>
            <w:tcW w:type="dxa" w:w="69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Unified CRM Blueprint — Real Estate + Auto</w:t>
            </w:r>
          </w:p>
        </w:tc>
      </w:tr>
      <w:tr>
        <w:trPr>
          <w:cantSplit/>
          <w:tblHeader w:val="false"/>
        </w:trPr>
        <w:tc>
          <w:tcPr>
            <w:tcW w:type="dxa" w:w="2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Version</w:t>
            </w:r>
          </w:p>
        </w:tc>
        <w:tc>
          <w:tcPr>
            <w:tcW w:type="dxa" w:w="69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v1.0 (unified)</w:t>
            </w:r>
          </w:p>
        </w:tc>
      </w:tr>
      <w:tr>
        <w:trPr>
          <w:cantSplit/>
          <w:tblHeader w:val="false"/>
        </w:trPr>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Date</w:t>
            </w:r>
          </w:p>
        </w:tc>
        <w:tc>
          <w:tcPr>
            <w:tcW w:type="dxa" w:w="69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September 8, 2026</w:t>
            </w:r>
          </w:p>
        </w:tc>
      </w:tr>
      <w:tr>
        <w:trPr>
          <w:cantSplit/>
          <w:tblHeader w:val="false"/>
        </w:trPr>
        <w:tc>
          <w:tcPr>
            <w:tcW w:type="dxa" w:w="2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Supersedes</w:t>
            </w:r>
          </w:p>
        </w:tc>
        <w:tc>
          <w:tcPr>
            <w:tcW w:type="dxa" w:w="69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CompanyHub Multi-Strategy Real Estate Architecture (Feb 15, 2026) — real-estate only</w:t>
            </w:r>
          </w:p>
        </w:tc>
      </w:tr>
      <w:tr>
        <w:trPr>
          <w:cantSplit/>
          <w:tblHeader w:val="false"/>
        </w:trPr>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Incorporates</w:t>
            </w:r>
          </w:p>
        </w:tc>
        <w:tc>
          <w:tcPr>
            <w:tcW w:type="dxa" w:w="69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CRM-ARCHITECTURE-AUDIT.md (Feb 16, 2026), branch claude/audit-crm-config-OBJc0</w:t>
            </w:r>
          </w:p>
        </w:tc>
      </w:tr>
      <w:tr>
        <w:trPr>
          <w:cantSplit/>
          <w:tblHeader w:val="false"/>
        </w:trPr>
        <w:tc>
          <w:tcPr>
            <w:tcW w:type="dxa" w:w="2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Code reconciled</w:t>
            </w:r>
          </w:p>
        </w:tc>
        <w:tc>
          <w:tcPr>
            <w:tcW w:type="dxa" w:w="69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quantum_companyhub.gs, quantum_crm_engine.gs, main.gs, TURO_SPEC_PACK.md</w:t>
            </w:r>
          </w:p>
        </w:tc>
      </w:tr>
      <w:tr>
        <w:trPr>
          <w:cantSplit/>
          <w:tblHeader w:val="false"/>
        </w:trPr>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Status</w:t>
            </w:r>
          </w:p>
        </w:tc>
        <w:tc>
          <w:tcPr>
            <w:tcW w:type="dxa" w:w="69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DRAFT — requires CompanyHub capability verification (Section N)</w:t>
            </w:r>
          </w:p>
        </w:tc>
      </w:tr>
    </w:tbl>
    <w:p>
      <w:r>
        <w:br w:type="page"/>
      </w:r>
    </w:p>
    <w:p>
      <w:pPr>
        <w:pStyle w:val="Heading1"/>
        <w:keepNext/>
        <w:pBdr>
          <w:bottom w:val="single" w:color="C8CFD9" w:sz="8" w:space="6"/>
        </w:pBdr>
        <w:spacing w:after="160" w:before="360"/>
      </w:pPr>
      <w:r>
        <w:rPr>
          <w:rFonts w:ascii="Calibri" w:cs="Calibri" w:eastAsia="Calibri" w:hAnsi="Calibri"/>
          <w:b/>
          <w:bCs/>
          <w:color w:val="1F3352"/>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rFonts w:ascii="Calibri" w:cs="Calibri" w:eastAsia="Calibri" w:hAnsi="Calibri"/>
          <w:i/>
          <w:iCs/>
          <w:color w:val="4A5568"/>
          <w:sz w:val="18"/>
          <w:szCs w:val="18"/>
        </w:rPr>
        <w:t xml:space="preserve">If this page is blank, right-click it in Word and choose Update Field to build the table of contents.</w:t>
      </w:r>
    </w:p>
    <w:p>
      <w:r>
        <w:br w:type="page"/>
      </w:r>
    </w:p>
    <w:p>
      <w:pPr>
        <w:pStyle w:val="Heading1"/>
        <w:keepNext/>
        <w:pBdr>
          <w:bottom w:val="single" w:color="C8CFD9" w:sz="8" w:space="6"/>
        </w:pBdr>
        <w:spacing w:after="160" w:before="360"/>
      </w:pPr>
      <w:r>
        <w:rPr>
          <w:rFonts w:ascii="Calibri" w:cs="Calibri" w:eastAsia="Calibri" w:hAnsi="Calibri"/>
          <w:b/>
          <w:bCs/>
          <w:color w:val="1F3352"/>
          <w:sz w:val="30"/>
          <w:szCs w:val="30"/>
        </w:rPr>
        <w:t xml:space="preserve">A. Executive Summary</w:t>
      </w:r>
    </w:p>
    <w:p>
      <w:pPr>
        <w:spacing w:after="120" w:line="276"/>
      </w:pPr>
      <w:r>
        <w:rPr>
          <w:rFonts w:ascii="Calibri" w:cs="Calibri" w:eastAsia="Calibri" w:hAnsi="Calibri"/>
          <w:color w:val="222222"/>
          <w:sz w:val="21"/>
          <w:szCs w:val="21"/>
        </w:rPr>
        <w:t xml:space="preserve">This document specifies a single CompanyHub instance that runs both the real estate and the automotive acquisition businesses. It replaces two partial designs: a real-estate architecture that reserved a slot for vehicles but never specified them, and a working CarHawk export that writes into pipeline stages which do not exist.</w:t>
      </w:r>
    </w:p>
    <w:p>
      <w:pPr>
        <w:pStyle w:val="Heading2"/>
        <w:keepNext/>
        <w:spacing w:after="110" w:before="260"/>
      </w:pPr>
      <w:r>
        <w:rPr>
          <w:rFonts w:ascii="Calibri" w:cs="Calibri" w:eastAsia="Calibri" w:hAnsi="Calibri"/>
          <w:b/>
          <w:bCs/>
          <w:color w:val="1F3352"/>
          <w:sz w:val="24"/>
          <w:szCs w:val="24"/>
        </w:rPr>
        <w:t xml:space="preserve">The decision</w:t>
      </w:r>
    </w:p>
    <w:p>
      <w:pPr>
        <w:spacing w:after="120" w:line="276"/>
      </w:pPr>
      <w:r>
        <w:rPr>
          <w:rFonts w:ascii="Calibri" w:cs="Calibri" w:eastAsia="Calibri" w:hAnsi="Calibri"/>
          <w:color w:val="222222"/>
          <w:sz w:val="21"/>
          <w:szCs w:val="21"/>
        </w:rPr>
        <w:t xml:space="preserve">One CompanyHub. One Deal pipeline. Two asset tables. The verticals share a transaction model and diverge only at the asset layer — which is exactly where they genuinely differ, and nowhere else.</w:t>
      </w:r>
    </w:p>
    <w:tbl>
      <w:tblPr>
        <w:tblW w:type="dxa" w:w="9360"/>
        <w:tblBorders>
          <w:top w:val="single" w:color="C8CFD9" w:sz="4"/>
          <w:left w:val="single" w:color="1F3352" w:sz="18"/>
          <w:bottom w:val="single" w:color="C8CFD9" w:sz="4"/>
          <w:right w:val="single" w:color="C8CFD9" w:sz="4"/>
          <w:insideH w:val="none"/>
          <w:insideV w:val="none"/>
        </w:tblBorders>
      </w:tblPr>
      <w:tblGrid>
        <w:gridCol w:w="9360"/>
      </w:tblGrid>
      <w:tr>
        <w:trPr>
          <w:cantSplit/>
        </w:trPr>
        <w:tc>
          <w:tcPr>
            <w:tcW w:type="dxa" w:w="9360"/>
            <w:shd w:fill="EAF4EC" w:color="auto" w:val="clear"/>
            <w:tcMar>
              <w:top w:type="dxa" w:w="140"/>
              <w:left w:type="dxa" w:w="180"/>
              <w:bottom w:type="dxa" w:w="140"/>
              <w:right w:type="dxa" w:w="160"/>
            </w:tcMar>
          </w:tcPr>
          <w:p>
            <w:pPr>
              <w:spacing w:after="80"/>
            </w:pPr>
            <w:r>
              <w:rPr>
                <w:rFonts w:ascii="Calibri" w:cs="Calibri" w:eastAsia="Calibri" w:hAnsi="Calibri"/>
                <w:b/>
                <w:bCs/>
                <w:color w:val="1F3352"/>
                <w:sz w:val="20"/>
                <w:szCs w:val="20"/>
              </w:rPr>
              <w:t xml:space="preserve">Why one CRM works here</w:t>
            </w:r>
          </w:p>
          <w:p>
            <w:pPr>
              <w:spacing w:after="60" w:line="264"/>
            </w:pPr>
            <w:r>
              <w:rPr>
                <w:rFonts w:ascii="Calibri" w:cs="Calibri" w:eastAsia="Calibri" w:hAnsi="Calibri"/>
                <w:sz w:val="19"/>
                <w:szCs w:val="19"/>
              </w:rPr>
              <w:t xml:space="preserve">Both verticals run the same transaction shape: source a lead, analyze the numbers, make contact, negotiate, close, then either flip the asset or hold it for income.</w:t>
            </w:r>
          </w:p>
          <w:p>
            <w:pPr>
              <w:spacing w:after="60" w:line="264"/>
            </w:pPr>
            <w:r>
              <w:rPr>
                <w:rFonts w:ascii="Calibri" w:cs="Calibri" w:eastAsia="Calibri" w:hAnsi="Calibri"/>
                <w:sz w:val="19"/>
                <w:szCs w:val="19"/>
              </w:rPr>
              <w:t xml:space="preserve">Both verticals have a "performing asset" problem: a rented property and a Turo-held vehicle both stop being deals and start being assets. Pattern C already solves this — it just needs a second asset table.</w:t>
            </w:r>
          </w:p>
          <w:p>
            <w:pPr>
              <w:spacing w:after="60" w:line="264"/>
            </w:pPr>
            <w:r>
              <w:rPr>
                <w:rFonts w:ascii="Calibri" w:cs="Calibri" w:eastAsia="Calibri" w:hAnsi="Calibri"/>
                <w:sz w:val="19"/>
                <w:szCs w:val="19"/>
              </w:rPr>
              <w:t xml:space="preserve">Both verticals feed from an external analyzer (Quantum RE Analyzer; CarHawk Quantum) and both need the same external-ID discipline to avoid duplicate records.</w:t>
            </w:r>
          </w:p>
        </w:tc>
      </w:tr>
    </w:tbl>
    <w:p>
      <w:pPr>
        <w:spacing w:after="120"/>
      </w:pPr>
    </w:p>
    <w:p>
      <w:pPr>
        <w:pStyle w:val="Heading2"/>
        <w:keepNext/>
        <w:spacing w:after="110" w:before="260"/>
      </w:pPr>
      <w:r>
        <w:rPr>
          <w:rFonts w:ascii="Calibri" w:cs="Calibri" w:eastAsia="Calibri" w:hAnsi="Calibri"/>
          <w:b/>
          <w:bCs/>
          <w:color w:val="1F3352"/>
          <w:sz w:val="24"/>
          <w:szCs w:val="24"/>
        </w:rPr>
        <w:t xml:space="preserve">What changes from the February design</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600"/>
        <w:gridCol w:w="4400"/>
        <w:gridCol w:w="4360"/>
      </w:tblGrid>
      <w:tr>
        <w:trPr>
          <w:cantSplit/>
          <w:tblHeader/>
        </w:trPr>
        <w:tc>
          <w:tcPr>
            <w:tcW w:type="dxa" w:w="6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w:t>
            </w:r>
          </w:p>
        </w:tc>
        <w:tc>
          <w:tcPr>
            <w:tcW w:type="dxa" w:w="44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Change</w:t>
            </w:r>
          </w:p>
        </w:tc>
        <w:tc>
          <w:tcPr>
            <w:tcW w:type="dxa" w:w="43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Why</w:t>
            </w:r>
          </w:p>
        </w:tc>
      </w:tr>
      <w:tr>
        <w:trPr>
          <w:cantSplit/>
          <w:tblHeader w:val="false"/>
        </w:trPr>
        <w:tc>
          <w:tcPr>
            <w:tcW w:type="dxa" w:w="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w:t>
            </w:r>
          </w:p>
        </w:tc>
        <w:tc>
          <w:tcPr>
            <w:tcW w:type="dxa" w:w="4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Add a Vehicles table (asset layer for the auto vertical)</w:t>
            </w:r>
          </w:p>
        </w:tc>
        <w:tc>
          <w:tcPr>
            <w:tcW w:type="dxa" w:w="43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Turo Hold vehicles are performing assets. Without this they clog the Deal pipeline exactly as performing properties would.</w:t>
            </w:r>
          </w:p>
        </w:tc>
      </w:tr>
      <w:tr>
        <w:trPr>
          <w:cantSplit/>
          <w:tblHeader w:val="false"/>
        </w:trPr>
        <w:tc>
          <w:tcPr>
            <w:tcW w:type="dxa" w:w="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2</w:t>
            </w:r>
          </w:p>
        </w:tc>
        <w:tc>
          <w:tcPr>
            <w:tcW w:type="dxa" w:w="4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Unify the pipeline to 12 stages with dual semantics</w:t>
            </w:r>
          </w:p>
        </w:tc>
        <w:tc>
          <w:tcPr>
            <w:tcW w:type="dxa" w:w="43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The RE pipeline has no home for a test drive; the auto code writes 5 stage names that do not exist. Neither runs today.</w:t>
            </w:r>
          </w:p>
        </w:tc>
      </w:tr>
      <w:tr>
        <w:trPr>
          <w:cantSplit/>
          <w:tblHeader w:val="false"/>
        </w:trPr>
        <w:tc>
          <w:tcPr>
            <w:tcW w:type="dxa" w:w="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3</w:t>
            </w:r>
          </w:p>
        </w:tc>
        <w:tc>
          <w:tcPr>
            <w:tcW w:type="dxa" w:w="4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Add Vertical to the Deal table</w:t>
            </w:r>
          </w:p>
        </w:tc>
        <w:tc>
          <w:tcPr>
            <w:tcW w:type="dxa" w:w="43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Drives conditional field visibility, filters, dashboards and automation scoping. Nothing else separates the two businesses.</w:t>
            </w:r>
          </w:p>
        </w:tc>
      </w:tr>
      <w:tr>
        <w:trPr>
          <w:cantSplit/>
          <w:tblHeader w:val="false"/>
        </w:trPr>
        <w:tc>
          <w:tcPr>
            <w:tcW w:type="dxa" w:w="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4</w:t>
            </w:r>
          </w:p>
        </w:tc>
        <w:tc>
          <w:tcPr>
            <w:tcW w:type="dxa" w:w="4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Replace Quantum Row ID with Source System + External ID</w:t>
            </w:r>
          </w:p>
        </w:tc>
        <w:tc>
          <w:tcPr>
            <w:tcW w:type="dxa" w:w="43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One key pair serves both analyzers instead of a RE-only field. Fixes dedup for the auto side, which the audit never covered.</w:t>
            </w:r>
          </w:p>
        </w:tc>
      </w:tr>
      <w:tr>
        <w:trPr>
          <w:cantSplit/>
          <w:tblHeader w:val="false"/>
        </w:trPr>
        <w:tc>
          <w:tcPr>
            <w:tcW w:type="dxa" w:w="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5</w:t>
            </w:r>
          </w:p>
        </w:tc>
        <w:tc>
          <w:tcPr>
            <w:tcW w:type="dxa" w:w="4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Add 3 automations for the auto asset layer</w:t>
            </w:r>
          </w:p>
        </w:tc>
        <w:tc>
          <w:tcPr>
            <w:tcW w:type="dxa" w:w="43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Vehicle compliance, Turo hand-off, aging inventory — the auto analogues of the RE portfolio automations.</w:t>
            </w:r>
          </w:p>
        </w:tc>
      </w:tr>
      <w:tr>
        <w:trPr>
          <w:cantSplit/>
          <w:tblHeader w:val="false"/>
        </w:trPr>
        <w:tc>
          <w:tcPr>
            <w:tcW w:type="dxa" w:w="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6</w:t>
            </w:r>
          </w:p>
        </w:tc>
        <w:tc>
          <w:tcPr>
            <w:tcW w:type="dxa" w:w="4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Correct the inherited field counts</w:t>
            </w:r>
          </w:p>
        </w:tc>
        <w:tc>
          <w:tcPr>
            <w:tcW w:type="dxa" w:w="43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The source audit states conflicting totals in two places (see Section P).</w:t>
            </w:r>
          </w:p>
        </w:tc>
      </w:tr>
    </w:tbl>
    <w:p>
      <w:pPr>
        <w:spacing w:after="120"/>
      </w:pPr>
    </w:p>
    <w:p>
      <w:pPr>
        <w:pStyle w:val="Heading2"/>
        <w:keepNext/>
        <w:spacing w:after="110" w:before="260"/>
      </w:pPr>
      <w:r>
        <w:rPr>
          <w:rFonts w:ascii="Calibri" w:cs="Calibri" w:eastAsia="Calibri" w:hAnsi="Calibri"/>
          <w:b/>
          <w:bCs/>
          <w:color w:val="1F3352"/>
          <w:sz w:val="24"/>
          <w:szCs w:val="24"/>
        </w:rPr>
        <w:t xml:space="preserve">Blocking issue</w:t>
      </w:r>
    </w:p>
    <w:tbl>
      <w:tblPr>
        <w:tblW w:type="dxa" w:w="9360"/>
        <w:tblBorders>
          <w:top w:val="single" w:color="C8CFD9" w:sz="4"/>
          <w:left w:val="single" w:color="1F3352" w:sz="18"/>
          <w:bottom w:val="single" w:color="C8CFD9" w:sz="4"/>
          <w:right w:val="single" w:color="C8CFD9" w:sz="4"/>
          <w:insideH w:val="none"/>
          <w:insideV w:val="none"/>
        </w:tblBorders>
      </w:tblPr>
      <w:tblGrid>
        <w:gridCol w:w="9360"/>
      </w:tblGrid>
      <w:tr>
        <w:trPr>
          <w:cantSplit/>
        </w:trPr>
        <w:tc>
          <w:tcPr>
            <w:tcW w:type="dxa" w:w="9360"/>
            <w:shd w:fill="FBE9E7" w:color="auto" w:val="clear"/>
            <w:tcMar>
              <w:top w:type="dxa" w:w="140"/>
              <w:left w:type="dxa" w:w="180"/>
              <w:bottom w:type="dxa" w:w="140"/>
              <w:right w:type="dxa" w:w="160"/>
            </w:tcMar>
          </w:tcPr>
          <w:p>
            <w:pPr>
              <w:spacing w:after="80"/>
            </w:pPr>
            <w:r>
              <w:rPr>
                <w:rFonts w:ascii="Calibri" w:cs="Calibri" w:eastAsia="Calibri" w:hAnsi="Calibri"/>
                <w:b/>
                <w:bCs/>
                <w:color w:val="1F3352"/>
                <w:sz w:val="20"/>
                <w:szCs w:val="20"/>
              </w:rPr>
              <w:t xml:space="preserve">The CarHawk export cannot work against any published pipeline</w:t>
            </w:r>
          </w:p>
          <w:p>
            <w:pPr>
              <w:spacing w:after="60" w:line="264"/>
            </w:pPr>
            <w:r>
              <w:rPr>
                <w:rFonts w:ascii="Calibri" w:cs="Calibri" w:eastAsia="Calibri" w:hAnsi="Calibri"/>
                <w:sz w:val="19"/>
                <w:szCs w:val="19"/>
              </w:rPr>
              <w:t xml:space="preserve">quantum_companyhub.gs writes 7 stage values. Two exist in the blueprint pipeline; five do not. One of the five, "Negotiation" against a stage named "Negotiating", is a near-miss string that most CRM imports accept silently and file wrong rather than reject.</w:t>
            </w:r>
          </w:p>
          <w:p>
            <w:pPr>
              <w:spacing w:after="60" w:line="264"/>
            </w:pPr>
            <w:r>
              <w:rPr>
                <w:rFonts w:ascii="Calibri" w:cs="Calibri" w:eastAsia="Calibri" w:hAnsi="Calibri"/>
                <w:sz w:val="19"/>
                <w:szCs w:val="19"/>
              </w:rPr>
              <w:t xml:space="preserve">This is specified in Section D and must be fixed in code before any import runs. It is not a configuration problem and cannot be fixed inside CompanyHub.</w:t>
            </w:r>
          </w:p>
        </w:tc>
      </w:tr>
    </w:tbl>
    <w:p>
      <w:pPr>
        <w:pStyle w:val="Heading1"/>
        <w:keepNext/>
        <w:pBdr>
          <w:bottom w:val="single" w:color="C8CFD9" w:sz="8" w:space="6"/>
        </w:pBdr>
        <w:spacing w:after="160" w:before="360"/>
      </w:pPr>
      <w:r>
        <w:rPr>
          <w:rFonts w:ascii="Calibri" w:cs="Calibri" w:eastAsia="Calibri" w:hAnsi="Calibri"/>
          <w:b/>
          <w:bCs/>
          <w:color w:val="1F3352"/>
          <w:sz w:val="30"/>
          <w:szCs w:val="30"/>
        </w:rPr>
        <w:t xml:space="preserve">B. Architecture — Pattern C Extended</w:t>
      </w:r>
    </w:p>
    <w:p>
      <w:pPr>
        <w:spacing w:after="120" w:line="276"/>
      </w:pPr>
      <w:r>
        <w:rPr>
          <w:rFonts w:ascii="Calibri" w:cs="Calibri" w:eastAsia="Calibri" w:hAnsi="Calibri"/>
          <w:color w:val="222222"/>
          <w:sz w:val="21"/>
          <w:szCs w:val="21"/>
        </w:rPr>
        <w:t xml:space="preserve">Pattern C separates the deal-as-transaction from the asset-as-holding. The original design had one asset table (Properties). The unified design has two, selected by the Deal's Vertical value.</w:t>
      </w:r>
    </w:p>
    <w:p>
      <w:pPr>
        <w:pStyle w:val="Heading2"/>
        <w:keepNext/>
        <w:spacing w:after="110" w:before="260"/>
      </w:pPr>
      <w:r>
        <w:rPr>
          <w:rFonts w:ascii="Calibri" w:cs="Calibri" w:eastAsia="Calibri" w:hAnsi="Calibri"/>
          <w:b/>
          <w:bCs/>
          <w:color w:val="1F3352"/>
          <w:sz w:val="24"/>
          <w:szCs w:val="24"/>
        </w:rPr>
        <w:t xml:space="preserve">Table map</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1900"/>
        <w:gridCol w:w="1500"/>
        <w:gridCol w:w="2100"/>
        <w:gridCol w:w="3860"/>
      </w:tblGrid>
      <w:tr>
        <w:trPr>
          <w:cantSplit/>
          <w:tblHeader/>
        </w:trPr>
        <w:tc>
          <w:tcPr>
            <w:tcW w:type="dxa" w:w="19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Table</w:t>
            </w:r>
          </w:p>
        </w:tc>
        <w:tc>
          <w:tcPr>
            <w:tcW w:type="dxa" w:w="15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Scope</w:t>
            </w:r>
          </w:p>
        </w:tc>
        <w:tc>
          <w:tcPr>
            <w:tcW w:type="dxa" w:w="21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Populated by</w:t>
            </w:r>
          </w:p>
        </w:tc>
        <w:tc>
          <w:tcPr>
            <w:tcW w:type="dxa" w:w="38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Purpose</w:t>
            </w:r>
          </w:p>
        </w:tc>
      </w:tr>
      <w:tr>
        <w:trPr>
          <w:cantSplit/>
          <w:tblHeader w:val="false"/>
        </w:trPr>
        <w:tc>
          <w:tcPr>
            <w:tcW w:type="dxa" w:w="19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w:t>
            </w:r>
          </w:p>
        </w:tc>
        <w:tc>
          <w:tcPr>
            <w:tcW w:type="dxa" w:w="1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Both verticals</w:t>
            </w:r>
          </w:p>
        </w:tc>
        <w:tc>
          <w:tcPr>
            <w:tcW w:type="dxa" w:w="21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Quantum RE, CarHawk, manual</w:t>
            </w:r>
          </w:p>
        </w:tc>
        <w:tc>
          <w:tcPr>
            <w:tcW w:type="dxa" w:w="3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Every transaction, from lead through close. Single shared pipeline.</w:t>
            </w:r>
          </w:p>
        </w:tc>
      </w:tr>
      <w:tr>
        <w:trPr>
          <w:cantSplit/>
          <w:tblHeader w:val="false"/>
        </w:trPr>
        <w:tc>
          <w:tcPr>
            <w:tcW w:type="dxa" w:w="19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Properties</w:t>
            </w:r>
          </w:p>
        </w:tc>
        <w:tc>
          <w:tcPr>
            <w:tcW w:type="dxa" w:w="1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Real estate</w:t>
            </w:r>
          </w:p>
        </w:tc>
        <w:tc>
          <w:tcPr>
            <w:tcW w:type="dxa" w:w="21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On close, or manual</w:t>
            </w:r>
          </w:p>
        </w:tc>
        <w:tc>
          <w:tcPr>
            <w:tcW w:type="dxa" w:w="3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RE portfolio assets: rentals, BRRRR holds, creative-finance notes.</w:t>
            </w:r>
          </w:p>
        </w:tc>
      </w:tr>
      <w:tr>
        <w:trPr>
          <w:cantSplit/>
          <w:tblHeader w:val="false"/>
        </w:trPr>
        <w:tc>
          <w:tcPr>
            <w:tcW w:type="dxa" w:w="19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Vehicles</w:t>
            </w:r>
          </w:p>
        </w:tc>
        <w:tc>
          <w:tcPr>
            <w:tcW w:type="dxa" w:w="1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Auto</w:t>
            </w:r>
          </w:p>
        </w:tc>
        <w:tc>
          <w:tcPr>
            <w:tcW w:type="dxa" w:w="21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On close, or manual</w:t>
            </w:r>
          </w:p>
        </w:tc>
        <w:tc>
          <w:tcPr>
            <w:tcW w:type="dxa" w:w="3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Auto portfolio assets: Turo fleet, held inventory, in-reconditioning units.</w:t>
            </w:r>
          </w:p>
        </w:tc>
      </w:tr>
      <w:tr>
        <w:trPr>
          <w:cantSplit/>
          <w:tblHeader w:val="false"/>
        </w:trPr>
        <w:tc>
          <w:tcPr>
            <w:tcW w:type="dxa" w:w="19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Buyers</w:t>
            </w:r>
          </w:p>
        </w:tc>
        <w:tc>
          <w:tcPr>
            <w:tcW w:type="dxa" w:w="1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Both verticals</w:t>
            </w:r>
          </w:p>
        </w:tc>
        <w:tc>
          <w:tcPr>
            <w:tcW w:type="dxa" w:w="21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Manual</w:t>
            </w:r>
          </w:p>
        </w:tc>
        <w:tc>
          <w:tcPr>
            <w:tcW w:type="dxa" w:w="3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Disposition buyers. Wholesale RE buyers and auto retail/dealer buyers share the table, separated by a Vertical Interest field.</w:t>
            </w:r>
          </w:p>
        </w:tc>
      </w:tr>
    </w:tbl>
    <w:p>
      <w:pPr>
        <w:spacing w:after="120"/>
      </w:pPr>
    </w:p>
    <w:p>
      <w:pPr>
        <w:pStyle w:val="Heading2"/>
        <w:keepNext/>
        <w:spacing w:after="110" w:before="260"/>
      </w:pPr>
      <w:r>
        <w:rPr>
          <w:rFonts w:ascii="Calibri" w:cs="Calibri" w:eastAsia="Calibri" w:hAnsi="Calibri"/>
          <w:b/>
          <w:bCs/>
          <w:color w:val="1F3352"/>
          <w:sz w:val="24"/>
          <w:szCs w:val="24"/>
        </w:rPr>
        <w:t xml:space="preserve">Record flow</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1500"/>
        <w:gridCol w:w="3900"/>
        <w:gridCol w:w="3960"/>
      </w:tblGrid>
      <w:tr>
        <w:trPr>
          <w:cantSplit/>
          <w:tblHeader/>
        </w:trPr>
        <w:tc>
          <w:tcPr>
            <w:tcW w:type="dxa" w:w="15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Phase</w:t>
            </w:r>
          </w:p>
        </w:tc>
        <w:tc>
          <w:tcPr>
            <w:tcW w:type="dxa" w:w="39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Real estate</w:t>
            </w:r>
          </w:p>
        </w:tc>
        <w:tc>
          <w:tcPr>
            <w:tcW w:type="dxa" w:w="39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Auto</w:t>
            </w:r>
          </w:p>
        </w:tc>
      </w:tr>
      <w:tr>
        <w:trPr>
          <w:cantSplit/>
          <w:tblHeader w:val="false"/>
        </w:trPr>
        <w:tc>
          <w:tcPr>
            <w:tcW w:type="dxa" w:w="1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Intake</w:t>
            </w:r>
          </w:p>
        </w:tc>
        <w:tc>
          <w:tcPr>
            <w:tcW w:type="dxa" w:w="39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Quantum RE Analyzer row syncs to a Deal (Vertical = Real Estate)</w:t>
            </w:r>
          </w:p>
        </w:tc>
        <w:tc>
          <w:tcPr>
            <w:tcW w:type="dxa" w:w="39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CarHawk Quantum row exports to a Deal (Vertical = Auto)</w:t>
            </w:r>
          </w:p>
        </w:tc>
      </w:tr>
      <w:tr>
        <w:trPr>
          <w:cantSplit/>
          <w:tblHeader w:val="false"/>
        </w:trPr>
        <w:tc>
          <w:tcPr>
            <w:tcW w:type="dxa" w:w="1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Pipeline</w:t>
            </w:r>
          </w:p>
        </w:tc>
        <w:tc>
          <w:tcPr>
            <w:tcW w:type="dxa" w:w="39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 moves New Lead through Closing</w:t>
            </w:r>
          </w:p>
        </w:tc>
        <w:tc>
          <w:tcPr>
            <w:tcW w:type="dxa" w:w="39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 moves New Lead through Closing</w:t>
            </w:r>
          </w:p>
        </w:tc>
      </w:tr>
      <w:tr>
        <w:trPr>
          <w:cantSplit/>
          <w:tblHeader w:val="false"/>
        </w:trPr>
        <w:tc>
          <w:tcPr>
            <w:tcW w:type="dxa" w:w="1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Close — flip</w:t>
            </w:r>
          </w:p>
        </w:tc>
        <w:tc>
          <w:tcPr>
            <w:tcW w:type="dxa" w:w="39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 set to Closed. No asset record. Wholesale assignment or fix-and-flip resale.</w:t>
            </w:r>
          </w:p>
        </w:tc>
        <w:tc>
          <w:tcPr>
            <w:tcW w:type="dxa" w:w="39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 set to Closed. No asset record. Retail flip completed.</w:t>
            </w:r>
          </w:p>
        </w:tc>
      </w:tr>
      <w:tr>
        <w:trPr>
          <w:cantSplit/>
          <w:tblHeader w:val="false"/>
        </w:trPr>
        <w:tc>
          <w:tcPr>
            <w:tcW w:type="dxa" w:w="1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Close — hold</w:t>
            </w:r>
          </w:p>
        </w:tc>
        <w:tc>
          <w:tcPr>
            <w:tcW w:type="dxa" w:w="39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 set to Closed. Property record created or activated. Asset Status set from RE Strategy.</w:t>
            </w:r>
          </w:p>
        </w:tc>
        <w:tc>
          <w:tcPr>
            <w:tcW w:type="dxa" w:w="39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 set to Closed with Flip Strategy = Turo Hold. Vehicle record created or activated. Asset Status set to Performing — Turo.</w:t>
            </w:r>
          </w:p>
        </w:tc>
      </w:tr>
      <w:tr>
        <w:trPr>
          <w:cantSplit/>
          <w:tblHeader w:val="false"/>
        </w:trPr>
        <w:tc>
          <w:tcPr>
            <w:tcW w:type="dxa" w:w="1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Ongoing</w:t>
            </w:r>
          </w:p>
        </w:tc>
        <w:tc>
          <w:tcPr>
            <w:tcW w:type="dxa" w:w="39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Property tracks cash flow, leases, insurance, balloon dates</w:t>
            </w:r>
          </w:p>
        </w:tc>
        <w:tc>
          <w:tcPr>
            <w:tcW w:type="dxa" w:w="39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Vehicle tracks Turo revenue, registration, insurance, inspection</w:t>
            </w:r>
          </w:p>
        </w:tc>
      </w:tr>
    </w:tbl>
    <w:p>
      <w:pPr>
        <w:spacing w:after="120"/>
      </w:pPr>
    </w:p>
    <w:tbl>
      <w:tblPr>
        <w:tblW w:type="dxa" w:w="9360"/>
        <w:tblBorders>
          <w:top w:val="single" w:color="C8CFD9" w:sz="4"/>
          <w:left w:val="single" w:color="1F3352" w:sz="18"/>
          <w:bottom w:val="single" w:color="C8CFD9" w:sz="4"/>
          <w:right w:val="single" w:color="C8CFD9" w:sz="4"/>
          <w:insideH w:val="none"/>
          <w:insideV w:val="none"/>
        </w:tblBorders>
      </w:tblPr>
      <w:tblGrid>
        <w:gridCol w:w="9360"/>
      </w:tblGrid>
      <w:tr>
        <w:trPr>
          <w:cantSplit/>
        </w:trPr>
        <w:tc>
          <w:tcPr>
            <w:tcW w:type="dxa" w:w="9360"/>
            <w:shd w:fill="FBE9E7" w:color="auto" w:val="clear"/>
            <w:tcMar>
              <w:top w:type="dxa" w:w="140"/>
              <w:left w:type="dxa" w:w="180"/>
              <w:bottom w:type="dxa" w:w="140"/>
              <w:right w:type="dxa" w:w="160"/>
            </w:tcMar>
          </w:tcPr>
          <w:p>
            <w:pPr>
              <w:spacing w:after="80"/>
            </w:pPr>
            <w:r>
              <w:rPr>
                <w:rFonts w:ascii="Calibri" w:cs="Calibri" w:eastAsia="Calibri" w:hAnsi="Calibri"/>
                <w:b/>
                <w:bCs/>
                <w:color w:val="1F3352"/>
                <w:sz w:val="20"/>
                <w:szCs w:val="20"/>
              </w:rPr>
              <w:t xml:space="preserve">The hand-off is the fragile point in both verticals</w:t>
            </w:r>
          </w:p>
          <w:p>
            <w:pPr>
              <w:spacing w:after="60" w:line="264"/>
            </w:pPr>
            <w:r>
              <w:rPr>
                <w:rFonts w:ascii="Calibri" w:cs="Calibri" w:eastAsia="Calibri" w:hAnsi="Calibri"/>
                <w:sz w:val="19"/>
                <w:szCs w:val="19"/>
              </w:rPr>
              <w:t xml:space="preserve">The Closed-to-asset transition is the single most important event in Pattern C, and in the February design it was an email asking a human to remember to go update a record. Section J upgrades both hand-offs (UTron 7 for property, UTron 15 for vehicle) to auto-update where CompanyHub supports writing to a linked record, and to a direct-link email where it does not.</w:t>
            </w:r>
          </w:p>
          <w:p>
            <w:pPr>
              <w:spacing w:after="60" w:line="264"/>
            </w:pPr>
            <w:r>
              <w:rPr>
                <w:rFonts w:ascii="Calibri" w:cs="Calibri" w:eastAsia="Calibri" w:hAnsi="Calibri"/>
                <w:sz w:val="19"/>
                <w:szCs w:val="19"/>
              </w:rPr>
              <w:t xml:space="preserve">If both hand-offs stay manual, the asset tables go stale within a month and the entire Pattern C advantage collapses.</w:t>
            </w:r>
          </w:p>
        </w:tc>
      </w:tr>
    </w:tbl>
    <w:p>
      <w:pPr>
        <w:pStyle w:val="Heading1"/>
        <w:keepNext/>
        <w:pBdr>
          <w:bottom w:val="single" w:color="C8CFD9" w:sz="8" w:space="6"/>
        </w:pBdr>
        <w:spacing w:after="160" w:before="360"/>
      </w:pPr>
      <w:r>
        <w:rPr>
          <w:rFonts w:ascii="Calibri" w:cs="Calibri" w:eastAsia="Calibri" w:hAnsi="Calibri"/>
          <w:b/>
          <w:bCs/>
          <w:color w:val="1F3352"/>
          <w:sz w:val="30"/>
          <w:szCs w:val="30"/>
        </w:rPr>
        <w:t xml:space="preserve">C. The Unified Pipeline</w:t>
      </w:r>
    </w:p>
    <w:p>
      <w:pPr>
        <w:spacing w:after="120" w:line="276"/>
      </w:pPr>
      <w:r>
        <w:rPr>
          <w:rFonts w:ascii="Calibri" w:cs="Calibri" w:eastAsia="Calibri" w:hAnsi="Calibri"/>
          <w:color w:val="222222"/>
          <w:sz w:val="21"/>
          <w:szCs w:val="21"/>
        </w:rPr>
        <w:t xml:space="preserve">Twelve stages: nine active, plus Closed, Dead and Nurture. Every stage carries a defined meaning in both verticals — no stage is vertical-exclusive, which keeps one board readable for both businesses.</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1500"/>
        <w:gridCol w:w="2450"/>
        <w:gridCol w:w="2450"/>
        <w:gridCol w:w="2100"/>
        <w:gridCol w:w="860"/>
      </w:tblGrid>
      <w:tr>
        <w:trPr>
          <w:cantSplit/>
          <w:tblHeader/>
        </w:trPr>
        <w:tc>
          <w:tcPr>
            <w:tcW w:type="dxa" w:w="15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Stage</w:t>
            </w:r>
          </w:p>
        </w:tc>
        <w:tc>
          <w:tcPr>
            <w:tcW w:type="dxa" w:w="245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Real estate meaning</w:t>
            </w:r>
          </w:p>
        </w:tc>
        <w:tc>
          <w:tcPr>
            <w:tcW w:type="dxa" w:w="245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Auto meaning</w:t>
            </w:r>
          </w:p>
        </w:tc>
        <w:tc>
          <w:tcPr>
            <w:tcW w:type="dxa" w:w="21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CarHawk constant</w:t>
            </w:r>
          </w:p>
        </w:tc>
        <w:tc>
          <w:tcPr>
            <w:tcW w:type="dxa" w:w="8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Prob.</w:t>
            </w:r>
          </w:p>
        </w:tc>
      </w:tr>
      <w:tr>
        <w:trPr>
          <w:cantSplit/>
          <w:tblHeader w:val="false"/>
        </w:trPr>
        <w:tc>
          <w:tcPr>
            <w:tcW w:type="dxa" w:w="1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New Lead</w:t>
            </w:r>
          </w:p>
        </w:tc>
        <w:tc>
          <w:tcPr>
            <w:tcW w:type="dxa" w:w="2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Lead captured, not yet analyzed</w:t>
            </w:r>
          </w:p>
        </w:tc>
        <w:tc>
          <w:tcPr>
            <w:tcW w:type="dxa" w:w="2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Listing imported from marketplace robot</w:t>
            </w:r>
          </w:p>
        </w:tc>
        <w:tc>
          <w:tcPr>
            <w:tcW w:type="dxa" w:w="21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IMPORTED</w:t>
            </w:r>
          </w:p>
        </w:tc>
        <w:tc>
          <w:tcPr>
            <w:tcW w:type="dxa" w:w="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10%</w:t>
            </w:r>
          </w:p>
        </w:tc>
      </w:tr>
      <w:tr>
        <w:trPr>
          <w:cantSplit/>
          <w:tblHeader w:val="false"/>
        </w:trPr>
        <w:tc>
          <w:tcPr>
            <w:tcW w:type="dxa" w:w="1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Analyzed</w:t>
            </w:r>
          </w:p>
        </w:tc>
        <w:tc>
          <w:tcPr>
            <w:tcW w:type="dxa" w:w="2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ARV, comps and offer range computed</w:t>
            </w:r>
          </w:p>
        </w:tc>
        <w:tc>
          <w:tcPr>
            <w:tcW w:type="dxa" w:w="2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Quantum score, profit and ROI computed</w:t>
            </w:r>
          </w:p>
        </w:tc>
        <w:tc>
          <w:tcPr>
            <w:tcW w:type="dxa" w:w="21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(new)</w:t>
            </w:r>
          </w:p>
        </w:tc>
        <w:tc>
          <w:tcPr>
            <w:tcW w:type="dxa" w:w="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20%</w:t>
            </w:r>
          </w:p>
        </w:tc>
      </w:tr>
      <w:tr>
        <w:trPr>
          <w:cantSplit/>
          <w:tblHeader w:val="false"/>
        </w:trPr>
        <w:tc>
          <w:tcPr>
            <w:tcW w:type="dxa" w:w="1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Contact Ready</w:t>
            </w:r>
          </w:p>
        </w:tc>
        <w:tc>
          <w:tcPr>
            <w:tcW w:type="dxa" w:w="2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Skip trace complete, owner contact obtained</w:t>
            </w:r>
          </w:p>
        </w:tc>
        <w:tc>
          <w:tcPr>
            <w:tcW w:type="dxa" w:w="2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Seller contact captured from listing</w:t>
            </w:r>
          </w:p>
        </w:tc>
        <w:tc>
          <w:tcPr>
            <w:tcW w:type="dxa" w:w="21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(new)</w:t>
            </w:r>
          </w:p>
        </w:tc>
        <w:tc>
          <w:tcPr>
            <w:tcW w:type="dxa" w:w="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30%</w:t>
            </w:r>
          </w:p>
        </w:tc>
      </w:tr>
      <w:tr>
        <w:trPr>
          <w:cantSplit/>
          <w:tblHeader w:val="false"/>
        </w:trPr>
        <w:tc>
          <w:tcPr>
            <w:tcW w:type="dxa" w:w="1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Contacted</w:t>
            </w:r>
          </w:p>
        </w:tc>
        <w:tc>
          <w:tcPr>
            <w:tcW w:type="dxa" w:w="2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Outreach sent, no reply yet</w:t>
            </w:r>
          </w:p>
        </w:tc>
        <w:tc>
          <w:tcPr>
            <w:tcW w:type="dxa" w:w="2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Outreach sent, no reply yet</w:t>
            </w:r>
          </w:p>
        </w:tc>
        <w:tc>
          <w:tcPr>
            <w:tcW w:type="dxa" w:w="21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CONTACTED</w:t>
            </w:r>
          </w:p>
        </w:tc>
        <w:tc>
          <w:tcPr>
            <w:tcW w:type="dxa" w:w="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35%</w:t>
            </w:r>
          </w:p>
        </w:tc>
      </w:tr>
      <w:tr>
        <w:trPr>
          <w:cantSplit/>
          <w:tblHeader w:val="false"/>
        </w:trPr>
        <w:tc>
          <w:tcPr>
            <w:tcW w:type="dxa" w:w="1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Engaged</w:t>
            </w:r>
          </w:p>
        </w:tc>
        <w:tc>
          <w:tcPr>
            <w:tcW w:type="dxa" w:w="2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Seller replied, dialogue open</w:t>
            </w:r>
          </w:p>
        </w:tc>
        <w:tc>
          <w:tcPr>
            <w:tcW w:type="dxa" w:w="2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Seller replied, dialogue open</w:t>
            </w:r>
          </w:p>
        </w:tc>
        <w:tc>
          <w:tcPr>
            <w:tcW w:type="dxa" w:w="21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RESPONDED</w:t>
            </w:r>
          </w:p>
        </w:tc>
        <w:tc>
          <w:tcPr>
            <w:tcW w:type="dxa" w:w="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45%</w:t>
            </w:r>
          </w:p>
        </w:tc>
      </w:tr>
      <w:tr>
        <w:trPr>
          <w:cantSplit/>
          <w:tblHeader w:val="false"/>
        </w:trPr>
        <w:tc>
          <w:tcPr>
            <w:tcW w:type="dxa" w:w="1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Appointment Set</w:t>
            </w:r>
          </w:p>
        </w:tc>
        <w:tc>
          <w:tcPr>
            <w:tcW w:type="dxa" w:w="2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Walkthrough or inspection scheduled</w:t>
            </w:r>
          </w:p>
        </w:tc>
        <w:tc>
          <w:tcPr>
            <w:tcW w:type="dxa" w:w="2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Test drive or inspection scheduled</w:t>
            </w:r>
          </w:p>
        </w:tc>
        <w:tc>
          <w:tcPr>
            <w:tcW w:type="dxa" w:w="21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APPOINTMENT_SET</w:t>
            </w:r>
          </w:p>
        </w:tc>
        <w:tc>
          <w:tcPr>
            <w:tcW w:type="dxa" w:w="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60%</w:t>
            </w:r>
          </w:p>
        </w:tc>
      </w:tr>
      <w:tr>
        <w:trPr>
          <w:cantSplit/>
          <w:tblHeader w:val="false"/>
        </w:trPr>
        <w:tc>
          <w:tcPr>
            <w:tcW w:type="dxa" w:w="1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Negotiating</w:t>
            </w:r>
          </w:p>
        </w:tc>
        <w:tc>
          <w:tcPr>
            <w:tcW w:type="dxa" w:w="2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Offer and counters in progress</w:t>
            </w:r>
          </w:p>
        </w:tc>
        <w:tc>
          <w:tcPr>
            <w:tcW w:type="dxa" w:w="2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Offer and counters in progress</w:t>
            </w:r>
          </w:p>
        </w:tc>
        <w:tc>
          <w:tcPr>
            <w:tcW w:type="dxa" w:w="21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NEGOTIATING</w:t>
            </w:r>
          </w:p>
        </w:tc>
        <w:tc>
          <w:tcPr>
            <w:tcW w:type="dxa" w:w="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65%</w:t>
            </w:r>
          </w:p>
        </w:tc>
      </w:tr>
      <w:tr>
        <w:trPr>
          <w:cantSplit/>
          <w:tblHeader w:val="false"/>
        </w:trPr>
        <w:tc>
          <w:tcPr>
            <w:tcW w:type="dxa" w:w="1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Under Contract</w:t>
            </w:r>
          </w:p>
        </w:tc>
        <w:tc>
          <w:tcPr>
            <w:tcW w:type="dxa" w:w="2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PSA signed, due diligence running</w:t>
            </w:r>
          </w:p>
        </w:tc>
        <w:tc>
          <w:tcPr>
            <w:tcW w:type="dxa" w:w="2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Purchase agreed, deposit placed</w:t>
            </w:r>
          </w:p>
        </w:tc>
        <w:tc>
          <w:tcPr>
            <w:tcW w:type="dxa" w:w="21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(new)</w:t>
            </w:r>
          </w:p>
        </w:tc>
        <w:tc>
          <w:tcPr>
            <w:tcW w:type="dxa" w:w="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80%</w:t>
            </w:r>
          </w:p>
        </w:tc>
      </w:tr>
      <w:tr>
        <w:trPr>
          <w:cantSplit/>
          <w:tblHeader w:val="false"/>
        </w:trPr>
        <w:tc>
          <w:tcPr>
            <w:tcW w:type="dxa" w:w="1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Closing</w:t>
            </w:r>
          </w:p>
        </w:tc>
        <w:tc>
          <w:tcPr>
            <w:tcW w:type="dxa" w:w="2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Title, escrow, funding</w:t>
            </w:r>
          </w:p>
        </w:tc>
        <w:tc>
          <w:tcPr>
            <w:tcW w:type="dxa" w:w="2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Payment and title transfer</w:t>
            </w:r>
          </w:p>
        </w:tc>
        <w:tc>
          <w:tcPr>
            <w:tcW w:type="dxa" w:w="21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(new)</w:t>
            </w:r>
          </w:p>
        </w:tc>
        <w:tc>
          <w:tcPr>
            <w:tcW w:type="dxa" w:w="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90%</w:t>
            </w:r>
          </w:p>
        </w:tc>
      </w:tr>
      <w:tr>
        <w:trPr>
          <w:cantSplit/>
          <w:tblHeader w:val="false"/>
        </w:trPr>
        <w:tc>
          <w:tcPr>
            <w:tcW w:type="dxa" w:w="1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Closed</w:t>
            </w:r>
          </w:p>
        </w:tc>
        <w:tc>
          <w:tcPr>
            <w:tcW w:type="dxa" w:w="2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 completed</w:t>
            </w:r>
          </w:p>
        </w:tc>
        <w:tc>
          <w:tcPr>
            <w:tcW w:type="dxa" w:w="2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 completed</w:t>
            </w:r>
          </w:p>
        </w:tc>
        <w:tc>
          <w:tcPr>
            <w:tcW w:type="dxa" w:w="21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CLOSED_WON</w:t>
            </w:r>
          </w:p>
        </w:tc>
        <w:tc>
          <w:tcPr>
            <w:tcW w:type="dxa" w:w="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100%</w:t>
            </w:r>
          </w:p>
        </w:tc>
      </w:tr>
      <w:tr>
        <w:trPr>
          <w:cantSplit/>
          <w:tblHeader w:val="false"/>
        </w:trPr>
        <w:tc>
          <w:tcPr>
            <w:tcW w:type="dxa" w:w="1500"/>
            <w:shd w:fill="F7ECEC"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Dead</w:t>
            </w:r>
          </w:p>
        </w:tc>
        <w:tc>
          <w:tcPr>
            <w:tcW w:type="dxa" w:w="2450"/>
            <w:shd w:fill="F7ECEC"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 lost — Dead Reason required</w:t>
            </w:r>
          </w:p>
        </w:tc>
        <w:tc>
          <w:tcPr>
            <w:tcW w:type="dxa" w:w="2450"/>
            <w:shd w:fill="F7ECEC"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 lost — Dead Reason required</w:t>
            </w:r>
          </w:p>
        </w:tc>
        <w:tc>
          <w:tcPr>
            <w:tcW w:type="dxa" w:w="2100"/>
            <w:shd w:fill="F7ECEC"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LOST</w:t>
            </w:r>
          </w:p>
        </w:tc>
        <w:tc>
          <w:tcPr>
            <w:tcW w:type="dxa" w:w="860"/>
            <w:shd w:fill="F7ECEC"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0%</w:t>
            </w:r>
          </w:p>
        </w:tc>
      </w:tr>
      <w:tr>
        <w:trPr>
          <w:cantSplit/>
          <w:tblHeader w:val="false"/>
        </w:trPr>
        <w:tc>
          <w:tcPr>
            <w:tcW w:type="dxa" w:w="1500"/>
            <w:shd w:fill="F4F0E4"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Nurture</w:t>
            </w:r>
          </w:p>
        </w:tc>
        <w:tc>
          <w:tcPr>
            <w:tcW w:type="dxa" w:w="2450"/>
            <w:shd w:fill="F4F0E4"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Not now, follow up later</w:t>
            </w:r>
          </w:p>
        </w:tc>
        <w:tc>
          <w:tcPr>
            <w:tcW w:type="dxa" w:w="2450"/>
            <w:shd w:fill="F4F0E4"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Not now, follow up later</w:t>
            </w:r>
          </w:p>
        </w:tc>
        <w:tc>
          <w:tcPr>
            <w:tcW w:type="dxa" w:w="2100"/>
            <w:shd w:fill="F4F0E4"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(new)</w:t>
            </w:r>
          </w:p>
        </w:tc>
        <w:tc>
          <w:tcPr>
            <w:tcW w:type="dxa" w:w="860"/>
            <w:shd w:fill="F4F0E4"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15%</w:t>
            </w:r>
          </w:p>
        </w:tc>
      </w:tr>
    </w:tbl>
    <w:p>
      <w:pPr>
        <w:spacing w:after="120"/>
      </w:pPr>
    </w:p>
    <w:p>
      <w:pPr>
        <w:pStyle w:val="Heading2"/>
        <w:keepNext/>
        <w:spacing w:after="110" w:before="260"/>
      </w:pPr>
      <w:r>
        <w:rPr>
          <w:rFonts w:ascii="Calibri" w:cs="Calibri" w:eastAsia="Calibri" w:hAnsi="Calibri"/>
          <w:b/>
          <w:bCs/>
          <w:color w:val="1F3352"/>
          <w:sz w:val="24"/>
          <w:szCs w:val="24"/>
        </w:rPr>
        <w:t xml:space="preserve">Notes on the stage set</w:t>
      </w:r>
    </w:p>
    <w:p>
      <w:pPr>
        <w:pStyle w:val="ListParagraph"/>
        <w:numPr>
          <w:ilvl w:val="0"/>
          <w:numId w:val="2"/>
        </w:numPr>
        <w:spacing w:after="70" w:line="276"/>
      </w:pPr>
      <w:r>
        <w:rPr>
          <w:rFonts w:ascii="Calibri" w:cs="Calibri" w:eastAsia="Calibri" w:hAnsi="Calibri"/>
          <w:sz w:val="21"/>
          <w:szCs w:val="21"/>
        </w:rPr>
        <w:t xml:space="preserve">Skip Traced was renamed Contact Ready. The audit itself offered this consolidation as a fallback (Risk 3); renaming makes the stage meaningful to the auto vertical, where contact usually arrives with the listing and the deal auto-advances on import.</w:t>
      </w:r>
    </w:p>
    <w:p>
      <w:pPr>
        <w:pStyle w:val="ListParagraph"/>
        <w:numPr>
          <w:ilvl w:val="0"/>
          <w:numId w:val="2"/>
        </w:numPr>
        <w:spacing w:after="70" w:line="276"/>
      </w:pPr>
      <w:r>
        <w:rPr>
          <w:rFonts w:ascii="Calibri" w:cs="Calibri" w:eastAsia="Calibri" w:hAnsi="Calibri"/>
          <w:sz w:val="21"/>
          <w:szCs w:val="21"/>
        </w:rPr>
        <w:t xml:space="preserve">Engaged and Appointment Set are the two stages added beyond the audit's ten. Both already exist as CarHawk constants (RESPONDED, APPOINTMENT_SET) and both are used in live code for probability weighting and appointment reporting, so dropping them would break existing reports.</w:t>
      </w:r>
    </w:p>
    <w:p>
      <w:pPr>
        <w:pStyle w:val="ListParagraph"/>
        <w:numPr>
          <w:ilvl w:val="0"/>
          <w:numId w:val="2"/>
        </w:numPr>
        <w:spacing w:after="70" w:line="276"/>
      </w:pPr>
      <w:r>
        <w:rPr>
          <w:rFonts w:ascii="Calibri" w:cs="Calibri" w:eastAsia="Calibri" w:hAnsi="Calibri"/>
          <w:sz w:val="21"/>
          <w:szCs w:val="21"/>
        </w:rPr>
        <w:t xml:space="preserve">Auto deals routinely pass Under Contract and Closing on the same day. That is acceptable — a stage that takes an hour still records that the step happened. Do not collapse them; RE needs both distinct.</w:t>
      </w:r>
    </w:p>
    <w:p>
      <w:pPr>
        <w:pStyle w:val="ListParagraph"/>
        <w:numPr>
          <w:ilvl w:val="0"/>
          <w:numId w:val="2"/>
        </w:numPr>
        <w:spacing w:after="70" w:line="276"/>
      </w:pPr>
      <w:r>
        <w:rPr>
          <w:rFonts w:ascii="Calibri" w:cs="Calibri" w:eastAsia="Calibri" w:hAnsi="Calibri"/>
          <w:sz w:val="21"/>
          <w:szCs w:val="21"/>
        </w:rPr>
        <w:t xml:space="preserve">Nurture branches off after Contacted or Negotiating and must be excluded from the Stale Deal Killer automation (UTron 6).</w:t>
      </w:r>
    </w:p>
    <w:p>
      <w:pPr>
        <w:pStyle w:val="Heading1"/>
        <w:keepNext/>
        <w:pBdr>
          <w:bottom w:val="single" w:color="C8CFD9" w:sz="8" w:space="6"/>
        </w:pBdr>
        <w:spacing w:after="160" w:before="360"/>
      </w:pPr>
      <w:r>
        <w:rPr>
          <w:rFonts w:ascii="Calibri" w:cs="Calibri" w:eastAsia="Calibri" w:hAnsi="Calibri"/>
          <w:b/>
          <w:bCs/>
          <w:color w:val="1F3352"/>
          <w:sz w:val="30"/>
          <w:szCs w:val="30"/>
        </w:rPr>
        <w:t xml:space="preserve">D. Blocking Defect — Stage Mapping Mismatch</w:t>
      </w:r>
    </w:p>
    <w:p>
      <w:pPr>
        <w:spacing w:after="120" w:line="276"/>
      </w:pPr>
      <w:r>
        <w:rPr>
          <w:rFonts w:ascii="Calibri" w:cs="Calibri" w:eastAsia="Calibri" w:hAnsi="Calibri"/>
          <w:b/>
          <w:bCs/>
          <w:color w:val="222222"/>
          <w:sz w:val="21"/>
          <w:szCs w:val="21"/>
        </w:rPr>
        <w:t xml:space="preserve">Location: </w:t>
      </w:r>
      <w:r>
        <w:rPr>
          <w:rFonts w:ascii="Calibri" w:cs="Calibri" w:eastAsia="Calibri" w:hAnsi="Calibri"/>
          <w:color w:val="222222"/>
          <w:sz w:val="21"/>
          <w:szCs w:val="21"/>
        </w:rPr>
        <w:t xml:space="preserve">quantum_companyhub.gs, function mapToCompanyHubStage (also duplicated at main.gs line 1908).</w:t>
      </w:r>
    </w:p>
    <w:p>
      <w:pPr>
        <w:spacing w:after="120" w:line="276"/>
      </w:pPr>
      <w:r>
        <w:rPr>
          <w:rFonts w:ascii="Calibri" w:cs="Calibri" w:eastAsia="Calibri" w:hAnsi="Calibri"/>
          <w:color w:val="222222"/>
          <w:sz w:val="21"/>
          <w:szCs w:val="21"/>
        </w:rPr>
        <w:t xml:space="preserve">The function translates CarHawk internal stages into CompanyHub stage names. Five of its seven outputs name stages that do not exist in the blueprint pipeline.</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1900"/>
        <w:gridCol w:w="2100"/>
        <w:gridCol w:w="2100"/>
        <w:gridCol w:w="3260"/>
      </w:tblGrid>
      <w:tr>
        <w:trPr>
          <w:cantSplit/>
          <w:tblHeader/>
        </w:trPr>
        <w:tc>
          <w:tcPr>
            <w:tcW w:type="dxa" w:w="19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CarHawk constant</w:t>
            </w:r>
          </w:p>
        </w:tc>
        <w:tc>
          <w:tcPr>
            <w:tcW w:type="dxa" w:w="21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Code writes</w:t>
            </w:r>
          </w:p>
        </w:tc>
        <w:tc>
          <w:tcPr>
            <w:tcW w:type="dxa" w:w="21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Unified stage</w:t>
            </w:r>
          </w:p>
        </w:tc>
        <w:tc>
          <w:tcPr>
            <w:tcW w:type="dxa" w:w="32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Status</w:t>
            </w:r>
          </w:p>
        </w:tc>
      </w:tr>
      <w:tr>
        <w:trPr>
          <w:cantSplit/>
          <w:tblHeader w:val="false"/>
        </w:trPr>
        <w:tc>
          <w:tcPr>
            <w:tcW w:type="dxa" w:w="19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IMPORTED</w:t>
            </w:r>
          </w:p>
        </w:tc>
        <w:tc>
          <w:tcPr>
            <w:tcW w:type="dxa" w:w="21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New Lead</w:t>
            </w:r>
          </w:p>
        </w:tc>
        <w:tc>
          <w:tcPr>
            <w:tcW w:type="dxa" w:w="21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New Lead</w:t>
            </w:r>
          </w:p>
        </w:tc>
        <w:tc>
          <w:tcPr>
            <w:tcW w:type="dxa" w:w="3260"/>
            <w:tcMar>
              <w:top w:type="dxa" w:w="70"/>
              <w:left w:type="dxa" w:w="100"/>
              <w:bottom w:type="dxa" w:w="70"/>
              <w:right w:type="dxa" w:w="100"/>
            </w:tcMar>
            <w:vAlign w:val="center"/>
          </w:tcPr>
          <w:p>
            <w:pPr>
              <w:spacing w:after="0" w:line="250"/>
            </w:pPr>
            <w:r>
              <w:rPr>
                <w:rFonts w:ascii="Calibri" w:cs="Calibri" w:eastAsia="Calibri" w:hAnsi="Calibri"/>
                <w:b/>
                <w:bCs/>
                <w:color w:val="2C6E49"/>
                <w:sz w:val="18"/>
                <w:szCs w:val="18"/>
              </w:rPr>
              <w:t xml:space="preserve">Correct</w:t>
            </w:r>
          </w:p>
        </w:tc>
      </w:tr>
      <w:tr>
        <w:trPr>
          <w:cantSplit/>
          <w:tblHeader w:val="false"/>
        </w:trPr>
        <w:tc>
          <w:tcPr>
            <w:tcW w:type="dxa" w:w="19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CONTACTED</w:t>
            </w:r>
          </w:p>
        </w:tc>
        <w:tc>
          <w:tcPr>
            <w:tcW w:type="dxa" w:w="21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Contacted</w:t>
            </w:r>
          </w:p>
        </w:tc>
        <w:tc>
          <w:tcPr>
            <w:tcW w:type="dxa" w:w="21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Contacted</w:t>
            </w:r>
          </w:p>
        </w:tc>
        <w:tc>
          <w:tcPr>
            <w:tcW w:type="dxa" w:w="3260"/>
            <w:shd w:fill="F2F5F9" w:color="auto" w:val="clear"/>
            <w:tcMar>
              <w:top w:type="dxa" w:w="70"/>
              <w:left w:type="dxa" w:w="100"/>
              <w:bottom w:type="dxa" w:w="70"/>
              <w:right w:type="dxa" w:w="100"/>
            </w:tcMar>
            <w:vAlign w:val="center"/>
          </w:tcPr>
          <w:p>
            <w:pPr>
              <w:spacing w:after="0" w:line="250"/>
            </w:pPr>
            <w:r>
              <w:rPr>
                <w:rFonts w:ascii="Calibri" w:cs="Calibri" w:eastAsia="Calibri" w:hAnsi="Calibri"/>
                <w:b/>
                <w:bCs/>
                <w:color w:val="2C6E49"/>
                <w:sz w:val="18"/>
                <w:szCs w:val="18"/>
              </w:rPr>
              <w:t xml:space="preserve">Correct</w:t>
            </w:r>
          </w:p>
        </w:tc>
      </w:tr>
      <w:tr>
        <w:trPr>
          <w:cantSplit/>
          <w:tblHeader w:val="false"/>
        </w:trPr>
        <w:tc>
          <w:tcPr>
            <w:tcW w:type="dxa" w:w="19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RESPONDED</w:t>
            </w:r>
          </w:p>
        </w:tc>
        <w:tc>
          <w:tcPr>
            <w:tcW w:type="dxa" w:w="21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Qualified</w:t>
            </w:r>
          </w:p>
        </w:tc>
        <w:tc>
          <w:tcPr>
            <w:tcW w:type="dxa" w:w="21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Engaged</w:t>
            </w:r>
          </w:p>
        </w:tc>
        <w:tc>
          <w:tcPr>
            <w:tcW w:type="dxa" w:w="3260"/>
            <w:tcMar>
              <w:top w:type="dxa" w:w="70"/>
              <w:left w:type="dxa" w:w="100"/>
              <w:bottom w:type="dxa" w:w="70"/>
              <w:right w:type="dxa" w:w="100"/>
            </w:tcMar>
            <w:vAlign w:val="center"/>
          </w:tcPr>
          <w:p>
            <w:pPr>
              <w:spacing w:after="0" w:line="250"/>
            </w:pPr>
            <w:r>
              <w:rPr>
                <w:rFonts w:ascii="Calibri" w:cs="Calibri" w:eastAsia="Calibri" w:hAnsi="Calibri"/>
                <w:b/>
                <w:bCs/>
                <w:color w:val="A32E2E"/>
                <w:sz w:val="18"/>
                <w:szCs w:val="18"/>
              </w:rPr>
              <w:t xml:space="preserve">Broken — no such stage</w:t>
            </w:r>
          </w:p>
        </w:tc>
      </w:tr>
      <w:tr>
        <w:trPr>
          <w:cantSplit/>
          <w:tblHeader w:val="false"/>
        </w:trPr>
        <w:tc>
          <w:tcPr>
            <w:tcW w:type="dxa" w:w="19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APPOINTMENT_SET</w:t>
            </w:r>
          </w:p>
        </w:tc>
        <w:tc>
          <w:tcPr>
            <w:tcW w:type="dxa" w:w="21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Meeting Scheduled</w:t>
            </w:r>
          </w:p>
        </w:tc>
        <w:tc>
          <w:tcPr>
            <w:tcW w:type="dxa" w:w="21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Appointment Set</w:t>
            </w:r>
          </w:p>
        </w:tc>
        <w:tc>
          <w:tcPr>
            <w:tcW w:type="dxa" w:w="3260"/>
            <w:shd w:fill="F2F5F9" w:color="auto" w:val="clear"/>
            <w:tcMar>
              <w:top w:type="dxa" w:w="70"/>
              <w:left w:type="dxa" w:w="100"/>
              <w:bottom w:type="dxa" w:w="70"/>
              <w:right w:type="dxa" w:w="100"/>
            </w:tcMar>
            <w:vAlign w:val="center"/>
          </w:tcPr>
          <w:p>
            <w:pPr>
              <w:spacing w:after="0" w:line="250"/>
            </w:pPr>
            <w:r>
              <w:rPr>
                <w:rFonts w:ascii="Calibri" w:cs="Calibri" w:eastAsia="Calibri" w:hAnsi="Calibri"/>
                <w:b/>
                <w:bCs/>
                <w:color w:val="A32E2E"/>
                <w:sz w:val="18"/>
                <w:szCs w:val="18"/>
              </w:rPr>
              <w:t xml:space="preserve">Broken — no such stage</w:t>
            </w:r>
          </w:p>
        </w:tc>
      </w:tr>
      <w:tr>
        <w:trPr>
          <w:cantSplit/>
          <w:tblHeader w:val="false"/>
        </w:trPr>
        <w:tc>
          <w:tcPr>
            <w:tcW w:type="dxa" w:w="19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NEGOTIATING</w:t>
            </w:r>
          </w:p>
        </w:tc>
        <w:tc>
          <w:tcPr>
            <w:tcW w:type="dxa" w:w="21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Negotiation</w:t>
            </w:r>
          </w:p>
        </w:tc>
        <w:tc>
          <w:tcPr>
            <w:tcW w:type="dxa" w:w="21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Negotiating</w:t>
            </w:r>
          </w:p>
        </w:tc>
        <w:tc>
          <w:tcPr>
            <w:tcW w:type="dxa" w:w="3260"/>
            <w:tcMar>
              <w:top w:type="dxa" w:w="70"/>
              <w:left w:type="dxa" w:w="100"/>
              <w:bottom w:type="dxa" w:w="70"/>
              <w:right w:type="dxa" w:w="100"/>
            </w:tcMar>
            <w:vAlign w:val="center"/>
          </w:tcPr>
          <w:p>
            <w:pPr>
              <w:spacing w:after="0" w:line="250"/>
            </w:pPr>
            <w:r>
              <w:rPr>
                <w:rFonts w:ascii="Calibri" w:cs="Calibri" w:eastAsia="Calibri" w:hAnsi="Calibri"/>
                <w:b/>
                <w:bCs/>
                <w:color w:val="A32E2E"/>
                <w:sz w:val="18"/>
                <w:szCs w:val="18"/>
              </w:rPr>
              <w:t xml:space="preserve">Near-miss — fails silently</w:t>
            </w:r>
          </w:p>
        </w:tc>
      </w:tr>
      <w:tr>
        <w:trPr>
          <w:cantSplit/>
          <w:tblHeader w:val="false"/>
        </w:trPr>
        <w:tc>
          <w:tcPr>
            <w:tcW w:type="dxa" w:w="19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CLOSED_WON</w:t>
            </w:r>
          </w:p>
        </w:tc>
        <w:tc>
          <w:tcPr>
            <w:tcW w:type="dxa" w:w="21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Closed Won</w:t>
            </w:r>
          </w:p>
        </w:tc>
        <w:tc>
          <w:tcPr>
            <w:tcW w:type="dxa" w:w="21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Closed</w:t>
            </w:r>
          </w:p>
        </w:tc>
        <w:tc>
          <w:tcPr>
            <w:tcW w:type="dxa" w:w="3260"/>
            <w:shd w:fill="F2F5F9" w:color="auto" w:val="clear"/>
            <w:tcMar>
              <w:top w:type="dxa" w:w="70"/>
              <w:left w:type="dxa" w:w="100"/>
              <w:bottom w:type="dxa" w:w="70"/>
              <w:right w:type="dxa" w:w="100"/>
            </w:tcMar>
            <w:vAlign w:val="center"/>
          </w:tcPr>
          <w:p>
            <w:pPr>
              <w:spacing w:after="0" w:line="250"/>
            </w:pPr>
            <w:r>
              <w:rPr>
                <w:rFonts w:ascii="Calibri" w:cs="Calibri" w:eastAsia="Calibri" w:hAnsi="Calibri"/>
                <w:b/>
                <w:bCs/>
                <w:color w:val="A32E2E"/>
                <w:sz w:val="18"/>
                <w:szCs w:val="18"/>
              </w:rPr>
              <w:t xml:space="preserve">Broken — no such stage</w:t>
            </w:r>
          </w:p>
        </w:tc>
      </w:tr>
      <w:tr>
        <w:trPr>
          <w:cantSplit/>
          <w:tblHeader w:val="false"/>
        </w:trPr>
        <w:tc>
          <w:tcPr>
            <w:tcW w:type="dxa" w:w="19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LOST</w:t>
            </w:r>
          </w:p>
        </w:tc>
        <w:tc>
          <w:tcPr>
            <w:tcW w:type="dxa" w:w="21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Closed Lost</w:t>
            </w:r>
          </w:p>
        </w:tc>
        <w:tc>
          <w:tcPr>
            <w:tcW w:type="dxa" w:w="21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Dead</w:t>
            </w:r>
          </w:p>
        </w:tc>
        <w:tc>
          <w:tcPr>
            <w:tcW w:type="dxa" w:w="3260"/>
            <w:tcMar>
              <w:top w:type="dxa" w:w="70"/>
              <w:left w:type="dxa" w:w="100"/>
              <w:bottom w:type="dxa" w:w="70"/>
              <w:right w:type="dxa" w:w="100"/>
            </w:tcMar>
            <w:vAlign w:val="center"/>
          </w:tcPr>
          <w:p>
            <w:pPr>
              <w:spacing w:after="0" w:line="250"/>
            </w:pPr>
            <w:r>
              <w:rPr>
                <w:rFonts w:ascii="Calibri" w:cs="Calibri" w:eastAsia="Calibri" w:hAnsi="Calibri"/>
                <w:b/>
                <w:bCs/>
                <w:color w:val="A32E2E"/>
                <w:sz w:val="18"/>
                <w:szCs w:val="18"/>
              </w:rPr>
              <w:t xml:space="preserve">Broken — no such stage</w:t>
            </w:r>
          </w:p>
        </w:tc>
      </w:tr>
    </w:tbl>
    <w:p>
      <w:pPr>
        <w:spacing w:after="120"/>
      </w:pPr>
    </w:p>
    <w:tbl>
      <w:tblPr>
        <w:tblW w:type="dxa" w:w="9360"/>
        <w:tblBorders>
          <w:top w:val="single" w:color="C8CFD9" w:sz="4"/>
          <w:left w:val="single" w:color="1F3352" w:sz="18"/>
          <w:bottom w:val="single" w:color="C8CFD9" w:sz="4"/>
          <w:right w:val="single" w:color="C8CFD9" w:sz="4"/>
          <w:insideH w:val="none"/>
          <w:insideV w:val="none"/>
        </w:tblBorders>
      </w:tblPr>
      <w:tblGrid>
        <w:gridCol w:w="9360"/>
      </w:tblGrid>
      <w:tr>
        <w:trPr>
          <w:cantSplit/>
        </w:trPr>
        <w:tc>
          <w:tcPr>
            <w:tcW w:type="dxa" w:w="9360"/>
            <w:shd w:fill="FBE9E7" w:color="auto" w:val="clear"/>
            <w:tcMar>
              <w:top w:type="dxa" w:w="140"/>
              <w:left w:type="dxa" w:w="180"/>
              <w:bottom w:type="dxa" w:w="140"/>
              <w:right w:type="dxa" w:w="160"/>
            </w:tcMar>
          </w:tcPr>
          <w:p>
            <w:pPr>
              <w:spacing w:after="80"/>
            </w:pPr>
            <w:r>
              <w:rPr>
                <w:rFonts w:ascii="Calibri" w:cs="Calibri" w:eastAsia="Calibri" w:hAnsi="Calibri"/>
                <w:b/>
                <w:bCs/>
                <w:color w:val="1F3352"/>
                <w:sz w:val="20"/>
                <w:szCs w:val="20"/>
              </w:rPr>
              <w:t xml:space="preserve">Why the near-miss is the dangerous one</w:t>
            </w:r>
          </w:p>
          <w:p>
            <w:pPr>
              <w:spacing w:after="60" w:line="264"/>
            </w:pPr>
            <w:r>
              <w:rPr>
                <w:rFonts w:ascii="Calibri" w:cs="Calibri" w:eastAsia="Calibri" w:hAnsi="Calibri"/>
                <w:sz w:val="19"/>
                <w:szCs w:val="19"/>
              </w:rPr>
              <w:t xml:space="preserve">"Negotiation" versus "Negotiating" differs by three characters. A CSV import that rejects an unknown stage outright is recoverable — you see the error and fix it. An import that coerces a near-miss to a default stage, or silently creates a stray twelfth stage, is not: every negotiating auto deal lands in the wrong column and the pipeline report is quietly wrong.</w:t>
            </w:r>
          </w:p>
          <w:p>
            <w:pPr>
              <w:spacing w:after="60" w:line="264"/>
            </w:pPr>
            <w:r>
              <w:rPr>
                <w:rFonts w:ascii="Calibri" w:cs="Calibri" w:eastAsia="Calibri" w:hAnsi="Calibri"/>
                <w:sz w:val="19"/>
                <w:szCs w:val="19"/>
              </w:rPr>
              <w:t xml:space="preserve">Verify CompanyHub's behaviour on unknown picklist values during import before the first production run, and record the answer in Section N.</w:t>
            </w:r>
          </w:p>
        </w:tc>
      </w:tr>
    </w:tbl>
    <w:p>
      <w:pPr>
        <w:spacing w:after="120"/>
      </w:pPr>
    </w:p>
    <w:p>
      <w:pPr>
        <w:pStyle w:val="Heading2"/>
        <w:keepNext/>
        <w:spacing w:after="110" w:before="260"/>
      </w:pPr>
      <w:r>
        <w:rPr>
          <w:rFonts w:ascii="Calibri" w:cs="Calibri" w:eastAsia="Calibri" w:hAnsi="Calibri"/>
          <w:b/>
          <w:bCs/>
          <w:color w:val="1F3352"/>
          <w:sz w:val="24"/>
          <w:szCs w:val="24"/>
        </w:rPr>
        <w:t xml:space="preserve">Required correction</w:t>
      </w:r>
    </w:p>
    <w:p>
      <w:pPr>
        <w:spacing w:after="120" w:line="276"/>
      </w:pPr>
      <w:r>
        <w:rPr>
          <w:rFonts w:ascii="Calibri" w:cs="Calibri" w:eastAsia="Calibri" w:hAnsi="Calibri"/>
          <w:color w:val="222222"/>
          <w:sz w:val="21"/>
          <w:szCs w:val="21"/>
        </w:rPr>
        <w:t xml:space="preserve">Replace the stage map with the values below. Do this before any import. The mapping is code, not CompanyHub configuration, and cannot be worked around inside the CRM.</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2600"/>
        <w:gridCol w:w="3200"/>
        <w:gridCol w:w="3560"/>
      </w:tblGrid>
      <w:tr>
        <w:trPr>
          <w:cantSplit/>
          <w:tblHeader/>
        </w:trPr>
        <w:tc>
          <w:tcPr>
            <w:tcW w:type="dxa" w:w="26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CarHawk constant</w:t>
            </w:r>
          </w:p>
        </w:tc>
        <w:tc>
          <w:tcPr>
            <w:tcW w:type="dxa" w:w="32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Must write</w:t>
            </w:r>
          </w:p>
        </w:tc>
        <w:tc>
          <w:tcPr>
            <w:tcW w:type="dxa" w:w="35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Note</w:t>
            </w:r>
          </w:p>
        </w:tc>
      </w:tr>
      <w:tr>
        <w:trPr>
          <w:cantSplit/>
          <w:tblHeader w:val="false"/>
        </w:trPr>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IMPORTED</w:t>
            </w:r>
          </w:p>
        </w:tc>
        <w:tc>
          <w:tcPr>
            <w:tcW w:type="dxa" w:w="32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New Lead</w:t>
            </w:r>
          </w:p>
        </w:tc>
        <w:tc>
          <w:tcPr>
            <w:tcW w:type="dxa" w:w="35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No change</w:t>
            </w:r>
          </w:p>
        </w:tc>
      </w:tr>
      <w:tr>
        <w:trPr>
          <w:cantSplit/>
          <w:tblHeader w:val="false"/>
        </w:trPr>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CONTACTED</w:t>
            </w:r>
          </w:p>
        </w:tc>
        <w:tc>
          <w:tcPr>
            <w:tcW w:type="dxa" w:w="32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Contacted</w:t>
            </w:r>
          </w:p>
        </w:tc>
        <w:tc>
          <w:tcPr>
            <w:tcW w:type="dxa" w:w="35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No change</w:t>
            </w:r>
          </w:p>
        </w:tc>
      </w:tr>
      <w:tr>
        <w:trPr>
          <w:cantSplit/>
          <w:tblHeader w:val="false"/>
        </w:trPr>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RESPONDED</w:t>
            </w:r>
          </w:p>
        </w:tc>
        <w:tc>
          <w:tcPr>
            <w:tcW w:type="dxa" w:w="32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Engaged</w:t>
            </w:r>
          </w:p>
        </w:tc>
        <w:tc>
          <w:tcPr>
            <w:tcW w:type="dxa" w:w="35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Changed</w:t>
            </w:r>
          </w:p>
        </w:tc>
      </w:tr>
      <w:tr>
        <w:trPr>
          <w:cantSplit/>
          <w:tblHeader w:val="false"/>
        </w:trPr>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APPOINTMENT_SET</w:t>
            </w:r>
          </w:p>
        </w:tc>
        <w:tc>
          <w:tcPr>
            <w:tcW w:type="dxa" w:w="32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Appointment Set</w:t>
            </w:r>
          </w:p>
        </w:tc>
        <w:tc>
          <w:tcPr>
            <w:tcW w:type="dxa" w:w="35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Changed</w:t>
            </w:r>
          </w:p>
        </w:tc>
      </w:tr>
      <w:tr>
        <w:trPr>
          <w:cantSplit/>
          <w:tblHeader w:val="false"/>
        </w:trPr>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NEGOTIATING</w:t>
            </w:r>
          </w:p>
        </w:tc>
        <w:tc>
          <w:tcPr>
            <w:tcW w:type="dxa" w:w="32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Negotiating</w:t>
            </w:r>
          </w:p>
        </w:tc>
        <w:tc>
          <w:tcPr>
            <w:tcW w:type="dxa" w:w="35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Changed — spelling</w:t>
            </w:r>
          </w:p>
        </w:tc>
      </w:tr>
      <w:tr>
        <w:trPr>
          <w:cantSplit/>
          <w:tblHeader w:val="false"/>
        </w:trPr>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CLOSED_WON</w:t>
            </w:r>
          </w:p>
        </w:tc>
        <w:tc>
          <w:tcPr>
            <w:tcW w:type="dxa" w:w="32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Closed</w:t>
            </w:r>
          </w:p>
        </w:tc>
        <w:tc>
          <w:tcPr>
            <w:tcW w:type="dxa" w:w="35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Changed</w:t>
            </w:r>
          </w:p>
        </w:tc>
      </w:tr>
      <w:tr>
        <w:trPr>
          <w:cantSplit/>
          <w:tblHeader w:val="false"/>
        </w:trPr>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LOST</w:t>
            </w:r>
          </w:p>
        </w:tc>
        <w:tc>
          <w:tcPr>
            <w:tcW w:type="dxa" w:w="32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Dead</w:t>
            </w:r>
          </w:p>
        </w:tc>
        <w:tc>
          <w:tcPr>
            <w:tcW w:type="dxa" w:w="35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Changed — also set Dead Reason</w:t>
            </w:r>
          </w:p>
        </w:tc>
      </w:tr>
    </w:tbl>
    <w:p>
      <w:pPr>
        <w:spacing w:after="120"/>
      </w:pPr>
    </w:p>
    <w:p>
      <w:pPr>
        <w:pStyle w:val="Heading2"/>
        <w:keepNext/>
        <w:spacing w:after="110" w:before="260"/>
      </w:pPr>
      <w:r>
        <w:rPr>
          <w:rFonts w:ascii="Calibri" w:cs="Calibri" w:eastAsia="Calibri" w:hAnsi="Calibri"/>
          <w:b/>
          <w:bCs/>
          <w:color w:val="1F3352"/>
          <w:sz w:val="24"/>
          <w:szCs w:val="24"/>
        </w:rPr>
        <w:t xml:space="preserve">Two further code defects found while reconciling</w:t>
      </w:r>
    </w:p>
    <w:p>
      <w:pPr>
        <w:pStyle w:val="ListParagraph"/>
        <w:numPr>
          <w:ilvl w:val="0"/>
          <w:numId w:val="2"/>
        </w:numPr>
        <w:spacing w:after="70" w:line="276"/>
      </w:pPr>
      <w:r>
        <w:rPr>
          <w:rFonts w:ascii="Calibri" w:cs="Calibri" w:eastAsia="Calibri" w:hAnsi="Calibri"/>
          <w:sz w:val="21"/>
          <w:szCs w:val="21"/>
        </w:rPr>
        <w:t xml:space="preserve">syncQuantumCRM is defined twice — main.gs line 4346 and quantum_menu_handlers.gs line 64 — and the two copies have already drifted. In Apps Script this is a redeclaration where file load order decides which wins. Pick one home before adding CompanyHub sync logic to it.</w:t>
      </w:r>
    </w:p>
    <w:p>
      <w:pPr>
        <w:pStyle w:val="ListParagraph"/>
        <w:numPr>
          <w:ilvl w:val="0"/>
          <w:numId w:val="2"/>
        </w:numPr>
        <w:spacing w:after="70" w:line="276"/>
      </w:pPr>
      <w:r>
        <w:rPr>
          <w:rFonts w:ascii="Calibri" w:cs="Calibri" w:eastAsia="Calibri" w:hAnsi="Calibri"/>
          <w:sz w:val="21"/>
          <w:szCs w:val="21"/>
        </w:rPr>
        <w:t xml:space="preserve">CompanyHub has no credential setting anywhere in the codebase. SMSIT_API_KEY and OHMYLEAD_WEBHOOK_URL are both persisted through setQuantumSetting; no COMPANYHUB key exists, so syncQuantumCRM hardcodes companyhub: false and the sync dialog always reports "Not configured". Export to CompanyHub is CSV-to-Drive only today.</w:t>
      </w:r>
    </w:p>
    <w:p>
      <w:pPr>
        <w:pStyle w:val="Heading1"/>
        <w:keepNext/>
        <w:pBdr>
          <w:bottom w:val="single" w:color="C8CFD9" w:sz="8" w:space="6"/>
        </w:pBdr>
        <w:spacing w:after="160" w:before="360"/>
      </w:pPr>
      <w:r>
        <w:rPr>
          <w:rFonts w:ascii="Calibri" w:cs="Calibri" w:eastAsia="Calibri" w:hAnsi="Calibri"/>
          <w:b/>
          <w:bCs/>
          <w:color w:val="1F3352"/>
          <w:sz w:val="30"/>
          <w:szCs w:val="30"/>
        </w:rPr>
        <w:t xml:space="preserve">E. Deal Table</w:t>
      </w:r>
    </w:p>
    <w:p>
      <w:pPr>
        <w:spacing w:after="120" w:line="276"/>
      </w:pPr>
      <w:r>
        <w:rPr>
          <w:rFonts w:ascii="Calibri" w:cs="Calibri" w:eastAsia="Calibri" w:hAnsi="Calibri"/>
          <w:color w:val="222222"/>
          <w:sz w:val="21"/>
          <w:szCs w:val="21"/>
        </w:rPr>
        <w:t xml:space="preserve">The shared transaction record. Sections A, B, C and E apply to both verticals; Section D is auto-only and hidden on real estate deals.</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1200"/>
        <w:gridCol w:w="4900"/>
        <w:gridCol w:w="900"/>
        <w:gridCol w:w="2360"/>
      </w:tblGrid>
      <w:tr>
        <w:trPr>
          <w:cantSplit/>
          <w:tblHeader/>
        </w:trPr>
        <w:tc>
          <w:tcPr>
            <w:tcW w:type="dxa" w:w="12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Section</w:t>
            </w:r>
          </w:p>
        </w:tc>
        <w:tc>
          <w:tcPr>
            <w:tcW w:type="dxa" w:w="49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Contents</w:t>
            </w:r>
          </w:p>
        </w:tc>
        <w:tc>
          <w:tcPr>
            <w:tcW w:type="dxa" w:w="9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Fields</w:t>
            </w:r>
          </w:p>
        </w:tc>
        <w:tc>
          <w:tcPr>
            <w:tcW w:type="dxa" w:w="23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Vertical</w:t>
            </w:r>
          </w:p>
        </w:tc>
      </w:tr>
      <w:tr>
        <w:trPr>
          <w:cantSplit/>
          <w:tblHeader w:val="false"/>
        </w:trPr>
        <w:tc>
          <w:tcPr>
            <w:tcW w:type="dxa" w:w="12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w:t>
            </w:r>
          </w:p>
        </w:tc>
        <w:tc>
          <w:tcPr>
            <w:tcW w:type="dxa" w:w="49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Default fields (owner, created, modified, name, stage, source, next follow-up)</w:t>
            </w:r>
          </w:p>
        </w:tc>
        <w:tc>
          <w:tcPr>
            <w:tcW w:type="dxa" w:w="9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7</w:t>
            </w:r>
          </w:p>
        </w:tc>
        <w:tc>
          <w:tcPr>
            <w:tcW w:type="dxa" w:w="23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Both</w:t>
            </w:r>
          </w:p>
        </w:tc>
      </w:tr>
      <w:tr>
        <w:trPr>
          <w:cantSplit/>
          <w:tblHeader w:val="false"/>
        </w:trPr>
        <w:tc>
          <w:tcPr>
            <w:tcW w:type="dxa" w:w="12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w:t>
            </w:r>
          </w:p>
        </w:tc>
        <w:tc>
          <w:tcPr>
            <w:tcW w:type="dxa" w:w="49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 Analysis (purchase price, ARV/market value, repair estimate, profit, ROI, lead score, comps)</w:t>
            </w:r>
          </w:p>
        </w:tc>
        <w:tc>
          <w:tcPr>
            <w:tcW w:type="dxa" w:w="9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16</w:t>
            </w:r>
          </w:p>
        </w:tc>
        <w:tc>
          <w:tcPr>
            <w:tcW w:type="dxa" w:w="23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Both</w:t>
            </w:r>
          </w:p>
        </w:tc>
      </w:tr>
      <w:tr>
        <w:trPr>
          <w:cantSplit/>
          <w:tblHeader w:val="false"/>
        </w:trPr>
        <w:tc>
          <w:tcPr>
            <w:tcW w:type="dxa" w:w="12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w:t>
            </w:r>
          </w:p>
        </w:tc>
        <w:tc>
          <w:tcPr>
            <w:tcW w:type="dxa" w:w="49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 Details (seller contact, motivation, EMD, title company, documents, identity keys)</w:t>
            </w:r>
          </w:p>
        </w:tc>
        <w:tc>
          <w:tcPr>
            <w:tcW w:type="dxa" w:w="9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21</w:t>
            </w:r>
          </w:p>
        </w:tc>
        <w:tc>
          <w:tcPr>
            <w:tcW w:type="dxa" w:w="23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Both</w:t>
            </w:r>
          </w:p>
        </w:tc>
      </w:tr>
      <w:tr>
        <w:trPr>
          <w:cantSplit/>
          <w:tblHeader w:val="false"/>
        </w:trPr>
        <w:tc>
          <w:tcPr>
            <w:tcW w:type="dxa" w:w="12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w:t>
            </w:r>
          </w:p>
        </w:tc>
        <w:tc>
          <w:tcPr>
            <w:tcW w:type="dxa" w:w="49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Vehicle Info (year, make, model, trim, mileage, VIN, title status, platform, days listed, flip strategy, distance, photos)</w:t>
            </w:r>
          </w:p>
        </w:tc>
        <w:tc>
          <w:tcPr>
            <w:tcW w:type="dxa" w:w="9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12</w:t>
            </w:r>
          </w:p>
        </w:tc>
        <w:tc>
          <w:tcPr>
            <w:tcW w:type="dxa" w:w="2360"/>
            <w:shd w:fill="F2F5F9" w:color="auto" w:val="clear"/>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Auto only</w:t>
            </w:r>
          </w:p>
        </w:tc>
      </w:tr>
      <w:tr>
        <w:trPr>
          <w:cantSplit/>
          <w:tblHeader w:val="false"/>
        </w:trPr>
        <w:tc>
          <w:tcPr>
            <w:tcW w:type="dxa" w:w="12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E</w:t>
            </w:r>
          </w:p>
        </w:tc>
        <w:tc>
          <w:tcPr>
            <w:tcW w:type="dxa" w:w="49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Asset Link (Property lookup, Vehicle lookup, asset created flag, hand-off date)</w:t>
            </w:r>
          </w:p>
        </w:tc>
        <w:tc>
          <w:tcPr>
            <w:tcW w:type="dxa" w:w="9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4</w:t>
            </w:r>
          </w:p>
        </w:tc>
        <w:tc>
          <w:tcPr>
            <w:tcW w:type="dxa" w:w="23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Both</w:t>
            </w:r>
          </w:p>
        </w:tc>
      </w:tr>
      <w:tr>
        <w:trPr>
          <w:cantSplit/>
          <w:tblHeader w:val="false"/>
        </w:trPr>
        <w:tc>
          <w:tcPr>
            <w:tcW w:type="dxa" w:w="1200"/>
            <w:shd w:fill="E7ECF3" w:color="auto" w:val="clear"/>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Total</w:t>
            </w:r>
          </w:p>
        </w:tc>
        <w:tc>
          <w:tcPr>
            <w:tcW w:type="dxa" w:w="4900"/>
            <w:shd w:fill="E7ECF3"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
            </w:r>
          </w:p>
        </w:tc>
        <w:tc>
          <w:tcPr>
            <w:tcW w:type="dxa" w:w="900"/>
            <w:shd w:fill="E7ECF3" w:color="auto" w:val="clear"/>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60</w:t>
            </w:r>
          </w:p>
        </w:tc>
        <w:tc>
          <w:tcPr>
            <w:tcW w:type="dxa" w:w="2360"/>
            <w:shd w:fill="E7ECF3"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
            </w:r>
          </w:p>
        </w:tc>
      </w:tr>
    </w:tbl>
    <w:p>
      <w:pPr>
        <w:spacing w:after="120"/>
      </w:pPr>
    </w:p>
    <w:p>
      <w:pPr>
        <w:pStyle w:val="Heading2"/>
        <w:keepNext/>
        <w:spacing w:after="110" w:before="260"/>
      </w:pPr>
      <w:r>
        <w:rPr>
          <w:rFonts w:ascii="Calibri" w:cs="Calibri" w:eastAsia="Calibri" w:hAnsi="Calibri"/>
          <w:b/>
          <w:bCs/>
          <w:color w:val="1F3352"/>
          <w:sz w:val="24"/>
          <w:szCs w:val="24"/>
        </w:rPr>
        <w:t xml:space="preserve">New and changed fields</w:t>
      </w:r>
    </w:p>
    <w:p>
      <w:pPr>
        <w:spacing w:after="120" w:line="276"/>
      </w:pPr>
      <w:r>
        <w:rPr>
          <w:rFonts w:ascii="Calibri" w:cs="Calibri" w:eastAsia="Calibri" w:hAnsi="Calibri"/>
          <w:color w:val="222222"/>
          <w:sz w:val="21"/>
          <w:szCs w:val="21"/>
        </w:rPr>
        <w:t xml:space="preserve">Everything below is new in this revision or moved from another table. Fields carried forward from the February v2 spec are counted above but not re-enumerated — see Section P on provenance.</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450"/>
        <w:gridCol w:w="1750"/>
        <w:gridCol w:w="2050"/>
        <w:gridCol w:w="1000"/>
        <w:gridCol w:w="4110"/>
      </w:tblGrid>
      <w:tr>
        <w:trPr>
          <w:cantSplit/>
          <w:tblHeader/>
        </w:trPr>
        <w:tc>
          <w:tcPr>
            <w:tcW w:type="dxa" w:w="45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w:t>
            </w:r>
          </w:p>
        </w:tc>
        <w:tc>
          <w:tcPr>
            <w:tcW w:type="dxa" w:w="175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Field</w:t>
            </w:r>
          </w:p>
        </w:tc>
        <w:tc>
          <w:tcPr>
            <w:tcW w:type="dxa" w:w="205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Type</w:t>
            </w:r>
          </w:p>
        </w:tc>
        <w:tc>
          <w:tcPr>
            <w:tcW w:type="dxa" w:w="10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Section</w:t>
            </w:r>
          </w:p>
        </w:tc>
        <w:tc>
          <w:tcPr>
            <w:tcW w:type="dxa" w:w="411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Purpose</w:t>
            </w:r>
          </w:p>
        </w:tc>
      </w:tr>
      <w:tr>
        <w:trPr>
          <w:cantSplit/>
          <w:tblHeader w:val="false"/>
        </w:trPr>
        <w:tc>
          <w:tcPr>
            <w:tcW w:type="dxa" w:w="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w:t>
            </w:r>
          </w:p>
        </w:tc>
        <w:tc>
          <w:tcPr>
            <w:tcW w:type="dxa" w:w="17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Vertical</w:t>
            </w:r>
          </w:p>
        </w:tc>
        <w:tc>
          <w:tcPr>
            <w:tcW w:type="dxa" w:w="20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Picklist: Real Estate, Auto</w:t>
            </w:r>
          </w:p>
        </w:tc>
        <w:tc>
          <w:tcPr>
            <w:tcW w:type="dxa" w:w="10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w:t>
            </w:r>
          </w:p>
        </w:tc>
        <w:tc>
          <w:tcPr>
            <w:tcW w:type="dxa" w:w="411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Drives field visibility, filters, dashboards, automation scope. The only field separating the businesses.</w:t>
            </w:r>
          </w:p>
        </w:tc>
      </w:tr>
      <w:tr>
        <w:trPr>
          <w:cantSplit/>
          <w:tblHeader w:val="false"/>
        </w:trPr>
        <w:tc>
          <w:tcPr>
            <w:tcW w:type="dxa" w:w="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2</w:t>
            </w:r>
          </w:p>
        </w:tc>
        <w:tc>
          <w:tcPr>
            <w:tcW w:type="dxa" w:w="17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Source System</w:t>
            </w:r>
          </w:p>
        </w:tc>
        <w:tc>
          <w:tcPr>
            <w:tcW w:type="dxa" w:w="20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Picklist: Quantum RE Analyzer, CarHawk, SMS-iT, Manual</w:t>
            </w:r>
          </w:p>
        </w:tc>
        <w:tc>
          <w:tcPr>
            <w:tcW w:type="dxa" w:w="10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w:t>
            </w:r>
          </w:p>
        </w:tc>
        <w:tc>
          <w:tcPr>
            <w:tcW w:type="dxa" w:w="411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Which system created the record. Half of the dedup key.</w:t>
            </w:r>
          </w:p>
        </w:tc>
      </w:tr>
      <w:tr>
        <w:trPr>
          <w:cantSplit/>
          <w:tblHeader w:val="false"/>
        </w:trPr>
        <w:tc>
          <w:tcPr>
            <w:tcW w:type="dxa" w:w="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3</w:t>
            </w:r>
          </w:p>
        </w:tc>
        <w:tc>
          <w:tcPr>
            <w:tcW w:type="dxa" w:w="17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External ID</w:t>
            </w:r>
          </w:p>
        </w:tc>
        <w:tc>
          <w:tcPr>
            <w:tcW w:type="dxa" w:w="20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Single line text</w:t>
            </w:r>
          </w:p>
        </w:tc>
        <w:tc>
          <w:tcPr>
            <w:tcW w:type="dxa" w:w="10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w:t>
            </w:r>
          </w:p>
        </w:tc>
        <w:tc>
          <w:tcPr>
            <w:tcW w:type="dxa" w:w="411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The source system's own row or deal id. Other half of the dedup key. Replaces the RE-only Quantum Row ID.</w:t>
            </w:r>
          </w:p>
        </w:tc>
      </w:tr>
      <w:tr>
        <w:trPr>
          <w:cantSplit/>
          <w:tblHeader w:val="false"/>
        </w:trPr>
        <w:tc>
          <w:tcPr>
            <w:tcW w:type="dxa" w:w="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4</w:t>
            </w:r>
          </w:p>
        </w:tc>
        <w:tc>
          <w:tcPr>
            <w:tcW w:type="dxa" w:w="17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Dead Reason</w:t>
            </w:r>
          </w:p>
        </w:tc>
        <w:tc>
          <w:tcPr>
            <w:tcW w:type="dxa" w:w="20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Picklist (11 values, see below)</w:t>
            </w:r>
          </w:p>
        </w:tc>
        <w:tc>
          <w:tcPr>
            <w:tcW w:type="dxa" w:w="10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w:t>
            </w:r>
          </w:p>
        </w:tc>
        <w:tc>
          <w:tcPr>
            <w:tcW w:type="dxa" w:w="411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Referenced by the original pipeline spec but never defined. Required on entry to Dead.</w:t>
            </w:r>
          </w:p>
        </w:tc>
      </w:tr>
      <w:tr>
        <w:trPr>
          <w:cantSplit/>
          <w:tblHeader w:val="false"/>
        </w:trPr>
        <w:tc>
          <w:tcPr>
            <w:tcW w:type="dxa" w:w="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5</w:t>
            </w:r>
          </w:p>
        </w:tc>
        <w:tc>
          <w:tcPr>
            <w:tcW w:type="dxa" w:w="17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Earnest Money Deposit</w:t>
            </w:r>
          </w:p>
        </w:tc>
        <w:tc>
          <w:tcPr>
            <w:tcW w:type="dxa" w:w="20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Currency</w:t>
            </w:r>
          </w:p>
        </w:tc>
        <w:tc>
          <w:tcPr>
            <w:tcW w:type="dxa" w:w="10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w:t>
            </w:r>
          </w:p>
        </w:tc>
        <w:tc>
          <w:tcPr>
            <w:tcW w:type="dxa" w:w="411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Cash at risk during Under Contract. RE-relevant; auto deposits use the same field.</w:t>
            </w:r>
          </w:p>
        </w:tc>
      </w:tr>
      <w:tr>
        <w:trPr>
          <w:cantSplit/>
          <w:tblHeader w:val="false"/>
        </w:trPr>
        <w:tc>
          <w:tcPr>
            <w:tcW w:type="dxa" w:w="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6</w:t>
            </w:r>
          </w:p>
        </w:tc>
        <w:tc>
          <w:tcPr>
            <w:tcW w:type="dxa" w:w="17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EMD Refundable?</w:t>
            </w:r>
          </w:p>
        </w:tc>
        <w:tc>
          <w:tcPr>
            <w:tcW w:type="dxa" w:w="20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Picklist: Yes — before DD deadline, Yes — full, No — hard, Partial</w:t>
            </w:r>
          </w:p>
        </w:tc>
        <w:tc>
          <w:tcPr>
            <w:tcW w:type="dxa" w:w="10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w:t>
            </w:r>
          </w:p>
        </w:tc>
        <w:tc>
          <w:tcPr>
            <w:tcW w:type="dxa" w:w="411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Risk exposure if the deal dies.</w:t>
            </w:r>
          </w:p>
        </w:tc>
      </w:tr>
      <w:tr>
        <w:trPr>
          <w:cantSplit/>
          <w:tblHeader w:val="false"/>
        </w:trPr>
        <w:tc>
          <w:tcPr>
            <w:tcW w:type="dxa" w:w="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7</w:t>
            </w:r>
          </w:p>
        </w:tc>
        <w:tc>
          <w:tcPr>
            <w:tcW w:type="dxa" w:w="17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Title Company</w:t>
            </w:r>
          </w:p>
        </w:tc>
        <w:tc>
          <w:tcPr>
            <w:tcW w:type="dxa" w:w="20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Single line text</w:t>
            </w:r>
          </w:p>
        </w:tc>
        <w:tc>
          <w:tcPr>
            <w:tcW w:type="dxa" w:w="10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w:t>
            </w:r>
          </w:p>
        </w:tc>
        <w:tc>
          <w:tcPr>
            <w:tcW w:type="dxa" w:w="411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RE closing coordination. On auto deals, the title/registration service used.</w:t>
            </w:r>
          </w:p>
        </w:tc>
      </w:tr>
      <w:tr>
        <w:trPr>
          <w:cantSplit/>
          <w:tblHeader w:val="false"/>
        </w:trPr>
        <w:tc>
          <w:tcPr>
            <w:tcW w:type="dxa" w:w="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8</w:t>
            </w:r>
          </w:p>
        </w:tc>
        <w:tc>
          <w:tcPr>
            <w:tcW w:type="dxa" w:w="17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Documents Folder Link</w:t>
            </w:r>
          </w:p>
        </w:tc>
        <w:tc>
          <w:tcPr>
            <w:tcW w:type="dxa" w:w="20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URL</w:t>
            </w:r>
          </w:p>
        </w:tc>
        <w:tc>
          <w:tcPr>
            <w:tcW w:type="dxa" w:w="10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w:t>
            </w:r>
          </w:p>
        </w:tc>
        <w:tc>
          <w:tcPr>
            <w:tcW w:type="dxa" w:w="411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Drive or Dropbox folder: PSA, inspections, title work, bill of sale.</w:t>
            </w:r>
          </w:p>
        </w:tc>
      </w:tr>
      <w:tr>
        <w:trPr>
          <w:cantSplit/>
          <w:tblHeader w:val="false"/>
        </w:trPr>
        <w:tc>
          <w:tcPr>
            <w:tcW w:type="dxa" w:w="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9</w:t>
            </w:r>
          </w:p>
        </w:tc>
        <w:tc>
          <w:tcPr>
            <w:tcW w:type="dxa" w:w="17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Motivated Seller?</w:t>
            </w:r>
          </w:p>
        </w:tc>
        <w:tc>
          <w:tcPr>
            <w:tcW w:type="dxa" w:w="20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Picklist</w:t>
            </w:r>
          </w:p>
        </w:tc>
        <w:tc>
          <w:tcPr>
            <w:tcW w:type="dxa" w:w="10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w:t>
            </w:r>
          </w:p>
        </w:tc>
        <w:tc>
          <w:tcPr>
            <w:tcW w:type="dxa" w:w="411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Moved from Properties. Motivation is deal-specific and time-sensitive; on the Property record a second deal overwrites the first.</w:t>
            </w:r>
          </w:p>
        </w:tc>
      </w:tr>
      <w:tr>
        <w:trPr>
          <w:cantSplit/>
          <w:tblHeader w:val="false"/>
        </w:trPr>
        <w:tc>
          <w:tcPr>
            <w:tcW w:type="dxa" w:w="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10</w:t>
            </w:r>
          </w:p>
        </w:tc>
        <w:tc>
          <w:tcPr>
            <w:tcW w:type="dxa" w:w="17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Motivation Reason</w:t>
            </w:r>
          </w:p>
        </w:tc>
        <w:tc>
          <w:tcPr>
            <w:tcW w:type="dxa" w:w="20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Picklist</w:t>
            </w:r>
          </w:p>
        </w:tc>
        <w:tc>
          <w:tcPr>
            <w:tcW w:type="dxa" w:w="10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w:t>
            </w:r>
          </w:p>
        </w:tc>
        <w:tc>
          <w:tcPr>
            <w:tcW w:type="dxa" w:w="411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Moved from Properties. Same reasoning.</w:t>
            </w:r>
          </w:p>
        </w:tc>
      </w:tr>
      <w:tr>
        <w:trPr>
          <w:cantSplit/>
          <w:tblHeader w:val="false"/>
        </w:trPr>
        <w:tc>
          <w:tcPr>
            <w:tcW w:type="dxa" w:w="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11</w:t>
            </w:r>
          </w:p>
        </w:tc>
        <w:tc>
          <w:tcPr>
            <w:tcW w:type="dxa" w:w="17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Vehicle</w:t>
            </w:r>
          </w:p>
        </w:tc>
        <w:tc>
          <w:tcPr>
            <w:tcW w:type="dxa" w:w="20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Lookup to Vehicles</w:t>
            </w:r>
          </w:p>
        </w:tc>
        <w:tc>
          <w:tcPr>
            <w:tcW w:type="dxa" w:w="10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E</w:t>
            </w:r>
          </w:p>
        </w:tc>
        <w:tc>
          <w:tcPr>
            <w:tcW w:type="dxa" w:w="411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Populated at hand-off when Flip Strategy = Turo Hold.</w:t>
            </w:r>
          </w:p>
        </w:tc>
      </w:tr>
      <w:tr>
        <w:trPr>
          <w:cantSplit/>
          <w:tblHeader w:val="false"/>
        </w:trPr>
        <w:tc>
          <w:tcPr>
            <w:tcW w:type="dxa" w:w="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12</w:t>
            </w:r>
          </w:p>
        </w:tc>
        <w:tc>
          <w:tcPr>
            <w:tcW w:type="dxa" w:w="17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Asset Hand-off Date</w:t>
            </w:r>
          </w:p>
        </w:tc>
        <w:tc>
          <w:tcPr>
            <w:tcW w:type="dxa" w:w="20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Date</w:t>
            </w:r>
          </w:p>
        </w:tc>
        <w:tc>
          <w:tcPr>
            <w:tcW w:type="dxa" w:w="10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E</w:t>
            </w:r>
          </w:p>
        </w:tc>
        <w:tc>
          <w:tcPr>
            <w:tcW w:type="dxa" w:w="411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When the asset record was created or activated. Enables hand-off latency reporting.</w:t>
            </w:r>
          </w:p>
        </w:tc>
      </w:tr>
    </w:tbl>
    <w:p>
      <w:pPr>
        <w:spacing w:after="120"/>
      </w:pPr>
    </w:p>
    <w:p>
      <w:pPr>
        <w:pStyle w:val="Heading3"/>
        <w:keepNext/>
        <w:spacing w:after="90" w:before="200"/>
      </w:pPr>
      <w:r>
        <w:rPr>
          <w:rFonts w:ascii="Calibri" w:cs="Calibri" w:eastAsia="Calibri" w:hAnsi="Calibri"/>
          <w:b/>
          <w:bCs/>
          <w:color w:val="4A5568"/>
          <w:sz w:val="21"/>
          <w:szCs w:val="21"/>
        </w:rPr>
        <w:t xml:space="preserve">Dead Reason values</w:t>
      </w:r>
    </w:p>
    <w:p>
      <w:pPr>
        <w:spacing w:after="120" w:line="276"/>
      </w:pPr>
      <w:r>
        <w:rPr>
          <w:rFonts w:ascii="Calibri" w:cs="Calibri" w:eastAsia="Calibri" w:hAnsi="Calibri"/>
          <w:color w:val="222222"/>
          <w:sz w:val="21"/>
          <w:szCs w:val="21"/>
        </w:rPr>
        <w:t xml:space="preserve">Seller unresponsive · Price too high · Title issues · Inspection failed · Financing fell through · Seller backed out · Buyer backed out · Better deal found · Market changed · Could not locate owner · Other</w:t>
      </w:r>
    </w:p>
    <w:p>
      <w:pPr>
        <w:spacing w:after="120" w:line="276"/>
      </w:pPr>
      <w:r>
        <w:rPr>
          <w:rFonts w:ascii="Calibri" w:cs="Calibri" w:eastAsia="Calibri" w:hAnsi="Calibri"/>
          <w:i/>
          <w:iCs/>
          <w:color w:val="4A5568"/>
          <w:sz w:val="21"/>
          <w:szCs w:val="21"/>
        </w:rPr>
        <w:t xml:space="preserve">Applies to both verticals. "Title issues" and "Inspection failed" are as common on a vehicle as on a house.</w:t>
      </w:r>
    </w:p>
    <w:p>
      <w:pPr>
        <w:pStyle w:val="Heading1"/>
        <w:keepNext/>
        <w:pBdr>
          <w:bottom w:val="single" w:color="C8CFD9" w:sz="8" w:space="6"/>
        </w:pBdr>
        <w:spacing w:after="160" w:before="360"/>
      </w:pPr>
      <w:r>
        <w:rPr>
          <w:rFonts w:ascii="Calibri" w:cs="Calibri" w:eastAsia="Calibri" w:hAnsi="Calibri"/>
          <w:b/>
          <w:bCs/>
          <w:color w:val="1F3352"/>
          <w:sz w:val="30"/>
          <w:szCs w:val="30"/>
        </w:rPr>
        <w:t xml:space="preserve">F. Properties Table</w:t>
      </w:r>
    </w:p>
    <w:p>
      <w:pPr>
        <w:spacing w:after="120" w:line="276"/>
      </w:pPr>
      <w:r>
        <w:rPr>
          <w:rFonts w:ascii="Calibri" w:cs="Calibri" w:eastAsia="Calibri" w:hAnsi="Calibri"/>
          <w:color w:val="222222"/>
          <w:sz w:val="21"/>
          <w:szCs w:val="21"/>
        </w:rPr>
        <w:t xml:space="preserve">The real-estate asset layer. Unchanged from the February audit except for the count reconciliation in Section P.</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2600"/>
        <w:gridCol w:w="1000"/>
        <w:gridCol w:w="5760"/>
      </w:tblGrid>
      <w:tr>
        <w:trPr>
          <w:cantSplit/>
          <w:tblHeader/>
        </w:trPr>
        <w:tc>
          <w:tcPr>
            <w:tcW w:type="dxa" w:w="26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Section</w:t>
            </w:r>
          </w:p>
        </w:tc>
        <w:tc>
          <w:tcPr>
            <w:tcW w:type="dxa" w:w="10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Fields</w:t>
            </w:r>
          </w:p>
        </w:tc>
        <w:tc>
          <w:tcPr>
            <w:tcW w:type="dxa" w:w="57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Contents</w:t>
            </w:r>
          </w:p>
        </w:tc>
      </w:tr>
      <w:tr>
        <w:trPr>
          <w:cantSplit/>
          <w:tblHeader w:val="false"/>
        </w:trPr>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Property Identity</w:t>
            </w:r>
          </w:p>
        </w:tc>
        <w:tc>
          <w:tcPr>
            <w:tcW w:type="dxa" w:w="10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9</w:t>
            </w:r>
          </w:p>
        </w:tc>
        <w:tc>
          <w:tcPr>
            <w:tcW w:type="dxa" w:w="57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Address, APN, county, type, Entity/LLC, Documents Folder Link</w:t>
            </w:r>
          </w:p>
        </w:tc>
      </w:tr>
      <w:tr>
        <w:trPr>
          <w:cantSplit/>
          <w:tblHeader w:val="false"/>
        </w:trPr>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Property Details</w:t>
            </w:r>
          </w:p>
        </w:tc>
        <w:tc>
          <w:tcPr>
            <w:tcW w:type="dxa" w:w="10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7</w:t>
            </w:r>
          </w:p>
        </w:tc>
        <w:tc>
          <w:tcPr>
            <w:tcW w:type="dxa" w:w="57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Beds, baths, square feet, lot, year built, condition</w:t>
            </w:r>
          </w:p>
        </w:tc>
      </w:tr>
      <w:tr>
        <w:trPr>
          <w:cantSplit/>
          <w:tblHeader w:val="false"/>
        </w:trPr>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Owner &amp; Skip Trace</w:t>
            </w:r>
          </w:p>
        </w:tc>
        <w:tc>
          <w:tcPr>
            <w:tcW w:type="dxa" w:w="10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6</w:t>
            </w:r>
          </w:p>
        </w:tc>
        <w:tc>
          <w:tcPr>
            <w:tcW w:type="dxa" w:w="57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Owner name, mailing address, phones, emails, trace date (Motivated Seller fields moved to Deal)</w:t>
            </w:r>
          </w:p>
        </w:tc>
      </w:tr>
      <w:tr>
        <w:trPr>
          <w:cantSplit/>
          <w:tblHeader w:val="false"/>
        </w:trPr>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Property Financials</w:t>
            </w:r>
          </w:p>
        </w:tc>
        <w:tc>
          <w:tcPr>
            <w:tcW w:type="dxa" w:w="10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8</w:t>
            </w:r>
          </w:p>
        </w:tc>
        <w:tc>
          <w:tcPr>
            <w:tcW w:type="dxa" w:w="57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Purchase price, rehab budget/spent, monthly income/expense/cash flow, insurance expiration, annual premium, HOA monthly</w:t>
            </w:r>
          </w:p>
        </w:tc>
      </w:tr>
      <w:tr>
        <w:trPr>
          <w:cantSplit/>
          <w:tblHeader w:val="false"/>
        </w:trPr>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Asset Management</w:t>
            </w:r>
          </w:p>
        </w:tc>
        <w:tc>
          <w:tcPr>
            <w:tcW w:type="dxa" w:w="10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15</w:t>
            </w:r>
          </w:p>
        </w:tc>
        <w:tc>
          <w:tcPr>
            <w:tcW w:type="dxa" w:w="57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Asset Status, Status Changed Date, lease start/end, tenant, rehab status, refinance data</w:t>
            </w:r>
          </w:p>
        </w:tc>
      </w:tr>
      <w:tr>
        <w:trPr>
          <w:cantSplit/>
          <w:tblHeader w:val="false"/>
        </w:trPr>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Creative Finance Terms</w:t>
            </w:r>
          </w:p>
        </w:tc>
        <w:tc>
          <w:tcPr>
            <w:tcW w:type="dxa" w:w="10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6</w:t>
            </w:r>
          </w:p>
        </w:tc>
        <w:tc>
          <w:tcPr>
            <w:tcW w:type="dxa" w:w="5760"/>
            <w:shd w:fill="F2F5F9" w:color="auto" w:val="clear"/>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NEW SECTION — existing loan lender, rate, monthly payment, maturity date; note/wrap balloon date, rate</w:t>
            </w:r>
          </w:p>
        </w:tc>
      </w:tr>
      <w:tr>
        <w:trPr>
          <w:cantSplit/>
          <w:tblHeader w:val="false"/>
        </w:trPr>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Rental Operations</w:t>
            </w:r>
          </w:p>
        </w:tc>
        <w:tc>
          <w:tcPr>
            <w:tcW w:type="dxa" w:w="10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3</w:t>
            </w:r>
          </w:p>
        </w:tc>
        <w:tc>
          <w:tcPr>
            <w:tcW w:type="dxa" w:w="57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Furnished?, Security Deposit Held, Listing Platform</w:t>
            </w:r>
          </w:p>
        </w:tc>
      </w:tr>
      <w:tr>
        <w:trPr>
          <w:cantSplit/>
          <w:tblHeader w:val="false"/>
        </w:trPr>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Comps &amp; Links</w:t>
            </w:r>
          </w:p>
        </w:tc>
        <w:tc>
          <w:tcPr>
            <w:tcW w:type="dxa" w:w="10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5</w:t>
            </w:r>
          </w:p>
        </w:tc>
        <w:tc>
          <w:tcPr>
            <w:tcW w:type="dxa" w:w="57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Comp notes, Quantum link, photos, property notes/history</w:t>
            </w:r>
          </w:p>
        </w:tc>
      </w:tr>
      <w:tr>
        <w:trPr>
          <w:cantSplit/>
          <w:tblHeader w:val="false"/>
        </w:trPr>
        <w:tc>
          <w:tcPr>
            <w:tcW w:type="dxa" w:w="2600"/>
            <w:shd w:fill="E7ECF3" w:color="auto" w:val="clear"/>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Total</w:t>
            </w:r>
          </w:p>
        </w:tc>
        <w:tc>
          <w:tcPr>
            <w:tcW w:type="dxa" w:w="1000"/>
            <w:shd w:fill="E7ECF3" w:color="auto" w:val="clear"/>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59</w:t>
            </w:r>
          </w:p>
        </w:tc>
        <w:tc>
          <w:tcPr>
            <w:tcW w:type="dxa" w:w="5760"/>
            <w:shd w:fill="E7ECF3"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
            </w:r>
          </w:p>
        </w:tc>
      </w:tr>
    </w:tbl>
    <w:p>
      <w:pPr>
        <w:spacing w:after="120"/>
      </w:pPr>
    </w:p>
    <w:tbl>
      <w:tblPr>
        <w:tblW w:type="dxa" w:w="9360"/>
        <w:tblBorders>
          <w:top w:val="single" w:color="C8CFD9" w:sz="4"/>
          <w:left w:val="single" w:color="1F3352" w:sz="18"/>
          <w:bottom w:val="single" w:color="C8CFD9" w:sz="4"/>
          <w:right w:val="single" w:color="C8CFD9" w:sz="4"/>
          <w:insideH w:val="none"/>
          <w:insideV w:val="none"/>
        </w:tblBorders>
      </w:tblPr>
      <w:tblGrid>
        <w:gridCol w:w="9360"/>
      </w:tblGrid>
      <w:tr>
        <w:trPr>
          <w:cantSplit/>
        </w:trPr>
        <w:tc>
          <w:tcPr>
            <w:tcW w:type="dxa" w:w="9360"/>
            <w:shd w:fill="FBE9E7" w:color="auto" w:val="clear"/>
            <w:tcMar>
              <w:top w:type="dxa" w:w="140"/>
              <w:left w:type="dxa" w:w="180"/>
              <w:bottom w:type="dxa" w:w="140"/>
              <w:right w:type="dxa" w:w="160"/>
            </w:tcMar>
          </w:tcPr>
          <w:p>
            <w:pPr>
              <w:spacing w:after="80"/>
            </w:pPr>
            <w:r>
              <w:rPr>
                <w:rFonts w:ascii="Calibri" w:cs="Calibri" w:eastAsia="Calibri" w:hAnsi="Calibri"/>
                <w:b/>
                <w:bCs/>
                <w:color w:val="1F3352"/>
                <w:sz w:val="20"/>
                <w:szCs w:val="20"/>
              </w:rPr>
              <w:t xml:space="preserve">Creative finance was the largest gap in the February design and remains the highest-value addition</w:t>
            </w:r>
          </w:p>
          <w:p>
            <w:pPr>
              <w:spacing w:after="60" w:line="264"/>
            </w:pPr>
            <w:r>
              <w:rPr>
                <w:rFonts w:ascii="Calibri" w:cs="Calibri" w:eastAsia="Calibri" w:hAnsi="Calibri"/>
                <w:sz w:val="19"/>
                <w:szCs w:val="19"/>
              </w:rPr>
              <w:t xml:space="preserve">Sub-To, seller finance and wrap deals are note-servicing operations. Tracking only the monthly spread records the outcome but not the instrument.</w:t>
            </w:r>
          </w:p>
          <w:p>
            <w:pPr>
              <w:spacing w:after="60" w:line="264"/>
            </w:pPr>
            <w:r>
              <w:rPr>
                <w:rFonts w:ascii="Calibri" w:cs="Calibri" w:eastAsia="Calibri" w:hAnsi="Calibri"/>
                <w:sz w:val="19"/>
                <w:szCs w:val="19"/>
              </w:rPr>
              <w:t xml:space="preserve">A missed balloon date on a seller-financed note is a default event. Without Note/Wrap Balloon Date and its warning automation (UTron 11), these deals get tracked in a side spreadsheet — which defeats the purpose of consolidating into one CRM.</w:t>
            </w:r>
          </w:p>
        </w:tc>
      </w:tr>
    </w:tbl>
    <w:p>
      <w:pPr>
        <w:spacing w:after="120"/>
      </w:pPr>
    </w:p>
    <w:p>
      <w:pPr>
        <w:pStyle w:val="Heading2"/>
        <w:keepNext/>
        <w:spacing w:after="110" w:before="260"/>
      </w:pPr>
      <w:r>
        <w:rPr>
          <w:rFonts w:ascii="Calibri" w:cs="Calibri" w:eastAsia="Calibri" w:hAnsi="Calibri"/>
          <w:b/>
          <w:bCs/>
          <w:color w:val="1F3352"/>
          <w:sz w:val="24"/>
          <w:szCs w:val="24"/>
        </w:rPr>
        <w:t xml:space="preserve">Acknowledged limits</w:t>
      </w:r>
    </w:p>
    <w:p>
      <w:pPr>
        <w:pStyle w:val="ListParagraph"/>
        <w:numPr>
          <w:ilvl w:val="0"/>
          <w:numId w:val="2"/>
        </w:numPr>
        <w:spacing w:after="70" w:line="276"/>
      </w:pPr>
      <w:r>
        <w:rPr>
          <w:rFonts w:ascii="Calibri" w:cs="Calibri" w:eastAsia="Calibri" w:hAnsi="Calibri"/>
          <w:sz w:val="21"/>
          <w:szCs w:val="21"/>
        </w:rPr>
        <w:t xml:space="preserve">STR operations (calendar, pricing, cleaning, messaging) belong in a dedicated tool such as Hospitable, Guesty or OwnerRez. This CRM tracks the property as a portfolio asset and deliberately does not manage bookings. Consider adding ADR and Occupancy Rate later for portfolio reporting only.</w:t>
      </w:r>
    </w:p>
    <w:p>
      <w:pPr>
        <w:pStyle w:val="ListParagraph"/>
        <w:numPr>
          <w:ilvl w:val="0"/>
          <w:numId w:val="2"/>
        </w:numPr>
        <w:spacing w:after="70" w:line="276"/>
      </w:pPr>
      <w:r>
        <w:rPr>
          <w:rFonts w:ascii="Calibri" w:cs="Calibri" w:eastAsia="Calibri" w:hAnsi="Calibri"/>
          <w:sz w:val="21"/>
          <w:szCs w:val="21"/>
        </w:rPr>
        <w:t xml:space="preserve">Multi-family requires one Property record per unit. Document this convention in the operating playbook; the table cannot track Unit A and Unit B in a single record.</w:t>
      </w:r>
    </w:p>
    <w:p>
      <w:pPr>
        <w:pStyle w:val="ListParagraph"/>
        <w:numPr>
          <w:ilvl w:val="0"/>
          <w:numId w:val="2"/>
        </w:numPr>
        <w:spacing w:after="70" w:line="276"/>
      </w:pPr>
      <w:r>
        <w:rPr>
          <w:rFonts w:ascii="Calibri" w:cs="Calibri" w:eastAsia="Calibri" w:hAnsi="Calibri"/>
          <w:sz w:val="21"/>
          <w:szCs w:val="21"/>
        </w:rPr>
        <w:t xml:space="preserve">Tenant screening is compressed into the Asset Status transition from Owned—Tenant Search to Performing—LTR, with no intermediate visibility. Accepted for v1.</w:t>
      </w:r>
    </w:p>
    <w:p>
      <w:pPr>
        <w:pStyle w:val="Heading1"/>
        <w:keepNext/>
        <w:pBdr>
          <w:bottom w:val="single" w:color="C8CFD9" w:sz="8" w:space="6"/>
        </w:pBdr>
        <w:spacing w:after="160" w:before="360"/>
      </w:pPr>
      <w:r>
        <w:rPr>
          <w:rFonts w:ascii="Calibri" w:cs="Calibri" w:eastAsia="Calibri" w:hAnsi="Calibri"/>
          <w:b/>
          <w:bCs/>
          <w:color w:val="1F3352"/>
          <w:sz w:val="30"/>
          <w:szCs w:val="30"/>
        </w:rPr>
        <w:t xml:space="preserve">G. Vehicles Table (New)</w:t>
      </w:r>
    </w:p>
    <w:p>
      <w:pPr>
        <w:spacing w:after="120" w:line="276"/>
      </w:pPr>
      <w:r>
        <w:rPr>
          <w:rFonts w:ascii="Calibri" w:cs="Calibri" w:eastAsia="Calibri" w:hAnsi="Calibri"/>
          <w:color w:val="222222"/>
          <w:sz w:val="21"/>
          <w:szCs w:val="21"/>
        </w:rPr>
        <w:t xml:space="preserve">The auto asset layer, and the piece the February design never specified. A Turo-held vehicle is a performing asset in exactly the sense a rented property is: it generates monthly income, carries compliance deadlines, and must not sit in the acquisition pipeline.</w:t>
      </w:r>
    </w:p>
    <w:p>
      <w:pPr>
        <w:spacing w:after="120" w:line="276"/>
      </w:pPr>
      <w:r>
        <w:rPr>
          <w:rFonts w:ascii="Calibri" w:cs="Calibri" w:eastAsia="Calibri" w:hAnsi="Calibri"/>
          <w:color w:val="222222"/>
          <w:sz w:val="21"/>
          <w:szCs w:val="21"/>
        </w:rPr>
        <w:t xml:space="preserve">Field sources are noted so each can be traced to CarHawk's Master DB or to this specification.</w:t>
      </w:r>
    </w:p>
    <w:p>
      <w:pPr>
        <w:pStyle w:val="Heading2"/>
        <w:keepNext/>
        <w:spacing w:after="110" w:before="260"/>
      </w:pPr>
      <w:r>
        <w:rPr>
          <w:rFonts w:ascii="Calibri" w:cs="Calibri" w:eastAsia="Calibri" w:hAnsi="Calibri"/>
          <w:b/>
          <w:bCs/>
          <w:color w:val="1F3352"/>
          <w:sz w:val="24"/>
          <w:szCs w:val="24"/>
        </w:rPr>
        <w:t xml:space="preserve">Vehicle Identity — 8 fields</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500"/>
        <w:gridCol w:w="2400"/>
        <w:gridCol w:w="2600"/>
        <w:gridCol w:w="3860"/>
      </w:tblGrid>
      <w:tr>
        <w:trPr>
          <w:cantSplit/>
          <w:tblHeader/>
        </w:trPr>
        <w:tc>
          <w:tcPr>
            <w:tcW w:type="dxa" w:w="5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w:t>
            </w:r>
          </w:p>
        </w:tc>
        <w:tc>
          <w:tcPr>
            <w:tcW w:type="dxa" w:w="24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Field</w:t>
            </w:r>
          </w:p>
        </w:tc>
        <w:tc>
          <w:tcPr>
            <w:tcW w:type="dxa" w:w="26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Type</w:t>
            </w:r>
          </w:p>
        </w:tc>
        <w:tc>
          <w:tcPr>
            <w:tcW w:type="dxa" w:w="38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Source / purpose</w:t>
            </w:r>
          </w:p>
        </w:tc>
      </w:tr>
      <w:tr>
        <w:trPr>
          <w:cantSplit/>
          <w:tblHeader w:val="false"/>
        </w:trPr>
        <w:tc>
          <w:tcPr>
            <w:tcW w:type="dxa" w:w="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w:t>
            </w:r>
          </w:p>
        </w:tc>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VIN</w:t>
            </w:r>
          </w:p>
        </w:tc>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Single line text</w:t>
            </w:r>
          </w:p>
        </w:tc>
        <w:tc>
          <w:tcPr>
            <w:tcW w:type="dxa" w:w="3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Primary natural key. Enforce uniqueness — this is the vehicle equivalent of a normalized address.</w:t>
            </w:r>
          </w:p>
        </w:tc>
      </w:tr>
      <w:tr>
        <w:trPr>
          <w:cantSplit/>
          <w:tblHeader w:val="false"/>
        </w:trPr>
        <w:tc>
          <w:tcPr>
            <w:tcW w:type="dxa" w:w="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2</w:t>
            </w:r>
          </w:p>
        </w:tc>
        <w:tc>
          <w:tcPr>
            <w:tcW w:type="dxa" w:w="2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Year</w:t>
            </w:r>
          </w:p>
        </w:tc>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Number</w:t>
            </w:r>
          </w:p>
        </w:tc>
        <w:tc>
          <w:tcPr>
            <w:tcW w:type="dxa" w:w="3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CarHawk Master DB</w:t>
            </w:r>
          </w:p>
        </w:tc>
      </w:tr>
      <w:tr>
        <w:trPr>
          <w:cantSplit/>
          <w:tblHeader w:val="false"/>
        </w:trPr>
        <w:tc>
          <w:tcPr>
            <w:tcW w:type="dxa" w:w="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3</w:t>
            </w:r>
          </w:p>
        </w:tc>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Make</w:t>
            </w:r>
          </w:p>
        </w:tc>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Single line text</w:t>
            </w:r>
          </w:p>
        </w:tc>
        <w:tc>
          <w:tcPr>
            <w:tcW w:type="dxa" w:w="3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CarHawk Master DB</w:t>
            </w:r>
          </w:p>
        </w:tc>
      </w:tr>
      <w:tr>
        <w:trPr>
          <w:cantSplit/>
          <w:tblHeader w:val="false"/>
        </w:trPr>
        <w:tc>
          <w:tcPr>
            <w:tcW w:type="dxa" w:w="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4</w:t>
            </w:r>
          </w:p>
        </w:tc>
        <w:tc>
          <w:tcPr>
            <w:tcW w:type="dxa" w:w="2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Model</w:t>
            </w:r>
          </w:p>
        </w:tc>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Single line text</w:t>
            </w:r>
          </w:p>
        </w:tc>
        <w:tc>
          <w:tcPr>
            <w:tcW w:type="dxa" w:w="3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CarHawk Master DB</w:t>
            </w:r>
          </w:p>
        </w:tc>
      </w:tr>
      <w:tr>
        <w:trPr>
          <w:cantSplit/>
          <w:tblHeader w:val="false"/>
        </w:trPr>
        <w:tc>
          <w:tcPr>
            <w:tcW w:type="dxa" w:w="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5</w:t>
            </w:r>
          </w:p>
        </w:tc>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Trim</w:t>
            </w:r>
          </w:p>
        </w:tc>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Single line text</w:t>
            </w:r>
          </w:p>
        </w:tc>
        <w:tc>
          <w:tcPr>
            <w:tcW w:type="dxa" w:w="3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CarHawk Master DB</w:t>
            </w:r>
          </w:p>
        </w:tc>
      </w:tr>
      <w:tr>
        <w:trPr>
          <w:cantSplit/>
          <w:tblHeader w:val="false"/>
        </w:trPr>
        <w:tc>
          <w:tcPr>
            <w:tcW w:type="dxa" w:w="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6</w:t>
            </w:r>
          </w:p>
        </w:tc>
        <w:tc>
          <w:tcPr>
            <w:tcW w:type="dxa" w:w="2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Entity / LLC</w:t>
            </w:r>
          </w:p>
        </w:tc>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Single line text</w:t>
            </w:r>
          </w:p>
        </w:tc>
        <w:tc>
          <w:tcPr>
            <w:tcW w:type="dxa" w:w="3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Which legal entity holds title. Mirrors Properties.</w:t>
            </w:r>
          </w:p>
        </w:tc>
      </w:tr>
      <w:tr>
        <w:trPr>
          <w:cantSplit/>
          <w:tblHeader w:val="false"/>
        </w:trPr>
        <w:tc>
          <w:tcPr>
            <w:tcW w:type="dxa" w:w="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7</w:t>
            </w:r>
          </w:p>
        </w:tc>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Documents Folder Link</w:t>
            </w:r>
          </w:p>
        </w:tc>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URL</w:t>
            </w:r>
          </w:p>
        </w:tc>
        <w:tc>
          <w:tcPr>
            <w:tcW w:type="dxa" w:w="3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Title, bill of sale, insurance policy, inspection records.</w:t>
            </w:r>
          </w:p>
        </w:tc>
      </w:tr>
      <w:tr>
        <w:trPr>
          <w:cantSplit/>
          <w:tblHeader w:val="false"/>
        </w:trPr>
        <w:tc>
          <w:tcPr>
            <w:tcW w:type="dxa" w:w="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8</w:t>
            </w:r>
          </w:p>
        </w:tc>
        <w:tc>
          <w:tcPr>
            <w:tcW w:type="dxa" w:w="2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Fleet ID</w:t>
            </w:r>
          </w:p>
        </w:tc>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Single line text</w:t>
            </w:r>
          </w:p>
        </w:tc>
        <w:tc>
          <w:tcPr>
            <w:tcW w:type="dxa" w:w="3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CarHawk Master DB — Turo fleet identifier.</w:t>
            </w:r>
          </w:p>
        </w:tc>
      </w:tr>
    </w:tbl>
    <w:p>
      <w:pPr>
        <w:spacing w:after="120"/>
      </w:pPr>
    </w:p>
    <w:p>
      <w:pPr>
        <w:pStyle w:val="Heading2"/>
        <w:keepNext/>
        <w:spacing w:after="110" w:before="260"/>
      </w:pPr>
      <w:r>
        <w:rPr>
          <w:rFonts w:ascii="Calibri" w:cs="Calibri" w:eastAsia="Calibri" w:hAnsi="Calibri"/>
          <w:b/>
          <w:bCs/>
          <w:color w:val="1F3352"/>
          <w:sz w:val="24"/>
          <w:szCs w:val="24"/>
        </w:rPr>
        <w:t xml:space="preserve">Vehicle Condition — 5 fields</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500"/>
        <w:gridCol w:w="2400"/>
        <w:gridCol w:w="2600"/>
        <w:gridCol w:w="3860"/>
      </w:tblGrid>
      <w:tr>
        <w:trPr>
          <w:cantSplit/>
          <w:tblHeader/>
        </w:trPr>
        <w:tc>
          <w:tcPr>
            <w:tcW w:type="dxa" w:w="5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w:t>
            </w:r>
          </w:p>
        </w:tc>
        <w:tc>
          <w:tcPr>
            <w:tcW w:type="dxa" w:w="24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Field</w:t>
            </w:r>
          </w:p>
        </w:tc>
        <w:tc>
          <w:tcPr>
            <w:tcW w:type="dxa" w:w="26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Type</w:t>
            </w:r>
          </w:p>
        </w:tc>
        <w:tc>
          <w:tcPr>
            <w:tcW w:type="dxa" w:w="38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Source / purpose</w:t>
            </w:r>
          </w:p>
        </w:tc>
      </w:tr>
      <w:tr>
        <w:trPr>
          <w:cantSplit/>
          <w:tblHeader w:val="false"/>
        </w:trPr>
        <w:tc>
          <w:tcPr>
            <w:tcW w:type="dxa" w:w="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9</w:t>
            </w:r>
          </w:p>
        </w:tc>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Mileage at Acquisition</w:t>
            </w:r>
          </w:p>
        </w:tc>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Number</w:t>
            </w:r>
          </w:p>
        </w:tc>
        <w:tc>
          <w:tcPr>
            <w:tcW w:type="dxa" w:w="3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CarHawk Master DB</w:t>
            </w:r>
          </w:p>
        </w:tc>
      </w:tr>
      <w:tr>
        <w:trPr>
          <w:cantSplit/>
          <w:tblHeader w:val="false"/>
        </w:trPr>
        <w:tc>
          <w:tcPr>
            <w:tcW w:type="dxa" w:w="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10</w:t>
            </w:r>
          </w:p>
        </w:tc>
        <w:tc>
          <w:tcPr>
            <w:tcW w:type="dxa" w:w="2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Current Mileage</w:t>
            </w:r>
          </w:p>
        </w:tc>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Number</w:t>
            </w:r>
          </w:p>
        </w:tc>
        <w:tc>
          <w:tcPr>
            <w:tcW w:type="dxa" w:w="3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Updated at service intervals. Drives depreciation and Turo eligibility.</w:t>
            </w:r>
          </w:p>
        </w:tc>
      </w:tr>
      <w:tr>
        <w:trPr>
          <w:cantSplit/>
          <w:tblHeader w:val="false"/>
        </w:trPr>
        <w:tc>
          <w:tcPr>
            <w:tcW w:type="dxa" w:w="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11</w:t>
            </w:r>
          </w:p>
        </w:tc>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Title Status</w:t>
            </w:r>
          </w:p>
        </w:tc>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Picklist: Clean, Salvage, Rebuilt, Lien, Pending</w:t>
            </w:r>
          </w:p>
        </w:tc>
        <w:tc>
          <w:tcPr>
            <w:tcW w:type="dxa" w:w="3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CarHawk Master DB. Salvage and rebuilt titles are Turo-ineligible on most programs.</w:t>
            </w:r>
          </w:p>
        </w:tc>
      </w:tr>
      <w:tr>
        <w:trPr>
          <w:cantSplit/>
          <w:tblHeader w:val="false"/>
        </w:trPr>
        <w:tc>
          <w:tcPr>
            <w:tcW w:type="dxa" w:w="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12</w:t>
            </w:r>
          </w:p>
        </w:tc>
        <w:tc>
          <w:tcPr>
            <w:tcW w:type="dxa" w:w="2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Condition Grade</w:t>
            </w:r>
          </w:p>
        </w:tc>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Picklist: Excellent, Good, Fair, Poor</w:t>
            </w:r>
          </w:p>
        </w:tc>
        <w:tc>
          <w:tcPr>
            <w:tcW w:type="dxa" w:w="3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Reconditioning scope.</w:t>
            </w:r>
          </w:p>
        </w:tc>
      </w:tr>
      <w:tr>
        <w:trPr>
          <w:cantSplit/>
          <w:tblHeader w:val="false"/>
        </w:trPr>
        <w:tc>
          <w:tcPr>
            <w:tcW w:type="dxa" w:w="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13</w:t>
            </w:r>
          </w:p>
        </w:tc>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Reconditioning Spent</w:t>
            </w:r>
          </w:p>
        </w:tc>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Currency</w:t>
            </w:r>
          </w:p>
        </w:tc>
        <w:tc>
          <w:tcPr>
            <w:tcW w:type="dxa" w:w="3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Auto analogue of Rehab Spent.</w:t>
            </w:r>
          </w:p>
        </w:tc>
      </w:tr>
    </w:tbl>
    <w:p>
      <w:pPr>
        <w:spacing w:after="120"/>
      </w:pPr>
    </w:p>
    <w:p>
      <w:pPr>
        <w:pStyle w:val="Heading2"/>
        <w:keepNext/>
        <w:spacing w:after="110" w:before="260"/>
      </w:pPr>
      <w:r>
        <w:rPr>
          <w:rFonts w:ascii="Calibri" w:cs="Calibri" w:eastAsia="Calibri" w:hAnsi="Calibri"/>
          <w:b/>
          <w:bCs/>
          <w:color w:val="1F3352"/>
          <w:sz w:val="24"/>
          <w:szCs w:val="24"/>
        </w:rPr>
        <w:t xml:space="preserve">Vehicle Financials — 7 fields</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500"/>
        <w:gridCol w:w="2400"/>
        <w:gridCol w:w="2600"/>
        <w:gridCol w:w="3860"/>
      </w:tblGrid>
      <w:tr>
        <w:trPr>
          <w:cantSplit/>
          <w:tblHeader/>
        </w:trPr>
        <w:tc>
          <w:tcPr>
            <w:tcW w:type="dxa" w:w="5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w:t>
            </w:r>
          </w:p>
        </w:tc>
        <w:tc>
          <w:tcPr>
            <w:tcW w:type="dxa" w:w="24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Field</w:t>
            </w:r>
          </w:p>
        </w:tc>
        <w:tc>
          <w:tcPr>
            <w:tcW w:type="dxa" w:w="26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Type</w:t>
            </w:r>
          </w:p>
        </w:tc>
        <w:tc>
          <w:tcPr>
            <w:tcW w:type="dxa" w:w="38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Source / purpose</w:t>
            </w:r>
          </w:p>
        </w:tc>
      </w:tr>
      <w:tr>
        <w:trPr>
          <w:cantSplit/>
          <w:tblHeader w:val="false"/>
        </w:trPr>
        <w:tc>
          <w:tcPr>
            <w:tcW w:type="dxa" w:w="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14</w:t>
            </w:r>
          </w:p>
        </w:tc>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Purchase Price</w:t>
            </w:r>
          </w:p>
        </w:tc>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Currency</w:t>
            </w:r>
          </w:p>
        </w:tc>
        <w:tc>
          <w:tcPr>
            <w:tcW w:type="dxa" w:w="3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CarHawk Master DB</w:t>
            </w:r>
          </w:p>
        </w:tc>
      </w:tr>
      <w:tr>
        <w:trPr>
          <w:cantSplit/>
          <w:tblHeader w:val="false"/>
        </w:trPr>
        <w:tc>
          <w:tcPr>
            <w:tcW w:type="dxa" w:w="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15</w:t>
            </w:r>
          </w:p>
        </w:tc>
        <w:tc>
          <w:tcPr>
            <w:tcW w:type="dxa" w:w="2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Market Value</w:t>
            </w:r>
          </w:p>
        </w:tc>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Currency</w:t>
            </w:r>
          </w:p>
        </w:tc>
        <w:tc>
          <w:tcPr>
            <w:tcW w:type="dxa" w:w="3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CarHawk Master DB — retail comp</w:t>
            </w:r>
          </w:p>
        </w:tc>
      </w:tr>
      <w:tr>
        <w:trPr>
          <w:cantSplit/>
          <w:tblHeader w:val="false"/>
        </w:trPr>
        <w:tc>
          <w:tcPr>
            <w:tcW w:type="dxa" w:w="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16</w:t>
            </w:r>
          </w:p>
        </w:tc>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Monthly Revenue</w:t>
            </w:r>
          </w:p>
        </w:tc>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Currency</w:t>
            </w:r>
          </w:p>
        </w:tc>
        <w:tc>
          <w:tcPr>
            <w:tcW w:type="dxa" w:w="3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Turo gross earnings</w:t>
            </w:r>
          </w:p>
        </w:tc>
      </w:tr>
      <w:tr>
        <w:trPr>
          <w:cantSplit/>
          <w:tblHeader w:val="false"/>
        </w:trPr>
        <w:tc>
          <w:tcPr>
            <w:tcW w:type="dxa" w:w="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17</w:t>
            </w:r>
          </w:p>
        </w:tc>
        <w:tc>
          <w:tcPr>
            <w:tcW w:type="dxa" w:w="2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Monthly Expenses</w:t>
            </w:r>
          </w:p>
        </w:tc>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Currency</w:t>
            </w:r>
          </w:p>
        </w:tc>
        <w:tc>
          <w:tcPr>
            <w:tcW w:type="dxa" w:w="3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Insurance, maintenance, cleaning, platform fees</w:t>
            </w:r>
          </w:p>
        </w:tc>
      </w:tr>
      <w:tr>
        <w:trPr>
          <w:cantSplit/>
          <w:tblHeader w:val="false"/>
        </w:trPr>
        <w:tc>
          <w:tcPr>
            <w:tcW w:type="dxa" w:w="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18</w:t>
            </w:r>
          </w:p>
        </w:tc>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Turo Monthly Net</w:t>
            </w:r>
          </w:p>
        </w:tc>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Currency</w:t>
            </w:r>
          </w:p>
        </w:tc>
        <w:tc>
          <w:tcPr>
            <w:tcW w:type="dxa" w:w="3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CarHawk Master DB — Turo Monthly Net</w:t>
            </w:r>
          </w:p>
        </w:tc>
      </w:tr>
      <w:tr>
        <w:trPr>
          <w:cantSplit/>
          <w:tblHeader w:val="false"/>
        </w:trPr>
        <w:tc>
          <w:tcPr>
            <w:tcW w:type="dxa" w:w="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19</w:t>
            </w:r>
          </w:p>
        </w:tc>
        <w:tc>
          <w:tcPr>
            <w:tcW w:type="dxa" w:w="2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Turo Payback Months</w:t>
            </w:r>
          </w:p>
        </w:tc>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Number</w:t>
            </w:r>
          </w:p>
        </w:tc>
        <w:tc>
          <w:tcPr>
            <w:tcW w:type="dxa" w:w="3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CarHawk Master DB — months to recover acquisition cost</w:t>
            </w:r>
          </w:p>
        </w:tc>
      </w:tr>
      <w:tr>
        <w:trPr>
          <w:cantSplit/>
          <w:tblHeader w:val="false"/>
        </w:trPr>
        <w:tc>
          <w:tcPr>
            <w:tcW w:type="dxa" w:w="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20</w:t>
            </w:r>
          </w:p>
        </w:tc>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Annual Insurance Premium</w:t>
            </w:r>
          </w:p>
        </w:tc>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Currency</w:t>
            </w:r>
          </w:p>
        </w:tc>
        <w:tc>
          <w:tcPr>
            <w:tcW w:type="dxa" w:w="3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Expense tracking and cash-flow accuracy</w:t>
            </w:r>
          </w:p>
        </w:tc>
      </w:tr>
    </w:tbl>
    <w:p>
      <w:pPr>
        <w:spacing w:after="120"/>
      </w:pPr>
    </w:p>
    <w:p>
      <w:pPr>
        <w:pStyle w:val="Heading2"/>
        <w:keepNext/>
        <w:spacing w:after="110" w:before="260"/>
      </w:pPr>
      <w:r>
        <w:rPr>
          <w:rFonts w:ascii="Calibri" w:cs="Calibri" w:eastAsia="Calibri" w:hAnsi="Calibri"/>
          <w:b/>
          <w:bCs/>
          <w:color w:val="1F3352"/>
          <w:sz w:val="24"/>
          <w:szCs w:val="24"/>
        </w:rPr>
        <w:t xml:space="preserve">Asset Management — 7 fields</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500"/>
        <w:gridCol w:w="2400"/>
        <w:gridCol w:w="2600"/>
        <w:gridCol w:w="3860"/>
      </w:tblGrid>
      <w:tr>
        <w:trPr>
          <w:cantSplit/>
          <w:tblHeader/>
        </w:trPr>
        <w:tc>
          <w:tcPr>
            <w:tcW w:type="dxa" w:w="5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w:t>
            </w:r>
          </w:p>
        </w:tc>
        <w:tc>
          <w:tcPr>
            <w:tcW w:type="dxa" w:w="24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Field</w:t>
            </w:r>
          </w:p>
        </w:tc>
        <w:tc>
          <w:tcPr>
            <w:tcW w:type="dxa" w:w="26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Type</w:t>
            </w:r>
          </w:p>
        </w:tc>
        <w:tc>
          <w:tcPr>
            <w:tcW w:type="dxa" w:w="38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Source / purpose</w:t>
            </w:r>
          </w:p>
        </w:tc>
      </w:tr>
      <w:tr>
        <w:trPr>
          <w:cantSplit/>
          <w:tblHeader w:val="false"/>
        </w:trPr>
        <w:tc>
          <w:tcPr>
            <w:tcW w:type="dxa" w:w="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21</w:t>
            </w:r>
          </w:p>
        </w:tc>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Asset Status</w:t>
            </w:r>
          </w:p>
        </w:tc>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Picklist: In Reconditioning, Listed for Sale, Performing — Turo, Idle, Sold, Written Off</w:t>
            </w:r>
          </w:p>
        </w:tc>
        <w:tc>
          <w:tcPr>
            <w:tcW w:type="dxa" w:w="3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The auto analogue of Property Asset Status. Set by the hand-off automation.</w:t>
            </w:r>
          </w:p>
        </w:tc>
      </w:tr>
      <w:tr>
        <w:trPr>
          <w:cantSplit/>
          <w:tblHeader w:val="false"/>
        </w:trPr>
        <w:tc>
          <w:tcPr>
            <w:tcW w:type="dxa" w:w="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22</w:t>
            </w:r>
          </w:p>
        </w:tc>
        <w:tc>
          <w:tcPr>
            <w:tcW w:type="dxa" w:w="2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Status Changed Date</w:t>
            </w:r>
          </w:p>
        </w:tc>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Date</w:t>
            </w:r>
          </w:p>
        </w:tc>
        <w:tc>
          <w:tcPr>
            <w:tcW w:type="dxa" w:w="3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Enables time-in-phase reporting. Mirrors Properties.</w:t>
            </w:r>
          </w:p>
        </w:tc>
      </w:tr>
      <w:tr>
        <w:trPr>
          <w:cantSplit/>
          <w:tblHeader w:val="false"/>
        </w:trPr>
        <w:tc>
          <w:tcPr>
            <w:tcW w:type="dxa" w:w="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23</w:t>
            </w:r>
          </w:p>
        </w:tc>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Turo Status</w:t>
            </w:r>
          </w:p>
        </w:tc>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Single line text</w:t>
            </w:r>
          </w:p>
        </w:tc>
        <w:tc>
          <w:tcPr>
            <w:tcW w:type="dxa" w:w="3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CarHawk Master DB — Turo Status</w:t>
            </w:r>
          </w:p>
        </w:tc>
      </w:tr>
      <w:tr>
        <w:trPr>
          <w:cantSplit/>
          <w:tblHeader w:val="false"/>
        </w:trPr>
        <w:tc>
          <w:tcPr>
            <w:tcW w:type="dxa" w:w="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24</w:t>
            </w:r>
          </w:p>
        </w:tc>
        <w:tc>
          <w:tcPr>
            <w:tcW w:type="dxa" w:w="2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Turo Hold Score</w:t>
            </w:r>
          </w:p>
        </w:tc>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Number</w:t>
            </w:r>
          </w:p>
        </w:tc>
        <w:tc>
          <w:tcPr>
            <w:tcW w:type="dxa" w:w="3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CarHawk Master DB — hold-versus-flip score</w:t>
            </w:r>
          </w:p>
        </w:tc>
      </w:tr>
      <w:tr>
        <w:trPr>
          <w:cantSplit/>
          <w:tblHeader w:val="false"/>
        </w:trPr>
        <w:tc>
          <w:tcPr>
            <w:tcW w:type="dxa" w:w="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25</w:t>
            </w:r>
          </w:p>
        </w:tc>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Turo Risk Tier</w:t>
            </w:r>
          </w:p>
        </w:tc>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Picklist</w:t>
            </w:r>
          </w:p>
        </w:tc>
        <w:tc>
          <w:tcPr>
            <w:tcW w:type="dxa" w:w="3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CarHawk Master DB — Turo Risk Tier</w:t>
            </w:r>
          </w:p>
        </w:tc>
      </w:tr>
      <w:tr>
        <w:trPr>
          <w:cantSplit/>
          <w:tblHeader w:val="false"/>
        </w:trPr>
        <w:tc>
          <w:tcPr>
            <w:tcW w:type="dxa" w:w="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26</w:t>
            </w:r>
          </w:p>
        </w:tc>
        <w:tc>
          <w:tcPr>
            <w:tcW w:type="dxa" w:w="2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Acquired Date</w:t>
            </w:r>
          </w:p>
        </w:tc>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Date</w:t>
            </w:r>
          </w:p>
        </w:tc>
        <w:tc>
          <w:tcPr>
            <w:tcW w:type="dxa" w:w="3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Drives aging-inventory reporting</w:t>
            </w:r>
          </w:p>
        </w:tc>
      </w:tr>
      <w:tr>
        <w:trPr>
          <w:cantSplit/>
          <w:tblHeader w:val="false"/>
        </w:trPr>
        <w:tc>
          <w:tcPr>
            <w:tcW w:type="dxa" w:w="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27</w:t>
            </w:r>
          </w:p>
        </w:tc>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Days Held</w:t>
            </w:r>
          </w:p>
        </w:tc>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Number or calculated</w:t>
            </w:r>
          </w:p>
        </w:tc>
        <w:tc>
          <w:tcPr>
            <w:tcW w:type="dxa" w:w="3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Auto analogue of days on market for owned inventory</w:t>
            </w:r>
          </w:p>
        </w:tc>
      </w:tr>
    </w:tbl>
    <w:p>
      <w:pPr>
        <w:spacing w:after="120"/>
      </w:pPr>
    </w:p>
    <w:p>
      <w:pPr>
        <w:pStyle w:val="Heading2"/>
        <w:keepNext/>
        <w:spacing w:after="110" w:before="260"/>
      </w:pPr>
      <w:r>
        <w:rPr>
          <w:rFonts w:ascii="Calibri" w:cs="Calibri" w:eastAsia="Calibri" w:hAnsi="Calibri"/>
          <w:b/>
          <w:bCs/>
          <w:color w:val="1F3352"/>
          <w:sz w:val="24"/>
          <w:szCs w:val="24"/>
        </w:rPr>
        <w:t xml:space="preserve">Compliance — 4 fields</w:t>
      </w:r>
    </w:p>
    <w:p>
      <w:pPr>
        <w:spacing w:after="120" w:line="276"/>
      </w:pPr>
      <w:r>
        <w:rPr>
          <w:rFonts w:ascii="Calibri" w:cs="Calibri" w:eastAsia="Calibri" w:hAnsi="Calibri"/>
          <w:i/>
          <w:iCs/>
          <w:color w:val="4A5568"/>
          <w:sz w:val="21"/>
          <w:szCs w:val="21"/>
        </w:rPr>
        <w:t xml:space="preserve">CarHawk already runs checkComplianceAlerts() over expiring registrations, insurance and inspections. These fields give that scan a home in the CRM.</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500"/>
        <w:gridCol w:w="2400"/>
        <w:gridCol w:w="2600"/>
        <w:gridCol w:w="3860"/>
      </w:tblGrid>
      <w:tr>
        <w:trPr>
          <w:cantSplit/>
          <w:tblHeader/>
        </w:trPr>
        <w:tc>
          <w:tcPr>
            <w:tcW w:type="dxa" w:w="5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w:t>
            </w:r>
          </w:p>
        </w:tc>
        <w:tc>
          <w:tcPr>
            <w:tcW w:type="dxa" w:w="24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Field</w:t>
            </w:r>
          </w:p>
        </w:tc>
        <w:tc>
          <w:tcPr>
            <w:tcW w:type="dxa" w:w="26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Type</w:t>
            </w:r>
          </w:p>
        </w:tc>
        <w:tc>
          <w:tcPr>
            <w:tcW w:type="dxa" w:w="38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Source / purpose</w:t>
            </w:r>
          </w:p>
        </w:tc>
      </w:tr>
      <w:tr>
        <w:trPr>
          <w:cantSplit/>
          <w:tblHeader w:val="false"/>
        </w:trPr>
        <w:tc>
          <w:tcPr>
            <w:tcW w:type="dxa" w:w="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28</w:t>
            </w:r>
          </w:p>
        </w:tc>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Registration Expiration</w:t>
            </w:r>
          </w:p>
        </w:tc>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Date</w:t>
            </w:r>
          </w:p>
        </w:tc>
        <w:tc>
          <w:tcPr>
            <w:tcW w:type="dxa" w:w="3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Compliance. Drives UTron 14.</w:t>
            </w:r>
          </w:p>
        </w:tc>
      </w:tr>
      <w:tr>
        <w:trPr>
          <w:cantSplit/>
          <w:tblHeader w:val="false"/>
        </w:trPr>
        <w:tc>
          <w:tcPr>
            <w:tcW w:type="dxa" w:w="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29</w:t>
            </w:r>
          </w:p>
        </w:tc>
        <w:tc>
          <w:tcPr>
            <w:tcW w:type="dxa" w:w="2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Insurance Expiration</w:t>
            </w:r>
          </w:p>
        </w:tc>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Date</w:t>
            </w:r>
          </w:p>
        </w:tc>
        <w:tc>
          <w:tcPr>
            <w:tcW w:type="dxa" w:w="3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Compliance. Drives UTron 14. Mirrors Properties.</w:t>
            </w:r>
          </w:p>
        </w:tc>
      </w:tr>
      <w:tr>
        <w:trPr>
          <w:cantSplit/>
          <w:tblHeader w:val="false"/>
        </w:trPr>
        <w:tc>
          <w:tcPr>
            <w:tcW w:type="dxa" w:w="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30</w:t>
            </w:r>
          </w:p>
        </w:tc>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Next Inspection Due</w:t>
            </w:r>
          </w:p>
        </w:tc>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Date</w:t>
            </w:r>
          </w:p>
        </w:tc>
        <w:tc>
          <w:tcPr>
            <w:tcW w:type="dxa" w:w="3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Compliance. Drives UTron 14.</w:t>
            </w:r>
          </w:p>
        </w:tc>
      </w:tr>
      <w:tr>
        <w:trPr>
          <w:cantSplit/>
          <w:tblHeader w:val="false"/>
        </w:trPr>
        <w:tc>
          <w:tcPr>
            <w:tcW w:type="dxa" w:w="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31</w:t>
            </w:r>
          </w:p>
        </w:tc>
        <w:tc>
          <w:tcPr>
            <w:tcW w:type="dxa" w:w="2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Commercial Use Authorized?</w:t>
            </w:r>
          </w:p>
        </w:tc>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Picklist: Yes, No, Pending</w:t>
            </w:r>
          </w:p>
        </w:tc>
        <w:tc>
          <w:tcPr>
            <w:tcW w:type="dxa" w:w="3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Turo requires the policy to permit commercial use. A vehicle earning on a personal policy is an uncovered claim waiting to happen.</w:t>
            </w:r>
          </w:p>
        </w:tc>
      </w:tr>
    </w:tbl>
    <w:p>
      <w:pPr>
        <w:spacing w:after="120"/>
      </w:pP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2600"/>
        <w:gridCol w:w="6760"/>
      </w:tblGrid>
      <w:tr>
        <w:trPr>
          <w:cantSplit/>
          <w:tblHeader/>
        </w:trPr>
        <w:tc>
          <w:tcPr>
            <w:tcW w:type="dxa" w:w="26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Vehicles table total</w:t>
            </w:r>
          </w:p>
        </w:tc>
        <w:tc>
          <w:tcPr>
            <w:tcW w:type="dxa" w:w="67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31 fields across 5 sections</w:t>
            </w:r>
          </w:p>
        </w:tc>
      </w:tr>
    </w:tbl>
    <w:p>
      <w:pPr>
        <w:pStyle w:val="Heading1"/>
        <w:keepNext/>
        <w:pBdr>
          <w:bottom w:val="single" w:color="C8CFD9" w:sz="8" w:space="6"/>
        </w:pBdr>
        <w:spacing w:after="160" w:before="360"/>
      </w:pPr>
      <w:r>
        <w:rPr>
          <w:rFonts w:ascii="Calibri" w:cs="Calibri" w:eastAsia="Calibri" w:hAnsi="Calibri"/>
          <w:b/>
          <w:bCs/>
          <w:color w:val="1F3352"/>
          <w:sz w:val="30"/>
          <w:szCs w:val="30"/>
        </w:rPr>
        <w:t xml:space="preserve">H. Buyers Table</w:t>
      </w:r>
    </w:p>
    <w:p>
      <w:pPr>
        <w:spacing w:after="120" w:line="276"/>
      </w:pPr>
      <w:r>
        <w:rPr>
          <w:rFonts w:ascii="Calibri" w:cs="Calibri" w:eastAsia="Calibri" w:hAnsi="Calibri"/>
          <w:color w:val="222222"/>
          <w:sz w:val="21"/>
          <w:szCs w:val="21"/>
        </w:rPr>
        <w:t xml:space="preserve">Shared across verticals. A wholesale RE buyer and an auto retail buyer differ in what they want, not in how you track them.</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500"/>
        <w:gridCol w:w="2400"/>
        <w:gridCol w:w="2600"/>
        <w:gridCol w:w="3860"/>
      </w:tblGrid>
      <w:tr>
        <w:trPr>
          <w:cantSplit/>
          <w:tblHeader/>
        </w:trPr>
        <w:tc>
          <w:tcPr>
            <w:tcW w:type="dxa" w:w="5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w:t>
            </w:r>
          </w:p>
        </w:tc>
        <w:tc>
          <w:tcPr>
            <w:tcW w:type="dxa" w:w="24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Field</w:t>
            </w:r>
          </w:p>
        </w:tc>
        <w:tc>
          <w:tcPr>
            <w:tcW w:type="dxa" w:w="26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Type</w:t>
            </w:r>
          </w:p>
        </w:tc>
        <w:tc>
          <w:tcPr>
            <w:tcW w:type="dxa" w:w="38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Purpose</w:t>
            </w:r>
          </w:p>
        </w:tc>
      </w:tr>
      <w:tr>
        <w:trPr>
          <w:cantSplit/>
          <w:tblHeader w:val="false"/>
        </w:trPr>
        <w:tc>
          <w:tcPr>
            <w:tcW w:type="dxa" w:w="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w:t>
            </w:r>
          </w:p>
        </w:tc>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Carried forward</w:t>
            </w:r>
          </w:p>
        </w:tc>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15 fields</w:t>
            </w:r>
          </w:p>
        </w:tc>
        <w:tc>
          <w:tcPr>
            <w:tcW w:type="dxa" w:w="3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Name, company, contact details, buy box, cash/financed, markets, notes — unchanged from the February v2 spec.</w:t>
            </w:r>
          </w:p>
        </w:tc>
      </w:tr>
      <w:tr>
        <w:trPr>
          <w:cantSplit/>
          <w:tblHeader w:val="false"/>
        </w:trPr>
        <w:tc>
          <w:tcPr>
            <w:tcW w:type="dxa" w:w="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16</w:t>
            </w:r>
          </w:p>
        </w:tc>
        <w:tc>
          <w:tcPr>
            <w:tcW w:type="dxa" w:w="2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Deals Committed</w:t>
            </w:r>
          </w:p>
        </w:tc>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Number</w:t>
            </w:r>
          </w:p>
        </w:tc>
        <w:tc>
          <w:tcPr>
            <w:tcW w:type="dxa" w:w="3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How many times this buyer said yes.</w:t>
            </w:r>
          </w:p>
        </w:tc>
      </w:tr>
      <w:tr>
        <w:trPr>
          <w:cantSplit/>
          <w:tblHeader w:val="false"/>
        </w:trPr>
        <w:tc>
          <w:tcPr>
            <w:tcW w:type="dxa" w:w="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17</w:t>
            </w:r>
          </w:p>
        </w:tc>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Deals Closed</w:t>
            </w:r>
          </w:p>
        </w:tc>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Number</w:t>
            </w:r>
          </w:p>
        </w:tc>
        <w:tc>
          <w:tcPr>
            <w:tcW w:type="dxa" w:w="3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How many times they actually closed. Committed minus Closed is the reliability signal.</w:t>
            </w:r>
          </w:p>
        </w:tc>
      </w:tr>
      <w:tr>
        <w:trPr>
          <w:cantSplit/>
          <w:tblHeader w:val="false"/>
        </w:trPr>
        <w:tc>
          <w:tcPr>
            <w:tcW w:type="dxa" w:w="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18</w:t>
            </w:r>
          </w:p>
        </w:tc>
        <w:tc>
          <w:tcPr>
            <w:tcW w:type="dxa" w:w="2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Vertical Interest</w:t>
            </w:r>
          </w:p>
        </w:tc>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Multi-select: Real Estate, Auto</w:t>
            </w:r>
          </w:p>
        </w:tc>
        <w:tc>
          <w:tcPr>
            <w:tcW w:type="dxa" w:w="3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NEW for the unified design — lets one buyer list serve both businesses without cross-contaminating blasts.</w:t>
            </w:r>
          </w:p>
        </w:tc>
      </w:tr>
    </w:tbl>
    <w:p>
      <w:pPr>
        <w:spacing w:after="120"/>
      </w:pP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2600"/>
        <w:gridCol w:w="6760"/>
      </w:tblGrid>
      <w:tr>
        <w:trPr>
          <w:cantSplit/>
          <w:tblHeader/>
        </w:trPr>
        <w:tc>
          <w:tcPr>
            <w:tcW w:type="dxa" w:w="26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Buyers table total</w:t>
            </w:r>
          </w:p>
        </w:tc>
        <w:tc>
          <w:tcPr>
            <w:tcW w:type="dxa" w:w="67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18 fields (15 carried forward + 3 new)</w:t>
            </w:r>
          </w:p>
        </w:tc>
      </w:tr>
    </w:tbl>
    <w:p>
      <w:pPr>
        <w:spacing w:after="120"/>
      </w:pPr>
    </w:p>
    <w:p>
      <w:pPr>
        <w:pStyle w:val="Heading2"/>
        <w:keepNext/>
        <w:spacing w:after="110" w:before="260"/>
      </w:pPr>
      <w:r>
        <w:rPr>
          <w:rFonts w:ascii="Calibri" w:cs="Calibri" w:eastAsia="Calibri" w:hAnsi="Calibri"/>
          <w:b/>
          <w:bCs/>
          <w:color w:val="1F3352"/>
          <w:sz w:val="24"/>
          <w:szCs w:val="24"/>
        </w:rPr>
        <w:t xml:space="preserve">Grand total</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2800"/>
        <w:gridCol w:w="1600"/>
        <w:gridCol w:w="1600"/>
        <w:gridCol w:w="3360"/>
      </w:tblGrid>
      <w:tr>
        <w:trPr>
          <w:cantSplit/>
          <w:tblHeader/>
        </w:trPr>
        <w:tc>
          <w:tcPr>
            <w:tcW w:type="dxa" w:w="28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Table</w:t>
            </w:r>
          </w:p>
        </w:tc>
        <w:tc>
          <w:tcPr>
            <w:tcW w:type="dxa" w:w="16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February</w:t>
            </w:r>
          </w:p>
        </w:tc>
        <w:tc>
          <w:tcPr>
            <w:tcW w:type="dxa" w:w="16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Unified</w:t>
            </w:r>
          </w:p>
        </w:tc>
        <w:tc>
          <w:tcPr>
            <w:tcW w:type="dxa" w:w="33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Delta</w:t>
            </w:r>
          </w:p>
        </w:tc>
      </w:tr>
      <w:tr>
        <w:trPr>
          <w:cantSplit/>
          <w:tblHeader w:val="false"/>
        </w:trPr>
        <w:tc>
          <w:tcPr>
            <w:tcW w:type="dxa" w:w="28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w:t>
            </w:r>
          </w:p>
        </w:tc>
        <w:tc>
          <w:tcPr>
            <w:tcW w:type="dxa" w:w="1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50</w:t>
            </w:r>
          </w:p>
        </w:tc>
        <w:tc>
          <w:tcPr>
            <w:tcW w:type="dxa" w:w="1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60</w:t>
            </w:r>
          </w:p>
        </w:tc>
        <w:tc>
          <w:tcPr>
            <w:tcW w:type="dxa" w:w="33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+10</w:t>
            </w:r>
          </w:p>
        </w:tc>
      </w:tr>
      <w:tr>
        <w:trPr>
          <w:cantSplit/>
          <w:tblHeader w:val="false"/>
        </w:trPr>
        <w:tc>
          <w:tcPr>
            <w:tcW w:type="dxa" w:w="28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Properties</w:t>
            </w:r>
          </w:p>
        </w:tc>
        <w:tc>
          <w:tcPr>
            <w:tcW w:type="dxa" w:w="1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46</w:t>
            </w:r>
          </w:p>
        </w:tc>
        <w:tc>
          <w:tcPr>
            <w:tcW w:type="dxa" w:w="1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59</w:t>
            </w:r>
          </w:p>
        </w:tc>
        <w:tc>
          <w:tcPr>
            <w:tcW w:type="dxa" w:w="33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+13 net (−2 moved out, +15 added)</w:t>
            </w:r>
          </w:p>
        </w:tc>
      </w:tr>
      <w:tr>
        <w:trPr>
          <w:cantSplit/>
          <w:tblHeader w:val="false"/>
        </w:trPr>
        <w:tc>
          <w:tcPr>
            <w:tcW w:type="dxa" w:w="28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Vehicles</w:t>
            </w:r>
          </w:p>
        </w:tc>
        <w:tc>
          <w:tcPr>
            <w:tcW w:type="dxa" w:w="1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w:t>
            </w:r>
          </w:p>
        </w:tc>
        <w:tc>
          <w:tcPr>
            <w:tcW w:type="dxa" w:w="1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31</w:t>
            </w:r>
          </w:p>
        </w:tc>
        <w:tc>
          <w:tcPr>
            <w:tcW w:type="dxa" w:w="33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+31 (new table)</w:t>
            </w:r>
          </w:p>
        </w:tc>
      </w:tr>
      <w:tr>
        <w:trPr>
          <w:cantSplit/>
          <w:tblHeader w:val="false"/>
        </w:trPr>
        <w:tc>
          <w:tcPr>
            <w:tcW w:type="dxa" w:w="28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Buyers</w:t>
            </w:r>
          </w:p>
        </w:tc>
        <w:tc>
          <w:tcPr>
            <w:tcW w:type="dxa" w:w="1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15</w:t>
            </w:r>
          </w:p>
        </w:tc>
        <w:tc>
          <w:tcPr>
            <w:tcW w:type="dxa" w:w="1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18</w:t>
            </w:r>
          </w:p>
        </w:tc>
        <w:tc>
          <w:tcPr>
            <w:tcW w:type="dxa" w:w="33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+3</w:t>
            </w:r>
          </w:p>
        </w:tc>
      </w:tr>
      <w:tr>
        <w:trPr>
          <w:cantSplit/>
          <w:tblHeader w:val="false"/>
        </w:trPr>
        <w:tc>
          <w:tcPr>
            <w:tcW w:type="dxa" w:w="2800"/>
            <w:shd w:fill="E7ECF3" w:color="auto" w:val="clear"/>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Total</w:t>
            </w:r>
          </w:p>
        </w:tc>
        <w:tc>
          <w:tcPr>
            <w:tcW w:type="dxa" w:w="1600"/>
            <w:shd w:fill="E7ECF3" w:color="auto" w:val="clear"/>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111</w:t>
            </w:r>
          </w:p>
        </w:tc>
        <w:tc>
          <w:tcPr>
            <w:tcW w:type="dxa" w:w="1600"/>
            <w:shd w:fill="E7ECF3" w:color="auto" w:val="clear"/>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168</w:t>
            </w:r>
          </w:p>
        </w:tc>
        <w:tc>
          <w:tcPr>
            <w:tcW w:type="dxa" w:w="3360"/>
            <w:shd w:fill="E7ECF3" w:color="auto" w:val="clear"/>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+57</w:t>
            </w:r>
          </w:p>
        </w:tc>
      </w:tr>
    </w:tbl>
    <w:p>
      <w:pPr>
        <w:spacing w:after="80"/>
      </w:pPr>
    </w:p>
    <w:p>
      <w:pPr>
        <w:spacing w:after="120" w:line="276"/>
      </w:pPr>
      <w:r>
        <w:rPr>
          <w:rFonts w:ascii="Calibri" w:cs="Calibri" w:eastAsia="Calibri" w:hAnsi="Calibri"/>
          <w:color w:val="222222"/>
          <w:sz w:val="21"/>
          <w:szCs w:val="21"/>
        </w:rPr>
        <w:t xml:space="preserve">No table is bloated. The largest, Deal at 60, presents roughly 20 fields on any given record once Vertical-based visibility hides the irrelevant section.</w:t>
      </w:r>
    </w:p>
    <w:p>
      <w:pPr>
        <w:pStyle w:val="Heading1"/>
        <w:keepNext/>
        <w:pBdr>
          <w:bottom w:val="single" w:color="C8CFD9" w:sz="8" w:space="6"/>
        </w:pBdr>
        <w:spacing w:after="160" w:before="360"/>
      </w:pPr>
      <w:r>
        <w:rPr>
          <w:rFonts w:ascii="Calibri" w:cs="Calibri" w:eastAsia="Calibri" w:hAnsi="Calibri"/>
          <w:b/>
          <w:bCs/>
          <w:color w:val="1F3352"/>
          <w:sz w:val="30"/>
          <w:szCs w:val="30"/>
        </w:rPr>
        <w:t xml:space="preserve">I. Identity and Deduplication</w:t>
      </w:r>
    </w:p>
    <w:p>
      <w:pPr>
        <w:spacing w:after="120" w:line="276"/>
      </w:pPr>
      <w:r>
        <w:rPr>
          <w:rFonts w:ascii="Calibri" w:cs="Calibri" w:eastAsia="Calibri" w:hAnsi="Calibri"/>
          <w:color w:val="222222"/>
          <w:sz w:val="21"/>
          <w:szCs w:val="21"/>
        </w:rPr>
        <w:t xml:space="preserve">Four systems can create records: Quantum RE Analyzer, CarHawk, SMS-iT and manual entry in CompanyHub. Without a shared key, the same property or vehicle enters three times, lookups bind to the wrong record, and portfolio reporting is unreliable within sixty days of production use.</w:t>
      </w:r>
    </w:p>
    <w:p>
      <w:pPr>
        <w:pStyle w:val="Heading2"/>
        <w:keepNext/>
        <w:spacing w:after="110" w:before="260"/>
      </w:pPr>
      <w:r>
        <w:rPr>
          <w:rFonts w:ascii="Calibri" w:cs="Calibri" w:eastAsia="Calibri" w:hAnsi="Calibri"/>
          <w:b/>
          <w:bCs/>
          <w:color w:val="1F3352"/>
          <w:sz w:val="24"/>
          <w:szCs w:val="24"/>
        </w:rPr>
        <w:t xml:space="preserve">The key pair</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2400"/>
        <w:gridCol w:w="3400"/>
        <w:gridCol w:w="3560"/>
      </w:tblGrid>
      <w:tr>
        <w:trPr>
          <w:cantSplit/>
          <w:tblHeader/>
        </w:trPr>
        <w:tc>
          <w:tcPr>
            <w:tcW w:type="dxa" w:w="24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Field</w:t>
            </w:r>
          </w:p>
        </w:tc>
        <w:tc>
          <w:tcPr>
            <w:tcW w:type="dxa" w:w="34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Values</w:t>
            </w:r>
          </w:p>
        </w:tc>
        <w:tc>
          <w:tcPr>
            <w:tcW w:type="dxa" w:w="35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Rule</w:t>
            </w:r>
          </w:p>
        </w:tc>
      </w:tr>
      <w:tr>
        <w:trPr>
          <w:cantSplit/>
          <w:tblHeader w:val="false"/>
        </w:trPr>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Source System</w:t>
            </w:r>
          </w:p>
        </w:tc>
        <w:tc>
          <w:tcPr>
            <w:tcW w:type="dxa" w:w="3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Quantum RE Analyzer, CarHawk, SMS-iT, Manual</w:t>
            </w:r>
          </w:p>
        </w:tc>
        <w:tc>
          <w:tcPr>
            <w:tcW w:type="dxa" w:w="35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Set on creation, never edited afterwards.</w:t>
            </w:r>
          </w:p>
        </w:tc>
      </w:tr>
      <w:tr>
        <w:trPr>
          <w:cantSplit/>
          <w:tblHeader w:val="false"/>
        </w:trPr>
        <w:tc>
          <w:tcPr>
            <w:tcW w:type="dxa" w:w="2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External ID</w:t>
            </w:r>
          </w:p>
        </w:tc>
        <w:tc>
          <w:tcPr>
            <w:tcW w:type="dxa" w:w="3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The source system's own row or deal id</w:t>
            </w:r>
          </w:p>
        </w:tc>
        <w:tc>
          <w:tcPr>
            <w:tcW w:type="dxa" w:w="35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Set on creation. Together with Source System this is unique across the whole Deal table.</w:t>
            </w:r>
          </w:p>
        </w:tc>
      </w:tr>
    </w:tbl>
    <w:p>
      <w:pPr>
        <w:spacing w:after="120" w:line="276"/>
      </w:pPr>
      <w:r>
        <w:rPr>
          <w:rFonts w:ascii="Calibri" w:cs="Calibri" w:eastAsia="Calibri" w:hAnsi="Calibri"/>
          <w:i/>
          <w:iCs/>
          <w:color w:val="4A5568"/>
          <w:sz w:val="21"/>
          <w:szCs w:val="21"/>
        </w:rPr>
        <w:t xml:space="preserve">This replaces the audit's Quantum Row ID, which named one specific analyzer and left the auto vertical with no key at all.</w:t>
      </w:r>
    </w:p>
    <w:p>
      <w:pPr>
        <w:spacing w:after="120"/>
      </w:pPr>
    </w:p>
    <w:p>
      <w:pPr>
        <w:pStyle w:val="Heading2"/>
        <w:keepNext/>
        <w:spacing w:after="110" w:before="260"/>
      </w:pPr>
      <w:r>
        <w:rPr>
          <w:rFonts w:ascii="Calibri" w:cs="Calibri" w:eastAsia="Calibri" w:hAnsi="Calibri"/>
          <w:b/>
          <w:bCs/>
          <w:color w:val="1F3352"/>
          <w:sz w:val="24"/>
          <w:szCs w:val="24"/>
        </w:rPr>
        <w:t xml:space="preserve">Natural keys at the asset layer</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2400"/>
        <w:gridCol w:w="6960"/>
      </w:tblGrid>
      <w:tr>
        <w:trPr>
          <w:cantSplit/>
          <w:tblHeader/>
        </w:trPr>
        <w:tc>
          <w:tcPr>
            <w:tcW w:type="dxa" w:w="24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Table</w:t>
            </w:r>
          </w:p>
        </w:tc>
        <w:tc>
          <w:tcPr>
            <w:tcW w:type="dxa" w:w="69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Natural key and normalization rule</w:t>
            </w:r>
          </w:p>
        </w:tc>
      </w:tr>
      <w:tr>
        <w:trPr>
          <w:cantSplit/>
          <w:tblHeader w:val="false"/>
        </w:trPr>
        <w:tc>
          <w:tcPr>
            <w:tcW w:type="dxa" w:w="2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Properties</w:t>
            </w:r>
          </w:p>
        </w:tc>
        <w:tc>
          <w:tcPr>
            <w:tcW w:type="dxa" w:w="69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Normalized street address. Uppercase, strip punctuation, expand abbreviations to USPS standard (ST to STREET), append unit number for multi-family. "123 Main St", "123 Main Street" and "123 main st" must resolve to one record.</w:t>
            </w:r>
          </w:p>
        </w:tc>
      </w:tr>
      <w:tr>
        <w:trPr>
          <w:cantSplit/>
          <w:tblHeader w:val="false"/>
        </w:trPr>
        <w:tc>
          <w:tcPr>
            <w:tcW w:type="dxa" w:w="2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Vehicles</w:t>
            </w:r>
          </w:p>
        </w:tc>
        <w:tc>
          <w:tcPr>
            <w:tcW w:type="dxa" w:w="69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VIN. Already unique, already standardized, 17 characters. Enforce uniqueness at entry and the auto vertical has no dedup problem at all.</w:t>
            </w:r>
          </w:p>
        </w:tc>
      </w:tr>
    </w:tbl>
    <w:p>
      <w:pPr>
        <w:spacing w:after="120"/>
      </w:pPr>
    </w:p>
    <w:tbl>
      <w:tblPr>
        <w:tblW w:type="dxa" w:w="9360"/>
        <w:tblBorders>
          <w:top w:val="single" w:color="C8CFD9" w:sz="4"/>
          <w:left w:val="single" w:color="1F3352" w:sz="18"/>
          <w:bottom w:val="single" w:color="C8CFD9" w:sz="4"/>
          <w:right w:val="single" w:color="C8CFD9" w:sz="4"/>
          <w:insideH w:val="none"/>
          <w:insideV w:val="none"/>
        </w:tblBorders>
      </w:tblPr>
      <w:tblGrid>
        <w:gridCol w:w="9360"/>
      </w:tblGrid>
      <w:tr>
        <w:trPr>
          <w:cantSplit/>
        </w:trPr>
        <w:tc>
          <w:tcPr>
            <w:tcW w:type="dxa" w:w="9360"/>
            <w:shd w:fill="F2F5F9" w:color="auto" w:val="clear"/>
            <w:tcMar>
              <w:top w:type="dxa" w:w="140"/>
              <w:left w:type="dxa" w:w="180"/>
              <w:bottom w:type="dxa" w:w="140"/>
              <w:right w:type="dxa" w:w="160"/>
            </w:tcMar>
          </w:tcPr>
          <w:p>
            <w:pPr>
              <w:spacing w:after="80"/>
            </w:pPr>
            <w:r>
              <w:rPr>
                <w:rFonts w:ascii="Calibri" w:cs="Calibri" w:eastAsia="Calibri" w:hAnsi="Calibri"/>
                <w:b/>
                <w:bCs/>
                <w:color w:val="1F3352"/>
                <w:sz w:val="20"/>
                <w:szCs w:val="20"/>
              </w:rPr>
              <w:t xml:space="preserve">The auto vertical is the easy half here</w:t>
            </w:r>
          </w:p>
          <w:p>
            <w:pPr>
              <w:spacing w:after="60" w:line="264"/>
            </w:pPr>
            <w:r>
              <w:rPr>
                <w:rFonts w:ascii="Calibri" w:cs="Calibri" w:eastAsia="Calibri" w:hAnsi="Calibri"/>
                <w:sz w:val="19"/>
                <w:szCs w:val="19"/>
              </w:rPr>
              <w:t xml:space="preserve">VIN is a globally unique identifier that arrives with the listing. Real estate has no equivalent, which is why address normalization needs a written convention before the first sync.</w:t>
            </w:r>
          </w:p>
          <w:p>
            <w:pPr>
              <w:spacing w:after="60" w:line="264"/>
            </w:pPr>
            <w:r>
              <w:rPr>
                <w:rFonts w:ascii="Calibri" w:cs="Calibri" w:eastAsia="Calibri" w:hAnsi="Calibri"/>
                <w:sz w:val="19"/>
                <w:szCs w:val="19"/>
              </w:rPr>
              <w:t xml:space="preserve">Write that convention down and apply it in the Quantum RE Analyzer before export, not in CompanyHub after import — normalizing on the way in is cheap, deduplicating afterwards is not.</w:t>
            </w:r>
          </w:p>
        </w:tc>
      </w:tr>
    </w:tbl>
    <w:p>
      <w:pPr>
        <w:spacing w:after="120"/>
      </w:pPr>
    </w:p>
    <w:p>
      <w:pPr>
        <w:pStyle w:val="Heading2"/>
        <w:keepNext/>
        <w:spacing w:after="110" w:before="260"/>
      </w:pPr>
      <w:r>
        <w:rPr>
          <w:rFonts w:ascii="Calibri" w:cs="Calibri" w:eastAsia="Calibri" w:hAnsi="Calibri"/>
          <w:b/>
          <w:bCs/>
          <w:color w:val="1F3352"/>
          <w:sz w:val="24"/>
          <w:szCs w:val="24"/>
        </w:rPr>
        <w:t xml:space="preserve">Sync field mapping</w:t>
      </w:r>
    </w:p>
    <w:p>
      <w:pPr>
        <w:spacing w:after="120" w:line="276"/>
      </w:pPr>
      <w:r>
        <w:rPr>
          <w:rFonts w:ascii="Calibri" w:cs="Calibri" w:eastAsia="Calibri" w:hAnsi="Calibri"/>
          <w:color w:val="222222"/>
          <w:sz w:val="21"/>
          <w:szCs w:val="21"/>
        </w:rPr>
        <w:t xml:space="preserve">Phase 8 of the original roadmap called for SyncSpyder integration without specifying a single field mapping. The starting map below must be completed before that phase begins.</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2600"/>
        <w:gridCol w:w="2600"/>
        <w:gridCol w:w="1500"/>
        <w:gridCol w:w="1300"/>
        <w:gridCol w:w="1360"/>
      </w:tblGrid>
      <w:tr>
        <w:trPr>
          <w:cantSplit/>
          <w:tblHeader/>
        </w:trPr>
        <w:tc>
          <w:tcPr>
            <w:tcW w:type="dxa" w:w="26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Source column</w:t>
            </w:r>
          </w:p>
        </w:tc>
        <w:tc>
          <w:tcPr>
            <w:tcW w:type="dxa" w:w="26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CompanyHub field</w:t>
            </w:r>
          </w:p>
        </w:tc>
        <w:tc>
          <w:tcPr>
            <w:tcW w:type="dxa" w:w="15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Table</w:t>
            </w:r>
          </w:p>
        </w:tc>
        <w:tc>
          <w:tcPr>
            <w:tcW w:type="dxa" w:w="13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Direction</w:t>
            </w:r>
          </w:p>
        </w:tc>
        <w:tc>
          <w:tcPr>
            <w:tcW w:type="dxa" w:w="13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Notes</w:t>
            </w:r>
          </w:p>
        </w:tc>
      </w:tr>
      <w:tr>
        <w:trPr>
          <w:cantSplit/>
          <w:tblHeader w:val="false"/>
        </w:trPr>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Row ID</w:t>
            </w:r>
          </w:p>
        </w:tc>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External ID</w:t>
            </w:r>
          </w:p>
        </w:tc>
        <w:tc>
          <w:tcPr>
            <w:tcW w:type="dxa" w:w="1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w:t>
            </w:r>
          </w:p>
        </w:tc>
        <w:tc>
          <w:tcPr>
            <w:tcW w:type="dxa" w:w="13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In only</w:t>
            </w:r>
          </w:p>
        </w:tc>
        <w:tc>
          <w:tcPr>
            <w:tcW w:type="dxa" w:w="13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Unique key for matching</w:t>
            </w:r>
          </w:p>
        </w:tc>
      </w:tr>
      <w:tr>
        <w:trPr>
          <w:cantSplit/>
          <w:tblHeader w:val="false"/>
        </w:trPr>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Property Address</w:t>
            </w:r>
          </w:p>
        </w:tc>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Property Address</w:t>
            </w:r>
          </w:p>
        </w:tc>
        <w:tc>
          <w:tcPr>
            <w:tcW w:type="dxa" w:w="1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Properties</w:t>
            </w:r>
          </w:p>
        </w:tc>
        <w:tc>
          <w:tcPr>
            <w:tcW w:type="dxa" w:w="13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In only</w:t>
            </w:r>
          </w:p>
        </w:tc>
        <w:tc>
          <w:tcPr>
            <w:tcW w:type="dxa" w:w="13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Normalized before send</w:t>
            </w:r>
          </w:p>
        </w:tc>
      </w:tr>
      <w:tr>
        <w:trPr>
          <w:cantSplit/>
          <w:tblHeader w:val="false"/>
        </w:trPr>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ARV</w:t>
            </w:r>
          </w:p>
        </w:tc>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Estimated Resale</w:t>
            </w:r>
          </w:p>
        </w:tc>
        <w:tc>
          <w:tcPr>
            <w:tcW w:type="dxa" w:w="1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w:t>
            </w:r>
          </w:p>
        </w:tc>
        <w:tc>
          <w:tcPr>
            <w:tcW w:type="dxa" w:w="13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In only</w:t>
            </w:r>
          </w:p>
        </w:tc>
        <w:tc>
          <w:tcPr>
            <w:tcW w:type="dxa" w:w="13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Analyzer is source of truth</w:t>
            </w:r>
          </w:p>
        </w:tc>
      </w:tr>
      <w:tr>
        <w:trPr>
          <w:cantSplit/>
          <w:tblHeader w:val="false"/>
        </w:trPr>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Lead Score</w:t>
            </w:r>
          </w:p>
        </w:tc>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Lead Score</w:t>
            </w:r>
          </w:p>
        </w:tc>
        <w:tc>
          <w:tcPr>
            <w:tcW w:type="dxa" w:w="1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w:t>
            </w:r>
          </w:p>
        </w:tc>
        <w:tc>
          <w:tcPr>
            <w:tcW w:type="dxa" w:w="13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In only</w:t>
            </w:r>
          </w:p>
        </w:tc>
        <w:tc>
          <w:tcPr>
            <w:tcW w:type="dxa" w:w="13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
            </w:r>
          </w:p>
        </w:tc>
      </w:tr>
      <w:tr>
        <w:trPr>
          <w:cantSplit/>
          <w:tblHeader w:val="false"/>
        </w:trPr>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 ID</w:t>
            </w:r>
          </w:p>
        </w:tc>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External ID</w:t>
            </w:r>
          </w:p>
        </w:tc>
        <w:tc>
          <w:tcPr>
            <w:tcW w:type="dxa" w:w="1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w:t>
            </w:r>
          </w:p>
        </w:tc>
        <w:tc>
          <w:tcPr>
            <w:tcW w:type="dxa" w:w="13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In only</w:t>
            </w:r>
          </w:p>
        </w:tc>
        <w:tc>
          <w:tcPr>
            <w:tcW w:type="dxa" w:w="13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CarHawk side</w:t>
            </w:r>
          </w:p>
        </w:tc>
      </w:tr>
      <w:tr>
        <w:trPr>
          <w:cantSplit/>
          <w:tblHeader w:val="false"/>
        </w:trPr>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VIN</w:t>
            </w:r>
          </w:p>
        </w:tc>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VIN</w:t>
            </w:r>
          </w:p>
        </w:tc>
        <w:tc>
          <w:tcPr>
            <w:tcW w:type="dxa" w:w="1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Vehicles</w:t>
            </w:r>
          </w:p>
        </w:tc>
        <w:tc>
          <w:tcPr>
            <w:tcW w:type="dxa" w:w="13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In only</w:t>
            </w:r>
          </w:p>
        </w:tc>
        <w:tc>
          <w:tcPr>
            <w:tcW w:type="dxa" w:w="13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CarHawk side, unique key</w:t>
            </w:r>
          </w:p>
        </w:tc>
      </w:tr>
      <w:tr>
        <w:trPr>
          <w:cantSplit/>
          <w:tblHeader w:val="false"/>
        </w:trPr>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Turo Hold Score</w:t>
            </w:r>
          </w:p>
        </w:tc>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Turo Hold Score</w:t>
            </w:r>
          </w:p>
        </w:tc>
        <w:tc>
          <w:tcPr>
            <w:tcW w:type="dxa" w:w="1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Vehicles</w:t>
            </w:r>
          </w:p>
        </w:tc>
        <w:tc>
          <w:tcPr>
            <w:tcW w:type="dxa" w:w="13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In only</w:t>
            </w:r>
          </w:p>
        </w:tc>
        <w:tc>
          <w:tcPr>
            <w:tcW w:type="dxa" w:w="13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CarHawk side</w:t>
            </w:r>
          </w:p>
        </w:tc>
      </w:tr>
    </w:tbl>
    <w:p>
      <w:pPr>
        <w:spacing w:after="120" w:line="276"/>
      </w:pPr>
      <w:r>
        <w:rPr>
          <w:rFonts w:ascii="Calibri" w:cs="Calibri" w:eastAsia="Calibri" w:hAnsi="Calibri"/>
          <w:i/>
          <w:iCs/>
          <w:color w:val="4A5568"/>
          <w:sz w:val="21"/>
          <w:szCs w:val="21"/>
        </w:rPr>
        <w:t xml:space="preserve">Every mapping is one-way inbound. Bidirectional sync requires a conflict-resolution rule that does not exist yet; do not enable it until one is written.</w:t>
      </w:r>
    </w:p>
    <w:p>
      <w:pPr>
        <w:pStyle w:val="Heading1"/>
        <w:keepNext/>
        <w:pBdr>
          <w:bottom w:val="single" w:color="C8CFD9" w:sz="8" w:space="6"/>
        </w:pBdr>
        <w:spacing w:after="160" w:before="360"/>
      </w:pPr>
      <w:r>
        <w:rPr>
          <w:rFonts w:ascii="Calibri" w:cs="Calibri" w:eastAsia="Calibri" w:hAnsi="Calibri"/>
          <w:b/>
          <w:bCs/>
          <w:color w:val="1F3352"/>
          <w:sz w:val="30"/>
          <w:szCs w:val="30"/>
        </w:rPr>
        <w:t xml:space="preserve">J. Automations (UTrons)</w:t>
      </w:r>
    </w:p>
    <w:p>
      <w:pPr>
        <w:spacing w:after="120" w:line="276"/>
      </w:pPr>
      <w:r>
        <w:rPr>
          <w:rFonts w:ascii="Calibri" w:cs="Calibri" w:eastAsia="Calibri" w:hAnsi="Calibri"/>
          <w:color w:val="222222"/>
          <w:sz w:val="21"/>
          <w:szCs w:val="21"/>
        </w:rPr>
        <w:t xml:space="preserve">Sixteen automations: ten from the original design, three added by the audit, three new for the auto asset layer. The Will it work column carries forward the audit's capability assessment — five items still need verification with CompanyHub support before go-live.</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450"/>
        <w:gridCol w:w="2500"/>
        <w:gridCol w:w="1100"/>
        <w:gridCol w:w="1250"/>
        <w:gridCol w:w="4060"/>
      </w:tblGrid>
      <w:tr>
        <w:trPr>
          <w:cantSplit/>
          <w:tblHeader/>
        </w:trPr>
        <w:tc>
          <w:tcPr>
            <w:tcW w:type="dxa" w:w="45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w:t>
            </w:r>
          </w:p>
        </w:tc>
        <w:tc>
          <w:tcPr>
            <w:tcW w:type="dxa" w:w="25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Name</w:t>
            </w:r>
          </w:p>
        </w:tc>
        <w:tc>
          <w:tcPr>
            <w:tcW w:type="dxa" w:w="11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Vertical</w:t>
            </w:r>
          </w:p>
        </w:tc>
        <w:tc>
          <w:tcPr>
            <w:tcW w:type="dxa" w:w="125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Confidence</w:t>
            </w:r>
          </w:p>
        </w:tc>
        <w:tc>
          <w:tcPr>
            <w:tcW w:type="dxa" w:w="40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Note</w:t>
            </w:r>
          </w:p>
        </w:tc>
      </w:tr>
      <w:tr>
        <w:trPr>
          <w:cantSplit/>
          <w:tblHeader w:val="false"/>
        </w:trPr>
        <w:tc>
          <w:tcPr>
            <w:tcW w:type="dxa" w:w="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w:t>
            </w:r>
          </w:p>
        </w:tc>
        <w:tc>
          <w:tcPr>
            <w:tcW w:type="dxa" w:w="2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Hot Lead Fast-Track</w:t>
            </w:r>
          </w:p>
        </w:tc>
        <w:tc>
          <w:tcPr>
            <w:tcW w:type="dxa" w:w="11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Both</w:t>
            </w:r>
          </w:p>
        </w:tc>
        <w:tc>
          <w:tcPr>
            <w:tcW w:type="dxa" w:w="1250"/>
            <w:tcMar>
              <w:top w:type="dxa" w:w="70"/>
              <w:left w:type="dxa" w:w="100"/>
              <w:bottom w:type="dxa" w:w="70"/>
              <w:right w:type="dxa" w:w="100"/>
            </w:tcMar>
            <w:vAlign w:val="center"/>
          </w:tcPr>
          <w:p>
            <w:pPr>
              <w:spacing w:after="0" w:line="250"/>
            </w:pPr>
            <w:r>
              <w:rPr>
                <w:rFonts w:ascii="Calibri" w:cs="Calibri" w:eastAsia="Calibri" w:hAnsi="Calibri"/>
                <w:color w:val="2C6E49"/>
                <w:sz w:val="18"/>
                <w:szCs w:val="18"/>
              </w:rPr>
              <w:t xml:space="preserve">Confirmed</w:t>
            </w:r>
          </w:p>
        </w:tc>
        <w:tc>
          <w:tcPr>
            <w:tcW w:type="dxa" w:w="40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Simple field-value trigger.</w:t>
            </w:r>
          </w:p>
        </w:tc>
      </w:tr>
      <w:tr>
        <w:trPr>
          <w:cantSplit/>
          <w:tblHeader w:val="false"/>
        </w:trPr>
        <w:tc>
          <w:tcPr>
            <w:tcW w:type="dxa" w:w="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2</w:t>
            </w:r>
          </w:p>
        </w:tc>
        <w:tc>
          <w:tcPr>
            <w:tcW w:type="dxa" w:w="2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Skip Trace Nudge</w:t>
            </w:r>
          </w:p>
        </w:tc>
        <w:tc>
          <w:tcPr>
            <w:tcW w:type="dxa" w:w="11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RE</w:t>
            </w:r>
          </w:p>
        </w:tc>
        <w:tc>
          <w:tcPr>
            <w:tcW w:type="dxa" w:w="1250"/>
            <w:shd w:fill="F2F5F9" w:color="auto" w:val="clear"/>
            <w:tcMar>
              <w:top w:type="dxa" w:w="70"/>
              <w:left w:type="dxa" w:w="100"/>
              <w:bottom w:type="dxa" w:w="70"/>
              <w:right w:type="dxa" w:w="100"/>
            </w:tcMar>
            <w:vAlign w:val="center"/>
          </w:tcPr>
          <w:p>
            <w:pPr>
              <w:spacing w:after="0" w:line="250"/>
            </w:pPr>
            <w:r>
              <w:rPr>
                <w:rFonts w:ascii="Calibri" w:cs="Calibri" w:eastAsia="Calibri" w:hAnsi="Calibri"/>
                <w:color w:val="B06A00"/>
                <w:sz w:val="18"/>
                <w:szCs w:val="18"/>
              </w:rPr>
              <w:t xml:space="preserve">Verify</w:t>
            </w:r>
          </w:p>
        </w:tc>
        <w:tc>
          <w:tcPr>
            <w:tcW w:type="dxa" w:w="40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Needs stage-unchanged-for-24h. Fallback: scheduled query on Modified Date.</w:t>
            </w:r>
          </w:p>
        </w:tc>
      </w:tr>
      <w:tr>
        <w:trPr>
          <w:cantSplit/>
          <w:tblHeader w:val="false"/>
        </w:trPr>
        <w:tc>
          <w:tcPr>
            <w:tcW w:type="dxa" w:w="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3</w:t>
            </w:r>
          </w:p>
        </w:tc>
        <w:tc>
          <w:tcPr>
            <w:tcW w:type="dxa" w:w="2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Daily Action Briefing</w:t>
            </w:r>
          </w:p>
        </w:tc>
        <w:tc>
          <w:tcPr>
            <w:tcW w:type="dxa" w:w="11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Both</w:t>
            </w:r>
          </w:p>
        </w:tc>
        <w:tc>
          <w:tcPr>
            <w:tcW w:type="dxa" w:w="1250"/>
            <w:tcMar>
              <w:top w:type="dxa" w:w="70"/>
              <w:left w:type="dxa" w:w="100"/>
              <w:bottom w:type="dxa" w:w="70"/>
              <w:right w:type="dxa" w:w="100"/>
            </w:tcMar>
            <w:vAlign w:val="center"/>
          </w:tcPr>
          <w:p>
            <w:pPr>
              <w:spacing w:after="0" w:line="250"/>
            </w:pPr>
            <w:r>
              <w:rPr>
                <w:rFonts w:ascii="Calibri" w:cs="Calibri" w:eastAsia="Calibri" w:hAnsi="Calibri"/>
                <w:color w:val="B06A00"/>
                <w:sz w:val="18"/>
                <w:szCs w:val="18"/>
              </w:rPr>
              <w:t xml:space="preserve">Verify</w:t>
            </w:r>
          </w:p>
        </w:tc>
        <w:tc>
          <w:tcPr>
            <w:tcW w:type="dxa" w:w="40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Needs record-list rendering in email templates. Fallback: counts plus a filter link.</w:t>
            </w:r>
          </w:p>
        </w:tc>
      </w:tr>
      <w:tr>
        <w:trPr>
          <w:cantSplit/>
          <w:tblHeader w:val="false"/>
        </w:trPr>
        <w:tc>
          <w:tcPr>
            <w:tcW w:type="dxa" w:w="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4</w:t>
            </w:r>
          </w:p>
        </w:tc>
        <w:tc>
          <w:tcPr>
            <w:tcW w:type="dxa" w:w="2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Contract Clock</w:t>
            </w:r>
          </w:p>
        </w:tc>
        <w:tc>
          <w:tcPr>
            <w:tcW w:type="dxa" w:w="11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Both</w:t>
            </w:r>
          </w:p>
        </w:tc>
        <w:tc>
          <w:tcPr>
            <w:tcW w:type="dxa" w:w="1250"/>
            <w:shd w:fill="F2F5F9" w:color="auto" w:val="clear"/>
            <w:tcMar>
              <w:top w:type="dxa" w:w="70"/>
              <w:left w:type="dxa" w:w="100"/>
              <w:bottom w:type="dxa" w:w="70"/>
              <w:right w:type="dxa" w:w="100"/>
            </w:tcMar>
            <w:vAlign w:val="center"/>
          </w:tcPr>
          <w:p>
            <w:pPr>
              <w:spacing w:after="0" w:line="250"/>
            </w:pPr>
            <w:r>
              <w:rPr>
                <w:rFonts w:ascii="Calibri" w:cs="Calibri" w:eastAsia="Calibri" w:hAnsi="Calibri"/>
                <w:color w:val="B06A00"/>
                <w:sz w:val="18"/>
                <w:szCs w:val="18"/>
              </w:rPr>
              <w:t xml:space="preserve">Verify</w:t>
            </w:r>
          </w:p>
        </w:tc>
        <w:tc>
          <w:tcPr>
            <w:tcW w:type="dxa" w:w="40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Needs date-relative scheduling. Fallback: three separate UTrons at 7, 3 and 0 days.</w:t>
            </w:r>
          </w:p>
        </w:tc>
      </w:tr>
      <w:tr>
        <w:trPr>
          <w:cantSplit/>
          <w:tblHeader w:val="false"/>
        </w:trPr>
        <w:tc>
          <w:tcPr>
            <w:tcW w:type="dxa" w:w="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5</w:t>
            </w:r>
          </w:p>
        </w:tc>
        <w:tc>
          <w:tcPr>
            <w:tcW w:type="dxa" w:w="2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Buyer Blast</w:t>
            </w:r>
          </w:p>
        </w:tc>
        <w:tc>
          <w:tcPr>
            <w:tcW w:type="dxa" w:w="11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Both</w:t>
            </w:r>
          </w:p>
        </w:tc>
        <w:tc>
          <w:tcPr>
            <w:tcW w:type="dxa" w:w="1250"/>
            <w:tcMar>
              <w:top w:type="dxa" w:w="70"/>
              <w:left w:type="dxa" w:w="100"/>
              <w:bottom w:type="dxa" w:w="70"/>
              <w:right w:type="dxa" w:w="100"/>
            </w:tcMar>
            <w:vAlign w:val="center"/>
          </w:tcPr>
          <w:p>
            <w:pPr>
              <w:spacing w:after="0" w:line="250"/>
            </w:pPr>
            <w:r>
              <w:rPr>
                <w:rFonts w:ascii="Calibri" w:cs="Calibri" w:eastAsia="Calibri" w:hAnsi="Calibri"/>
                <w:color w:val="B06A00"/>
                <w:sz w:val="18"/>
                <w:szCs w:val="18"/>
              </w:rPr>
              <w:t xml:space="preserve">Limited</w:t>
            </w:r>
          </w:p>
        </w:tc>
        <w:tc>
          <w:tcPr>
            <w:tcW w:type="dxa" w:w="40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Notification only. Does not actually blast; the SMS-iT integration does not exist yet.</w:t>
            </w:r>
          </w:p>
        </w:tc>
      </w:tr>
      <w:tr>
        <w:trPr>
          <w:cantSplit/>
          <w:tblHeader w:val="false"/>
        </w:trPr>
        <w:tc>
          <w:tcPr>
            <w:tcW w:type="dxa" w:w="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6</w:t>
            </w:r>
          </w:p>
        </w:tc>
        <w:tc>
          <w:tcPr>
            <w:tcW w:type="dxa" w:w="2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Stale Deal Killer</w:t>
            </w:r>
          </w:p>
        </w:tc>
        <w:tc>
          <w:tcPr>
            <w:tcW w:type="dxa" w:w="11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Both</w:t>
            </w:r>
          </w:p>
        </w:tc>
        <w:tc>
          <w:tcPr>
            <w:tcW w:type="dxa" w:w="1250"/>
            <w:shd w:fill="F2F5F9" w:color="auto" w:val="clear"/>
            <w:tcMar>
              <w:top w:type="dxa" w:w="70"/>
              <w:left w:type="dxa" w:w="100"/>
              <w:bottom w:type="dxa" w:w="70"/>
              <w:right w:type="dxa" w:w="100"/>
            </w:tcMar>
            <w:vAlign w:val="center"/>
          </w:tcPr>
          <w:p>
            <w:pPr>
              <w:spacing w:after="0" w:line="250"/>
            </w:pPr>
            <w:r>
              <w:rPr>
                <w:rFonts w:ascii="Calibri" w:cs="Calibri" w:eastAsia="Calibri" w:hAnsi="Calibri"/>
                <w:color w:val="B06A00"/>
                <w:sz w:val="18"/>
                <w:szCs w:val="18"/>
              </w:rPr>
              <w:t xml:space="preserve">Verify</w:t>
            </w:r>
          </w:p>
        </w:tc>
        <w:tc>
          <w:tcPr>
            <w:tcW w:type="dxa" w:w="40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Needs date subtraction. Must exclude Nurture.</w:t>
            </w:r>
          </w:p>
        </w:tc>
      </w:tr>
      <w:tr>
        <w:trPr>
          <w:cantSplit/>
          <w:tblHeader w:val="false"/>
        </w:trPr>
        <w:tc>
          <w:tcPr>
            <w:tcW w:type="dxa" w:w="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7</w:t>
            </w:r>
          </w:p>
        </w:tc>
        <w:tc>
          <w:tcPr>
            <w:tcW w:type="dxa" w:w="2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 Closed — Property Hand-off</w:t>
            </w:r>
          </w:p>
        </w:tc>
        <w:tc>
          <w:tcPr>
            <w:tcW w:type="dxa" w:w="11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RE</w:t>
            </w:r>
          </w:p>
        </w:tc>
        <w:tc>
          <w:tcPr>
            <w:tcW w:type="dxa" w:w="1250"/>
            <w:tcMar>
              <w:top w:type="dxa" w:w="70"/>
              <w:left w:type="dxa" w:w="100"/>
              <w:bottom w:type="dxa" w:w="70"/>
              <w:right w:type="dxa" w:w="100"/>
            </w:tcMar>
            <w:vAlign w:val="center"/>
          </w:tcPr>
          <w:p>
            <w:pPr>
              <w:spacing w:after="0" w:line="250"/>
            </w:pPr>
            <w:r>
              <w:rPr>
                <w:rFonts w:ascii="Calibri" w:cs="Calibri" w:eastAsia="Calibri" w:hAnsi="Calibri"/>
                <w:color w:val="A32E2E"/>
                <w:sz w:val="18"/>
                <w:szCs w:val="18"/>
              </w:rPr>
              <w:t xml:space="preserve">Redesign</w:t>
            </w:r>
          </w:p>
        </w:tc>
        <w:tc>
          <w:tcPr>
            <w:tcW w:type="dxa" w:w="40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Must auto-update the linked Property, not email a reminder. See Section B.</w:t>
            </w:r>
          </w:p>
        </w:tc>
      </w:tr>
      <w:tr>
        <w:trPr>
          <w:cantSplit/>
          <w:tblHeader w:val="false"/>
        </w:trPr>
        <w:tc>
          <w:tcPr>
            <w:tcW w:type="dxa" w:w="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8</w:t>
            </w:r>
          </w:p>
        </w:tc>
        <w:tc>
          <w:tcPr>
            <w:tcW w:type="dxa" w:w="2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Rehab Budget Watchdog</w:t>
            </w:r>
          </w:p>
        </w:tc>
        <w:tc>
          <w:tcPr>
            <w:tcW w:type="dxa" w:w="11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RE</w:t>
            </w:r>
          </w:p>
        </w:tc>
        <w:tc>
          <w:tcPr>
            <w:tcW w:type="dxa" w:w="1250"/>
            <w:shd w:fill="F2F5F9" w:color="auto" w:val="clear"/>
            <w:tcMar>
              <w:top w:type="dxa" w:w="70"/>
              <w:left w:type="dxa" w:w="100"/>
              <w:bottom w:type="dxa" w:w="70"/>
              <w:right w:type="dxa" w:w="100"/>
            </w:tcMar>
            <w:vAlign w:val="center"/>
          </w:tcPr>
          <w:p>
            <w:pPr>
              <w:spacing w:after="0" w:line="250"/>
            </w:pPr>
            <w:r>
              <w:rPr>
                <w:rFonts w:ascii="Calibri" w:cs="Calibri" w:eastAsia="Calibri" w:hAnsi="Calibri"/>
                <w:color w:val="B06A00"/>
                <w:sz w:val="18"/>
                <w:szCs w:val="18"/>
              </w:rPr>
              <w:t xml:space="preserve">Verify</w:t>
            </w:r>
          </w:p>
        </w:tc>
        <w:tc>
          <w:tcPr>
            <w:tcW w:type="dxa" w:w="40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Needs cross-field arithmetic. Fallback: a calculated percentage field.</w:t>
            </w:r>
          </w:p>
        </w:tc>
      </w:tr>
      <w:tr>
        <w:trPr>
          <w:cantSplit/>
          <w:tblHeader w:val="false"/>
        </w:trPr>
        <w:tc>
          <w:tcPr>
            <w:tcW w:type="dxa" w:w="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9</w:t>
            </w:r>
          </w:p>
        </w:tc>
        <w:tc>
          <w:tcPr>
            <w:tcW w:type="dxa" w:w="2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Lease Expiration Warning</w:t>
            </w:r>
          </w:p>
        </w:tc>
        <w:tc>
          <w:tcPr>
            <w:tcW w:type="dxa" w:w="11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RE</w:t>
            </w:r>
          </w:p>
        </w:tc>
        <w:tc>
          <w:tcPr>
            <w:tcW w:type="dxa" w:w="1250"/>
            <w:tcMar>
              <w:top w:type="dxa" w:w="70"/>
              <w:left w:type="dxa" w:w="100"/>
              <w:bottom w:type="dxa" w:w="70"/>
              <w:right w:type="dxa" w:w="100"/>
            </w:tcMar>
            <w:vAlign w:val="center"/>
          </w:tcPr>
          <w:p>
            <w:pPr>
              <w:spacing w:after="0" w:line="250"/>
            </w:pPr>
            <w:r>
              <w:rPr>
                <w:rFonts w:ascii="Calibri" w:cs="Calibri" w:eastAsia="Calibri" w:hAnsi="Calibri"/>
                <w:color w:val="2C6E49"/>
                <w:sz w:val="18"/>
                <w:szCs w:val="18"/>
              </w:rPr>
              <w:t xml:space="preserve">Confirmed</w:t>
            </w:r>
          </w:p>
        </w:tc>
        <w:tc>
          <w:tcPr>
            <w:tcW w:type="dxa" w:w="40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Standard date comparison.</w:t>
            </w:r>
          </w:p>
        </w:tc>
      </w:tr>
      <w:tr>
        <w:trPr>
          <w:cantSplit/>
          <w:tblHeader w:val="false"/>
        </w:trPr>
        <w:tc>
          <w:tcPr>
            <w:tcW w:type="dxa" w:w="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10</w:t>
            </w:r>
          </w:p>
        </w:tc>
        <w:tc>
          <w:tcPr>
            <w:tcW w:type="dxa" w:w="2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BRRRR Refinance Trigger</w:t>
            </w:r>
          </w:p>
        </w:tc>
        <w:tc>
          <w:tcPr>
            <w:tcW w:type="dxa" w:w="11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RE</w:t>
            </w:r>
          </w:p>
        </w:tc>
        <w:tc>
          <w:tcPr>
            <w:tcW w:type="dxa" w:w="1250"/>
            <w:shd w:fill="F2F5F9" w:color="auto" w:val="clear"/>
            <w:tcMar>
              <w:top w:type="dxa" w:w="70"/>
              <w:left w:type="dxa" w:w="100"/>
              <w:bottom w:type="dxa" w:w="70"/>
              <w:right w:type="dxa" w:w="100"/>
            </w:tcMar>
            <w:vAlign w:val="center"/>
          </w:tcPr>
          <w:p>
            <w:pPr>
              <w:spacing w:after="0" w:line="250"/>
            </w:pPr>
            <w:r>
              <w:rPr>
                <w:rFonts w:ascii="Calibri" w:cs="Calibri" w:eastAsia="Calibri" w:hAnsi="Calibri"/>
                <w:color w:val="2C6E49"/>
                <w:sz w:val="18"/>
                <w:szCs w:val="18"/>
              </w:rPr>
              <w:t xml:space="preserve">Confirmed</w:t>
            </w:r>
          </w:p>
        </w:tc>
        <w:tc>
          <w:tcPr>
            <w:tcW w:type="dxa" w:w="40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Standard date comparison.</w:t>
            </w:r>
          </w:p>
        </w:tc>
      </w:tr>
      <w:tr>
        <w:trPr>
          <w:cantSplit/>
          <w:tblHeader w:val="false"/>
        </w:trPr>
        <w:tc>
          <w:tcPr>
            <w:tcW w:type="dxa" w:w="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11</w:t>
            </w:r>
          </w:p>
        </w:tc>
        <w:tc>
          <w:tcPr>
            <w:tcW w:type="dxa" w:w="2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Balloon Date Warning</w:t>
            </w:r>
          </w:p>
        </w:tc>
        <w:tc>
          <w:tcPr>
            <w:tcW w:type="dxa" w:w="11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RE</w:t>
            </w:r>
          </w:p>
        </w:tc>
        <w:tc>
          <w:tcPr>
            <w:tcW w:type="dxa" w:w="1250"/>
            <w:tcMar>
              <w:top w:type="dxa" w:w="70"/>
              <w:left w:type="dxa" w:w="100"/>
              <w:bottom w:type="dxa" w:w="70"/>
              <w:right w:type="dxa" w:w="100"/>
            </w:tcMar>
            <w:vAlign w:val="center"/>
          </w:tcPr>
          <w:p>
            <w:pPr>
              <w:spacing w:after="0" w:line="250"/>
            </w:pPr>
            <w:r>
              <w:rPr>
                <w:rFonts w:ascii="Calibri" w:cs="Calibri" w:eastAsia="Calibri" w:hAnsi="Calibri"/>
                <w:color w:val="2C6E49"/>
                <w:sz w:val="18"/>
                <w:szCs w:val="18"/>
              </w:rPr>
              <w:t xml:space="preserve">Confirmed</w:t>
            </w:r>
          </w:p>
        </w:tc>
        <w:tc>
          <w:tcPr>
            <w:tcW w:type="dxa" w:w="40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Monthly, 6-month lookahead. The highest-value addition in the audit.</w:t>
            </w:r>
          </w:p>
        </w:tc>
      </w:tr>
      <w:tr>
        <w:trPr>
          <w:cantSplit/>
          <w:tblHeader w:val="false"/>
        </w:trPr>
        <w:tc>
          <w:tcPr>
            <w:tcW w:type="dxa" w:w="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12</w:t>
            </w:r>
          </w:p>
        </w:tc>
        <w:tc>
          <w:tcPr>
            <w:tcW w:type="dxa" w:w="2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Insurance Expiration Warning</w:t>
            </w:r>
          </w:p>
        </w:tc>
        <w:tc>
          <w:tcPr>
            <w:tcW w:type="dxa" w:w="11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RE</w:t>
            </w:r>
          </w:p>
        </w:tc>
        <w:tc>
          <w:tcPr>
            <w:tcW w:type="dxa" w:w="1250"/>
            <w:shd w:fill="F2F5F9" w:color="auto" w:val="clear"/>
            <w:tcMar>
              <w:top w:type="dxa" w:w="70"/>
              <w:left w:type="dxa" w:w="100"/>
              <w:bottom w:type="dxa" w:w="70"/>
              <w:right w:type="dxa" w:w="100"/>
            </w:tcMar>
            <w:vAlign w:val="center"/>
          </w:tcPr>
          <w:p>
            <w:pPr>
              <w:spacing w:after="0" w:line="250"/>
            </w:pPr>
            <w:r>
              <w:rPr>
                <w:rFonts w:ascii="Calibri" w:cs="Calibri" w:eastAsia="Calibri" w:hAnsi="Calibri"/>
                <w:color w:val="2C6E49"/>
                <w:sz w:val="18"/>
                <w:szCs w:val="18"/>
              </w:rPr>
              <w:t xml:space="preserve">Confirmed</w:t>
            </w:r>
          </w:p>
        </w:tc>
        <w:tc>
          <w:tcPr>
            <w:tcW w:type="dxa" w:w="40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Monthly, 60-day lookahead.</w:t>
            </w:r>
          </w:p>
        </w:tc>
      </w:tr>
      <w:tr>
        <w:trPr>
          <w:cantSplit/>
          <w:tblHeader w:val="false"/>
        </w:trPr>
        <w:tc>
          <w:tcPr>
            <w:tcW w:type="dxa" w:w="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13</w:t>
            </w:r>
          </w:p>
        </w:tc>
        <w:tc>
          <w:tcPr>
            <w:tcW w:type="dxa" w:w="2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Nurture Re-engagement</w:t>
            </w:r>
          </w:p>
        </w:tc>
        <w:tc>
          <w:tcPr>
            <w:tcW w:type="dxa" w:w="11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Both</w:t>
            </w:r>
          </w:p>
        </w:tc>
        <w:tc>
          <w:tcPr>
            <w:tcW w:type="dxa" w:w="1250"/>
            <w:tcMar>
              <w:top w:type="dxa" w:w="70"/>
              <w:left w:type="dxa" w:w="100"/>
              <w:bottom w:type="dxa" w:w="70"/>
              <w:right w:type="dxa" w:w="100"/>
            </w:tcMar>
            <w:vAlign w:val="center"/>
          </w:tcPr>
          <w:p>
            <w:pPr>
              <w:spacing w:after="0" w:line="250"/>
            </w:pPr>
            <w:r>
              <w:rPr>
                <w:rFonts w:ascii="Calibri" w:cs="Calibri" w:eastAsia="Calibri" w:hAnsi="Calibri"/>
                <w:color w:val="2C6E49"/>
                <w:sz w:val="18"/>
                <w:szCs w:val="18"/>
              </w:rPr>
              <w:t xml:space="preserve">Confirmed</w:t>
            </w:r>
          </w:p>
        </w:tc>
        <w:tc>
          <w:tcPr>
            <w:tcW w:type="dxa" w:w="40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Weekly, where Next Follow-Up is due.</w:t>
            </w:r>
          </w:p>
        </w:tc>
      </w:tr>
      <w:tr>
        <w:trPr>
          <w:cantSplit/>
          <w:tblHeader w:val="false"/>
        </w:trPr>
        <w:tc>
          <w:tcPr>
            <w:tcW w:type="dxa" w:w="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14</w:t>
            </w:r>
          </w:p>
        </w:tc>
        <w:tc>
          <w:tcPr>
            <w:tcW w:type="dxa" w:w="2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Vehicle Compliance Warning</w:t>
            </w:r>
          </w:p>
        </w:tc>
        <w:tc>
          <w:tcPr>
            <w:tcW w:type="dxa" w:w="1100"/>
            <w:shd w:fill="F2F5F9" w:color="auto" w:val="clear"/>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Auto</w:t>
            </w:r>
          </w:p>
        </w:tc>
        <w:tc>
          <w:tcPr>
            <w:tcW w:type="dxa" w:w="1250"/>
            <w:shd w:fill="F2F5F9" w:color="auto" w:val="clear"/>
            <w:tcMar>
              <w:top w:type="dxa" w:w="70"/>
              <w:left w:type="dxa" w:w="100"/>
              <w:bottom w:type="dxa" w:w="70"/>
              <w:right w:type="dxa" w:w="100"/>
            </w:tcMar>
            <w:vAlign w:val="center"/>
          </w:tcPr>
          <w:p>
            <w:pPr>
              <w:spacing w:after="0" w:line="250"/>
            </w:pPr>
            <w:r>
              <w:rPr>
                <w:rFonts w:ascii="Calibri" w:cs="Calibri" w:eastAsia="Calibri" w:hAnsi="Calibri"/>
                <w:color w:val="2C6E49"/>
                <w:sz w:val="18"/>
                <w:szCs w:val="18"/>
              </w:rPr>
              <w:t xml:space="preserve">Confirmed</w:t>
            </w:r>
          </w:p>
        </w:tc>
        <w:tc>
          <w:tcPr>
            <w:tcW w:type="dxa" w:w="4060"/>
            <w:shd w:fill="F2F5F9" w:color="auto" w:val="clear"/>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NEW — monthly, 60-day lookahead across registration, insurance and inspection dates. Mirrors CarHawk checkComplianceAlerts().</w:t>
            </w:r>
          </w:p>
        </w:tc>
      </w:tr>
      <w:tr>
        <w:trPr>
          <w:cantSplit/>
          <w:tblHeader w:val="false"/>
        </w:trPr>
        <w:tc>
          <w:tcPr>
            <w:tcW w:type="dxa" w:w="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15</w:t>
            </w:r>
          </w:p>
        </w:tc>
        <w:tc>
          <w:tcPr>
            <w:tcW w:type="dxa" w:w="2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 Closed — Vehicle Hand-off</w:t>
            </w:r>
          </w:p>
        </w:tc>
        <w:tc>
          <w:tcPr>
            <w:tcW w:type="dxa" w:w="1100"/>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Auto</w:t>
            </w:r>
          </w:p>
        </w:tc>
        <w:tc>
          <w:tcPr>
            <w:tcW w:type="dxa" w:w="1250"/>
            <w:tcMar>
              <w:top w:type="dxa" w:w="70"/>
              <w:left w:type="dxa" w:w="100"/>
              <w:bottom w:type="dxa" w:w="70"/>
              <w:right w:type="dxa" w:w="100"/>
            </w:tcMar>
            <w:vAlign w:val="center"/>
          </w:tcPr>
          <w:p>
            <w:pPr>
              <w:spacing w:after="0" w:line="250"/>
            </w:pPr>
            <w:r>
              <w:rPr>
                <w:rFonts w:ascii="Calibri" w:cs="Calibri" w:eastAsia="Calibri" w:hAnsi="Calibri"/>
                <w:color w:val="A32E2E"/>
                <w:sz w:val="18"/>
                <w:szCs w:val="18"/>
              </w:rPr>
              <w:t xml:space="preserve">Redesign</w:t>
            </w:r>
          </w:p>
        </w:tc>
        <w:tc>
          <w:tcPr>
            <w:tcW w:type="dxa" w:w="4060"/>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NEW — on Closed with Flip Strategy = Turo Hold, create or activate the Vehicle record and set Asset Status. Same auto-update requirement as UTron 7.</w:t>
            </w:r>
          </w:p>
        </w:tc>
      </w:tr>
      <w:tr>
        <w:trPr>
          <w:cantSplit/>
          <w:tblHeader w:val="false"/>
        </w:trPr>
        <w:tc>
          <w:tcPr>
            <w:tcW w:type="dxa" w:w="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16</w:t>
            </w:r>
          </w:p>
        </w:tc>
        <w:tc>
          <w:tcPr>
            <w:tcW w:type="dxa" w:w="2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Aging Inventory Alert</w:t>
            </w:r>
          </w:p>
        </w:tc>
        <w:tc>
          <w:tcPr>
            <w:tcW w:type="dxa" w:w="1100"/>
            <w:shd w:fill="F2F5F9" w:color="auto" w:val="clear"/>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Auto</w:t>
            </w:r>
          </w:p>
        </w:tc>
        <w:tc>
          <w:tcPr>
            <w:tcW w:type="dxa" w:w="1250"/>
            <w:shd w:fill="F2F5F9" w:color="auto" w:val="clear"/>
            <w:tcMar>
              <w:top w:type="dxa" w:w="70"/>
              <w:left w:type="dxa" w:w="100"/>
              <w:bottom w:type="dxa" w:w="70"/>
              <w:right w:type="dxa" w:w="100"/>
            </w:tcMar>
            <w:vAlign w:val="center"/>
          </w:tcPr>
          <w:p>
            <w:pPr>
              <w:spacing w:after="0" w:line="250"/>
            </w:pPr>
            <w:r>
              <w:rPr>
                <w:rFonts w:ascii="Calibri" w:cs="Calibri" w:eastAsia="Calibri" w:hAnsi="Calibri"/>
                <w:color w:val="2C6E49"/>
                <w:sz w:val="18"/>
                <w:szCs w:val="18"/>
              </w:rPr>
              <w:t xml:space="preserve">Confirmed</w:t>
            </w:r>
          </w:p>
        </w:tc>
        <w:tc>
          <w:tcPr>
            <w:tcW w:type="dxa" w:w="4060"/>
            <w:shd w:fill="F2F5F9" w:color="auto" w:val="clear"/>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NEW — weekly, where Asset Status = Listed for Sale and Days Held exceeds threshold. Held vehicles depreciate while they sit.</w:t>
            </w:r>
          </w:p>
        </w:tc>
      </w:tr>
    </w:tbl>
    <w:p>
      <w:pPr>
        <w:spacing w:after="120"/>
      </w:pPr>
    </w:p>
    <w:p>
      <w:pPr>
        <w:spacing w:after="120" w:line="276"/>
      </w:pPr>
      <w:r>
        <w:rPr>
          <w:rFonts w:ascii="Calibri" w:cs="Calibri" w:eastAsia="Calibri" w:hAnsi="Calibri"/>
          <w:b/>
          <w:bCs/>
          <w:color w:val="222222"/>
          <w:sz w:val="21"/>
          <w:szCs w:val="21"/>
        </w:rPr>
        <w:t xml:space="preserve">Summary: 8 confirmed, 5 requiring verification, 2 requiring redesign, 1 accepted as limited.</w:t>
      </w:r>
    </w:p>
    <w:p>
      <w:pPr>
        <w:pStyle w:val="Heading1"/>
        <w:keepNext/>
        <w:pBdr>
          <w:bottom w:val="single" w:color="C8CFD9" w:sz="8" w:space="6"/>
        </w:pBdr>
        <w:spacing w:after="160" w:before="360"/>
      </w:pPr>
      <w:r>
        <w:rPr>
          <w:rFonts w:ascii="Calibri" w:cs="Calibri" w:eastAsia="Calibri" w:hAnsi="Calibri"/>
          <w:b/>
          <w:bCs/>
          <w:color w:val="1F3352"/>
          <w:sz w:val="30"/>
          <w:szCs w:val="30"/>
        </w:rPr>
        <w:t xml:space="preserve">K. Saved Filters and Dashboards</w:t>
      </w:r>
    </w:p>
    <w:p>
      <w:pPr>
        <w:pStyle w:val="Heading2"/>
        <w:keepNext/>
        <w:spacing w:after="110" w:before="260"/>
      </w:pPr>
      <w:r>
        <w:rPr>
          <w:rFonts w:ascii="Calibri" w:cs="Calibri" w:eastAsia="Calibri" w:hAnsi="Calibri"/>
          <w:b/>
          <w:bCs/>
          <w:color w:val="1F3352"/>
          <w:sz w:val="24"/>
          <w:szCs w:val="24"/>
        </w:rPr>
        <w:t xml:space="preserve">Filters added for the unified design</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3200"/>
        <w:gridCol w:w="1500"/>
        <w:gridCol w:w="4660"/>
      </w:tblGrid>
      <w:tr>
        <w:trPr>
          <w:cantSplit/>
          <w:tblHeader/>
        </w:trPr>
        <w:tc>
          <w:tcPr>
            <w:tcW w:type="dxa" w:w="32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Filter</w:t>
            </w:r>
          </w:p>
        </w:tc>
        <w:tc>
          <w:tcPr>
            <w:tcW w:type="dxa" w:w="15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Table</w:t>
            </w:r>
          </w:p>
        </w:tc>
        <w:tc>
          <w:tcPr>
            <w:tcW w:type="dxa" w:w="46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Purpose</w:t>
            </w:r>
          </w:p>
        </w:tc>
      </w:tr>
      <w:tr>
        <w:trPr>
          <w:cantSplit/>
          <w:tblHeader w:val="false"/>
        </w:trPr>
        <w:tc>
          <w:tcPr>
            <w:tcW w:type="dxa" w:w="32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Balloon Dates Next 12 Months</w:t>
            </w:r>
          </w:p>
        </w:tc>
        <w:tc>
          <w:tcPr>
            <w:tcW w:type="dxa" w:w="1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Properties</w:t>
            </w:r>
          </w:p>
        </w:tc>
        <w:tc>
          <w:tcPr>
            <w:tcW w:type="dxa" w:w="46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Creative finance default prevention</w:t>
            </w:r>
          </w:p>
        </w:tc>
      </w:tr>
      <w:tr>
        <w:trPr>
          <w:cantSplit/>
          <w:tblHeader w:val="false"/>
        </w:trPr>
        <w:tc>
          <w:tcPr>
            <w:tcW w:type="dxa" w:w="32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Insurance Expiring Next 60 Days</w:t>
            </w:r>
          </w:p>
        </w:tc>
        <w:tc>
          <w:tcPr>
            <w:tcW w:type="dxa" w:w="1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Properties</w:t>
            </w:r>
          </w:p>
        </w:tc>
        <w:tc>
          <w:tcPr>
            <w:tcW w:type="dxa" w:w="46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Coverage lapse prevention</w:t>
            </w:r>
          </w:p>
        </w:tc>
      </w:tr>
      <w:tr>
        <w:trPr>
          <w:cantSplit/>
          <w:tblHeader w:val="false"/>
        </w:trPr>
        <w:tc>
          <w:tcPr>
            <w:tcW w:type="dxa" w:w="32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Nurture — Follow-Up Due This Month</w:t>
            </w:r>
          </w:p>
        </w:tc>
        <w:tc>
          <w:tcPr>
            <w:tcW w:type="dxa" w:w="1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Deals</w:t>
            </w:r>
          </w:p>
        </w:tc>
        <w:tc>
          <w:tcPr>
            <w:tcW w:type="dxa" w:w="46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Warm lead re-engagement</w:t>
            </w:r>
          </w:p>
        </w:tc>
      </w:tr>
      <w:tr>
        <w:trPr>
          <w:cantSplit/>
          <w:tblHeader w:val="false"/>
        </w:trPr>
        <w:tc>
          <w:tcPr>
            <w:tcW w:type="dxa" w:w="32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Under Contract — Deadline This Week</w:t>
            </w:r>
          </w:p>
        </w:tc>
        <w:tc>
          <w:tcPr>
            <w:tcW w:type="dxa" w:w="1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Deals</w:t>
            </w:r>
          </w:p>
        </w:tc>
        <w:tc>
          <w:tcPr>
            <w:tcW w:type="dxa" w:w="46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Deadline visibility</w:t>
            </w:r>
          </w:p>
        </w:tc>
      </w:tr>
      <w:tr>
        <w:trPr>
          <w:cantSplit/>
          <w:tblHeader w:val="false"/>
        </w:trPr>
        <w:tc>
          <w:tcPr>
            <w:tcW w:type="dxa" w:w="32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Auto Deals — Active Pipeline</w:t>
            </w:r>
          </w:p>
        </w:tc>
        <w:tc>
          <w:tcPr>
            <w:tcW w:type="dxa" w:w="1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Deals</w:t>
            </w:r>
          </w:p>
        </w:tc>
        <w:tc>
          <w:tcPr>
            <w:tcW w:type="dxa" w:w="4660"/>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NEW — Vertical = Auto, stage not in Closed/Dead</w:t>
            </w:r>
          </w:p>
        </w:tc>
      </w:tr>
      <w:tr>
        <w:trPr>
          <w:cantSplit/>
          <w:tblHeader w:val="false"/>
        </w:trPr>
        <w:tc>
          <w:tcPr>
            <w:tcW w:type="dxa" w:w="32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RE Deals — Active Pipeline</w:t>
            </w:r>
          </w:p>
        </w:tc>
        <w:tc>
          <w:tcPr>
            <w:tcW w:type="dxa" w:w="1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Deals</w:t>
            </w:r>
          </w:p>
        </w:tc>
        <w:tc>
          <w:tcPr>
            <w:tcW w:type="dxa" w:w="4660"/>
            <w:shd w:fill="F2F5F9" w:color="auto" w:val="clear"/>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NEW — Vertical = Real Estate, stage not in Closed/Dead</w:t>
            </w:r>
          </w:p>
        </w:tc>
      </w:tr>
      <w:tr>
        <w:trPr>
          <w:cantSplit/>
          <w:tblHeader w:val="false"/>
        </w:trPr>
        <w:tc>
          <w:tcPr>
            <w:tcW w:type="dxa" w:w="32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Vehicle Compliance Due 60 Days</w:t>
            </w:r>
          </w:p>
        </w:tc>
        <w:tc>
          <w:tcPr>
            <w:tcW w:type="dxa" w:w="1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Vehicles</w:t>
            </w:r>
          </w:p>
        </w:tc>
        <w:tc>
          <w:tcPr>
            <w:tcW w:type="dxa" w:w="4660"/>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NEW — any of registration, insurance or inspection expiring</w:t>
            </w:r>
          </w:p>
        </w:tc>
      </w:tr>
      <w:tr>
        <w:trPr>
          <w:cantSplit/>
          <w:tblHeader w:val="false"/>
        </w:trPr>
        <w:tc>
          <w:tcPr>
            <w:tcW w:type="dxa" w:w="32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Turo Fleet — Performing</w:t>
            </w:r>
          </w:p>
        </w:tc>
        <w:tc>
          <w:tcPr>
            <w:tcW w:type="dxa" w:w="15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Vehicles</w:t>
            </w:r>
          </w:p>
        </w:tc>
        <w:tc>
          <w:tcPr>
            <w:tcW w:type="dxa" w:w="4660"/>
            <w:shd w:fill="F2F5F9" w:color="auto" w:val="clear"/>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NEW — Asset Status = Performing — Turo</w:t>
            </w:r>
          </w:p>
        </w:tc>
      </w:tr>
      <w:tr>
        <w:trPr>
          <w:cantSplit/>
          <w:tblHeader w:val="false"/>
        </w:trPr>
        <w:tc>
          <w:tcPr>
            <w:tcW w:type="dxa" w:w="32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Aging Inventory</w:t>
            </w:r>
          </w:p>
        </w:tc>
        <w:tc>
          <w:tcPr>
            <w:tcW w:type="dxa" w:w="15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Vehicles</w:t>
            </w:r>
          </w:p>
        </w:tc>
        <w:tc>
          <w:tcPr>
            <w:tcW w:type="dxa" w:w="4660"/>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NEW — Listed for Sale beyond the days-held threshold</w:t>
            </w:r>
          </w:p>
        </w:tc>
      </w:tr>
    </w:tbl>
    <w:p>
      <w:pPr>
        <w:spacing w:after="120" w:line="276"/>
      </w:pPr>
      <w:r>
        <w:rPr>
          <w:rFonts w:ascii="Calibri" w:cs="Calibri" w:eastAsia="Calibri" w:hAnsi="Calibri"/>
          <w:b/>
          <w:bCs/>
          <w:color w:val="222222"/>
          <w:sz w:val="21"/>
          <w:szCs w:val="21"/>
        </w:rPr>
        <w:t xml:space="preserve">Total: 31 filters carried forward plus 5 new = 36.</w:t>
      </w:r>
    </w:p>
    <w:p>
      <w:pPr>
        <w:spacing w:after="120"/>
      </w:pPr>
    </w:p>
    <w:p>
      <w:pPr>
        <w:pStyle w:val="Heading2"/>
        <w:keepNext/>
        <w:spacing w:after="110" w:before="260"/>
      </w:pPr>
      <w:r>
        <w:rPr>
          <w:rFonts w:ascii="Calibri" w:cs="Calibri" w:eastAsia="Calibri" w:hAnsi="Calibri"/>
          <w:b/>
          <w:bCs/>
          <w:color w:val="1F3352"/>
          <w:sz w:val="24"/>
          <w:szCs w:val="24"/>
        </w:rPr>
        <w:t xml:space="preserve">Dashboards</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2600"/>
        <w:gridCol w:w="6760"/>
      </w:tblGrid>
      <w:tr>
        <w:trPr>
          <w:cantSplit/>
          <w:tblHeader/>
        </w:trPr>
        <w:tc>
          <w:tcPr>
            <w:tcW w:type="dxa" w:w="26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Dashboard</w:t>
            </w:r>
          </w:p>
        </w:tc>
        <w:tc>
          <w:tcPr>
            <w:tcW w:type="dxa" w:w="67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Contents</w:t>
            </w:r>
          </w:p>
        </w:tc>
      </w:tr>
      <w:tr>
        <w:trPr>
          <w:cantSplit/>
          <w:tblHeader w:val="false"/>
        </w:trPr>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 Acquisition Command Center</w:t>
            </w:r>
          </w:p>
        </w:tc>
        <w:tc>
          <w:tcPr>
            <w:tcW w:type="dxa" w:w="67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Active deals by stage, split by Vertical. This week's follow-ups. Deals under contract with approaching deadlines. Hot leads requiring action. Monthly closed count and value.</w:t>
            </w:r>
          </w:p>
        </w:tc>
      </w:tr>
      <w:tr>
        <w:trPr>
          <w:cantSplit/>
          <w:tblHeader w:val="false"/>
        </w:trPr>
        <w:tc>
          <w:tcPr>
            <w:tcW w:type="dxa" w:w="26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2. Portfolio Performance</w:t>
            </w:r>
          </w:p>
        </w:tc>
        <w:tc>
          <w:tcPr>
            <w:tcW w:type="dxa" w:w="67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All performing assets across both tables with monthly cash flow. Properties in rehab with budget status. Leases expiring in 90 days. Creative finance notes with upcoming balloon dates. Turo fleet net by vehicle. Total portfolio monthly cash flow.</w:t>
            </w:r>
          </w:p>
        </w:tc>
      </w:tr>
      <w:tr>
        <w:trPr>
          <w:cantSplit/>
          <w:tblHeader w:val="false"/>
        </w:trPr>
        <w:tc>
          <w:tcPr>
            <w:tcW w:type="dxa" w:w="26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3. Business Health (monthly review)</w:t>
            </w:r>
          </w:p>
        </w:tc>
        <w:tc>
          <w:tcPr>
            <w:tcW w:type="dxa" w:w="67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Lead-to-close conversion trend by vertical. Deals closed by strategy. Revenue by strategy. Dead deal reasons. Lead source effectiveness.</w:t>
            </w:r>
          </w:p>
        </w:tc>
      </w:tr>
    </w:tbl>
    <w:p>
      <w:pPr>
        <w:spacing w:after="120"/>
      </w:pPr>
    </w:p>
    <w:p>
      <w:pPr>
        <w:pStyle w:val="Heading2"/>
        <w:keepNext/>
        <w:spacing w:after="110" w:before="260"/>
      </w:pPr>
      <w:r>
        <w:rPr>
          <w:rFonts w:ascii="Calibri" w:cs="Calibri" w:eastAsia="Calibri" w:hAnsi="Calibri"/>
          <w:b/>
          <w:bCs/>
          <w:color w:val="1F3352"/>
          <w:sz w:val="24"/>
          <w:szCs w:val="24"/>
        </w:rPr>
        <w:t xml:space="preserve">KPIs the field set now supports</w:t>
      </w:r>
    </w:p>
    <w:p>
      <w:pPr>
        <w:pStyle w:val="ListParagraph"/>
        <w:numPr>
          <w:ilvl w:val="0"/>
          <w:numId w:val="2"/>
        </w:numPr>
        <w:spacing w:after="70" w:line="276"/>
      </w:pPr>
      <w:r>
        <w:rPr>
          <w:rFonts w:ascii="Calibri" w:cs="Calibri" w:eastAsia="Calibri" w:hAnsi="Calibri"/>
          <w:sz w:val="21"/>
          <w:szCs w:val="21"/>
        </w:rPr>
        <w:t xml:space="preserve">Lead-to-close conversion, overall and split by vertical and by strategy</w:t>
      </w:r>
    </w:p>
    <w:p>
      <w:pPr>
        <w:pStyle w:val="ListParagraph"/>
        <w:numPr>
          <w:ilvl w:val="0"/>
          <w:numId w:val="2"/>
        </w:numPr>
        <w:spacing w:after="70" w:line="276"/>
      </w:pPr>
      <w:r>
        <w:rPr>
          <w:rFonts w:ascii="Calibri" w:cs="Calibri" w:eastAsia="Calibri" w:hAnsi="Calibri"/>
          <w:sz w:val="21"/>
          <w:szCs w:val="21"/>
        </w:rPr>
        <w:t xml:space="preserve">Deal velocity — closes per month, trended</w:t>
      </w:r>
    </w:p>
    <w:p>
      <w:pPr>
        <w:pStyle w:val="ListParagraph"/>
        <w:numPr>
          <w:ilvl w:val="0"/>
          <w:numId w:val="2"/>
        </w:numPr>
        <w:spacing w:after="70" w:line="276"/>
      </w:pPr>
      <w:r>
        <w:rPr>
          <w:rFonts w:ascii="Calibri" w:cs="Calibri" w:eastAsia="Calibri" w:hAnsi="Calibri"/>
          <w:sz w:val="21"/>
          <w:szCs w:val="21"/>
        </w:rPr>
        <w:t xml:space="preserve">Dead deal analysis by reason and by stage — newly possible once Dead Reason exists</w:t>
      </w:r>
    </w:p>
    <w:p>
      <w:pPr>
        <w:pStyle w:val="ListParagraph"/>
        <w:numPr>
          <w:ilvl w:val="0"/>
          <w:numId w:val="2"/>
        </w:numPr>
        <w:spacing w:after="70" w:line="276"/>
      </w:pPr>
      <w:r>
        <w:rPr>
          <w:rFonts w:ascii="Calibri" w:cs="Calibri" w:eastAsia="Calibri" w:hAnsi="Calibri"/>
          <w:sz w:val="21"/>
          <w:szCs w:val="21"/>
        </w:rPr>
        <w:t xml:space="preserve">Portfolio cash-on-cash across both asset tables</w:t>
      </w:r>
    </w:p>
    <w:p>
      <w:pPr>
        <w:pStyle w:val="ListParagraph"/>
        <w:numPr>
          <w:ilvl w:val="0"/>
          <w:numId w:val="2"/>
        </w:numPr>
        <w:spacing w:after="70" w:line="276"/>
      </w:pPr>
      <w:r>
        <w:rPr>
          <w:rFonts w:ascii="Calibri" w:cs="Calibri" w:eastAsia="Calibri" w:hAnsi="Calibri"/>
          <w:sz w:val="21"/>
          <w:szCs w:val="21"/>
        </w:rPr>
        <w:t xml:space="preserve">Rehab and reconditioning budget accuracy</w:t>
      </w:r>
    </w:p>
    <w:p>
      <w:pPr>
        <w:pStyle w:val="ListParagraph"/>
        <w:numPr>
          <w:ilvl w:val="0"/>
          <w:numId w:val="2"/>
        </w:numPr>
        <w:spacing w:after="70" w:line="276"/>
      </w:pPr>
      <w:r>
        <w:rPr>
          <w:rFonts w:ascii="Calibri" w:cs="Calibri" w:eastAsia="Calibri" w:hAnsi="Calibri"/>
          <w:sz w:val="21"/>
          <w:szCs w:val="21"/>
        </w:rPr>
        <w:t xml:space="preserve">Buyer reliability — Deals Committed against Deals Closed</w:t>
      </w:r>
    </w:p>
    <w:p>
      <w:pPr>
        <w:pStyle w:val="ListParagraph"/>
        <w:numPr>
          <w:ilvl w:val="0"/>
          <w:numId w:val="2"/>
        </w:numPr>
        <w:spacing w:after="70" w:line="276"/>
      </w:pPr>
      <w:r>
        <w:rPr>
          <w:rFonts w:ascii="Calibri" w:cs="Calibri" w:eastAsia="Calibri" w:hAnsi="Calibri"/>
          <w:sz w:val="21"/>
          <w:szCs w:val="21"/>
        </w:rPr>
        <w:t xml:space="preserve">Asset hand-off latency — Closed date against Asset Hand-off Date, which surfaces a decaying hand-off before the asset tables go stale</w:t>
      </w:r>
    </w:p>
    <w:p>
      <w:pPr>
        <w:spacing w:after="120"/>
      </w:pPr>
    </w:p>
    <w:p>
      <w:pPr>
        <w:spacing w:after="120" w:line="276"/>
      </w:pPr>
      <w:r>
        <w:rPr>
          <w:rFonts w:ascii="Calibri" w:cs="Calibri" w:eastAsia="Calibri" w:hAnsi="Calibri"/>
          <w:i/>
          <w:iCs/>
          <w:color w:val="4A5568"/>
          <w:sz w:val="21"/>
          <w:szCs w:val="21"/>
        </w:rPr>
        <w:t xml:space="preserve">Average days per stage and wholesale assignment speed both require stage-change timestamps, which the design does not track. CompanyHub may log these internally — confirm in Section N.</w:t>
      </w:r>
    </w:p>
    <w:p>
      <w:pPr>
        <w:pStyle w:val="Heading1"/>
        <w:keepNext/>
        <w:pBdr>
          <w:bottom w:val="single" w:color="C8CFD9" w:sz="8" w:space="6"/>
        </w:pBdr>
        <w:spacing w:after="160" w:before="360"/>
      </w:pPr>
      <w:r>
        <w:rPr>
          <w:rFonts w:ascii="Calibri" w:cs="Calibri" w:eastAsia="Calibri" w:hAnsi="Calibri"/>
          <w:b/>
          <w:bCs/>
          <w:color w:val="1F3352"/>
          <w:sz w:val="30"/>
          <w:szCs w:val="30"/>
        </w:rPr>
        <w:t xml:space="preserve">N. Open Items Requiring Verification</w:t>
      </w:r>
    </w:p>
    <w:p>
      <w:pPr>
        <w:spacing w:after="120" w:line="276"/>
      </w:pPr>
      <w:r>
        <w:rPr>
          <w:rFonts w:ascii="Calibri" w:cs="Calibri" w:eastAsia="Calibri" w:hAnsi="Calibri"/>
          <w:color w:val="222222"/>
          <w:sz w:val="21"/>
          <w:szCs w:val="21"/>
        </w:rPr>
        <w:t xml:space="preserve">None of the following can be resolved from the codebase or the source documents. Each needs an answer from CompanyHub support or a decision from the business before go-live.</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450"/>
        <w:gridCol w:w="4400"/>
        <w:gridCol w:w="4510"/>
      </w:tblGrid>
      <w:tr>
        <w:trPr>
          <w:cantSplit/>
          <w:tblHeader/>
        </w:trPr>
        <w:tc>
          <w:tcPr>
            <w:tcW w:type="dxa" w:w="45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w:t>
            </w:r>
          </w:p>
        </w:tc>
        <w:tc>
          <w:tcPr>
            <w:tcW w:type="dxa" w:w="44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Question</w:t>
            </w:r>
          </w:p>
        </w:tc>
        <w:tc>
          <w:tcPr>
            <w:tcW w:type="dxa" w:w="451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Blocks</w:t>
            </w:r>
          </w:p>
        </w:tc>
      </w:tr>
      <w:tr>
        <w:trPr>
          <w:cantSplit/>
          <w:tblHeader w:val="false"/>
        </w:trPr>
        <w:tc>
          <w:tcPr>
            <w:tcW w:type="dxa" w:w="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w:t>
            </w:r>
          </w:p>
        </w:tc>
        <w:tc>
          <w:tcPr>
            <w:tcW w:type="dxa" w:w="4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Can a UTron write to a field on a linked record?</w:t>
            </w:r>
          </w:p>
        </w:tc>
        <w:tc>
          <w:tcPr>
            <w:tcW w:type="dxa" w:w="451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UTrons 7 and 15 — both asset hand-offs. This is the single most consequential answer in this document.</w:t>
            </w:r>
          </w:p>
        </w:tc>
      </w:tr>
      <w:tr>
        <w:trPr>
          <w:cantSplit/>
          <w:tblHeader w:val="false"/>
        </w:trPr>
        <w:tc>
          <w:tcPr>
            <w:tcW w:type="dxa" w:w="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2</w:t>
            </w:r>
          </w:p>
        </w:tc>
        <w:tc>
          <w:tcPr>
            <w:tcW w:type="dxa" w:w="4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What does CSV import do with an unrecognized picklist value — reject, default, or create?</w:t>
            </w:r>
          </w:p>
        </w:tc>
        <w:tc>
          <w:tcPr>
            <w:tcW w:type="dxa" w:w="451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Section D. Determines whether the stage mismatch fails loudly or silently.</w:t>
            </w:r>
          </w:p>
        </w:tc>
      </w:tr>
      <w:tr>
        <w:trPr>
          <w:cantSplit/>
          <w:tblHeader w:val="false"/>
        </w:trPr>
        <w:tc>
          <w:tcPr>
            <w:tcW w:type="dxa" w:w="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3</w:t>
            </w:r>
          </w:p>
        </w:tc>
        <w:tc>
          <w:tcPr>
            <w:tcW w:type="dxa" w:w="4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Do UTron conditions expose stage-change timestamps?</w:t>
            </w:r>
          </w:p>
        </w:tc>
        <w:tc>
          <w:tcPr>
            <w:tcW w:type="dxa" w:w="451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UTron 2, and the average-days-per-stage KPI.</w:t>
            </w:r>
          </w:p>
        </w:tc>
      </w:tr>
      <w:tr>
        <w:trPr>
          <w:cantSplit/>
          <w:tblHeader w:val="false"/>
        </w:trPr>
        <w:tc>
          <w:tcPr>
            <w:tcW w:type="dxa" w:w="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4</w:t>
            </w:r>
          </w:p>
        </w:tc>
        <w:tc>
          <w:tcPr>
            <w:tcW w:type="dxa" w:w="4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Do email templates render lists of records?</w:t>
            </w:r>
          </w:p>
        </w:tc>
        <w:tc>
          <w:tcPr>
            <w:tcW w:type="dxa" w:w="451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UTron 3.</w:t>
            </w:r>
          </w:p>
        </w:tc>
      </w:tr>
      <w:tr>
        <w:trPr>
          <w:cantSplit/>
          <w:tblHeader w:val="false"/>
        </w:trPr>
        <w:tc>
          <w:tcPr>
            <w:tcW w:type="dxa" w:w="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5</w:t>
            </w:r>
          </w:p>
        </w:tc>
        <w:tc>
          <w:tcPr>
            <w:tcW w:type="dxa" w:w="4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Does the platform support date-relative scheduled actions from one trigger?</w:t>
            </w:r>
          </w:p>
        </w:tc>
        <w:tc>
          <w:tcPr>
            <w:tcW w:type="dxa" w:w="451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UTron 4.</w:t>
            </w:r>
          </w:p>
        </w:tc>
      </w:tr>
      <w:tr>
        <w:trPr>
          <w:cantSplit/>
          <w:tblHeader w:val="false"/>
        </w:trPr>
        <w:tc>
          <w:tcPr>
            <w:tcW w:type="dxa" w:w="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6</w:t>
            </w:r>
          </w:p>
        </w:tc>
        <w:tc>
          <w:tcPr>
            <w:tcW w:type="dxa" w:w="4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Do trigger conditions support cross-field arithmetic?</w:t>
            </w:r>
          </w:p>
        </w:tc>
        <w:tc>
          <w:tcPr>
            <w:tcW w:type="dxa" w:w="451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UTron 8.</w:t>
            </w:r>
          </w:p>
        </w:tc>
      </w:tr>
      <w:tr>
        <w:trPr>
          <w:cantSplit/>
          <w:tblHeader w:val="false"/>
        </w:trPr>
        <w:tc>
          <w:tcPr>
            <w:tcW w:type="dxa" w:w="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7</w:t>
            </w:r>
          </w:p>
        </w:tc>
        <w:tc>
          <w:tcPr>
            <w:tcW w:type="dxa" w:w="4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Are calculated fields supported, and can automations trigger on them?</w:t>
            </w:r>
          </w:p>
        </w:tc>
        <w:tc>
          <w:tcPr>
            <w:tcW w:type="dxa" w:w="451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Several fallbacks depend on this.</w:t>
            </w:r>
          </w:p>
        </w:tc>
      </w:tr>
      <w:tr>
        <w:trPr>
          <w:cantSplit/>
          <w:tblHeader w:val="false"/>
        </w:trPr>
        <w:tc>
          <w:tcPr>
            <w:tcW w:type="dxa" w:w="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8</w:t>
            </w:r>
          </w:p>
        </w:tc>
        <w:tc>
          <w:tcPr>
            <w:tcW w:type="dxa" w:w="4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Is there a per-table field limit that 60 fields on Deal would approach?</w:t>
            </w:r>
          </w:p>
        </w:tc>
        <w:tc>
          <w:tcPr>
            <w:tcW w:type="dxa" w:w="451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 table sizing.</w:t>
            </w:r>
          </w:p>
        </w:tc>
      </w:tr>
      <w:tr>
        <w:trPr>
          <w:cantSplit/>
          <w:tblHeader w:val="false"/>
        </w:trPr>
        <w:tc>
          <w:tcPr>
            <w:tcW w:type="dxa" w:w="45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9</w:t>
            </w:r>
          </w:p>
        </w:tc>
        <w:tc>
          <w:tcPr>
            <w:tcW w:type="dxa" w:w="44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Business decision: what is the aging-inventory threshold in days?</w:t>
            </w:r>
          </w:p>
        </w:tc>
        <w:tc>
          <w:tcPr>
            <w:tcW w:type="dxa" w:w="451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UTron 16.</w:t>
            </w:r>
          </w:p>
        </w:tc>
      </w:tr>
      <w:tr>
        <w:trPr>
          <w:cantSplit/>
          <w:tblHeader w:val="false"/>
        </w:trPr>
        <w:tc>
          <w:tcPr>
            <w:tcW w:type="dxa" w:w="45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10</w:t>
            </w:r>
          </w:p>
        </w:tc>
        <w:tc>
          <w:tcPr>
            <w:tcW w:type="dxa" w:w="44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Business decision: does CarHawk get its own CompanyHub credential, or does export stay CSV-to-Drive for v1?</w:t>
            </w:r>
          </w:p>
        </w:tc>
        <w:tc>
          <w:tcPr>
            <w:tcW w:type="dxa" w:w="451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Whether Section D's fix ships with an API sync or a corrected CSV.</w:t>
            </w:r>
          </w:p>
        </w:tc>
      </w:tr>
    </w:tbl>
    <w:p>
      <w:pPr>
        <w:pStyle w:val="Heading1"/>
        <w:keepNext/>
        <w:pBdr>
          <w:bottom w:val="single" w:color="C8CFD9" w:sz="8" w:space="6"/>
        </w:pBdr>
        <w:spacing w:after="160" w:before="360"/>
      </w:pPr>
      <w:r>
        <w:rPr>
          <w:rFonts w:ascii="Calibri" w:cs="Calibri" w:eastAsia="Calibri" w:hAnsi="Calibri"/>
          <w:b/>
          <w:bCs/>
          <w:color w:val="1F3352"/>
          <w:sz w:val="30"/>
          <w:szCs w:val="30"/>
        </w:rPr>
        <w:t xml:space="preserve">O. Implementation Roadmap</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1300"/>
        <w:gridCol w:w="3200"/>
        <w:gridCol w:w="4860"/>
      </w:tblGrid>
      <w:tr>
        <w:trPr>
          <w:cantSplit/>
          <w:tblHeader/>
        </w:trPr>
        <w:tc>
          <w:tcPr>
            <w:tcW w:type="dxa" w:w="13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Phase</w:t>
            </w:r>
          </w:p>
        </w:tc>
        <w:tc>
          <w:tcPr>
            <w:tcW w:type="dxa" w:w="32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Work</w:t>
            </w:r>
          </w:p>
        </w:tc>
        <w:tc>
          <w:tcPr>
            <w:tcW w:type="dxa" w:w="48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Notes</w:t>
            </w:r>
          </w:p>
        </w:tc>
      </w:tr>
      <w:tr>
        <w:trPr>
          <w:cantSplit/>
          <w:tblHeader w:val="false"/>
        </w:trPr>
        <w:tc>
          <w:tcPr>
            <w:tcW w:type="dxa" w:w="13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0</w:t>
            </w:r>
          </w:p>
        </w:tc>
        <w:tc>
          <w:tcPr>
            <w:tcW w:type="dxa" w:w="32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Answer the Section N questions</w:t>
            </w:r>
          </w:p>
        </w:tc>
        <w:tc>
          <w:tcPr>
            <w:tcW w:type="dxa" w:w="4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Particularly items 1 and 2. Several later phases branch on the answers.</w:t>
            </w:r>
          </w:p>
        </w:tc>
      </w:tr>
      <w:tr>
        <w:trPr>
          <w:cantSplit/>
          <w:tblHeader w:val="false"/>
        </w:trPr>
        <w:tc>
          <w:tcPr>
            <w:tcW w:type="dxa" w:w="13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w:t>
            </w:r>
          </w:p>
        </w:tc>
        <w:tc>
          <w:tcPr>
            <w:tcW w:type="dxa" w:w="32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Build the Deal table, 60 fields, with Vertical-based conditional visibility</w:t>
            </w:r>
          </w:p>
        </w:tc>
        <w:tc>
          <w:tcPr>
            <w:tcW w:type="dxa" w:w="4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Sections A through E.</w:t>
            </w:r>
          </w:p>
        </w:tc>
      </w:tr>
      <w:tr>
        <w:trPr>
          <w:cantSplit/>
          <w:tblHeader w:val="false"/>
        </w:trPr>
        <w:tc>
          <w:tcPr>
            <w:tcW w:type="dxa" w:w="13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2</w:t>
            </w:r>
          </w:p>
        </w:tc>
        <w:tc>
          <w:tcPr>
            <w:tcW w:type="dxa" w:w="32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Configure the 12-stage pipeline</w:t>
            </w:r>
          </w:p>
        </w:tc>
        <w:tc>
          <w:tcPr>
            <w:tcW w:type="dxa" w:w="4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Section C. Exact stage names matter — Section D depends on them.</w:t>
            </w:r>
          </w:p>
        </w:tc>
      </w:tr>
      <w:tr>
        <w:trPr>
          <w:cantSplit/>
          <w:tblHeader w:val="false"/>
        </w:trPr>
        <w:tc>
          <w:tcPr>
            <w:tcW w:type="dxa" w:w="13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3</w:t>
            </w:r>
          </w:p>
        </w:tc>
        <w:tc>
          <w:tcPr>
            <w:tcW w:type="dxa" w:w="3200"/>
            <w:shd w:fill="F2F5F9" w:color="auto" w:val="clear"/>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Fix mapToCompanyHubStage in code</w:t>
            </w:r>
          </w:p>
        </w:tc>
        <w:tc>
          <w:tcPr>
            <w:tcW w:type="dxa" w:w="4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Section D. Independent of CompanyHub work and can start immediately. Also resolve the duplicate syncQuantumCRM.</w:t>
            </w:r>
          </w:p>
        </w:tc>
      </w:tr>
      <w:tr>
        <w:trPr>
          <w:cantSplit/>
          <w:tblHeader w:val="false"/>
        </w:trPr>
        <w:tc>
          <w:tcPr>
            <w:tcW w:type="dxa" w:w="13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4</w:t>
            </w:r>
          </w:p>
        </w:tc>
        <w:tc>
          <w:tcPr>
            <w:tcW w:type="dxa" w:w="32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Build the Properties table, 59 fields</w:t>
            </w:r>
          </w:p>
        </w:tc>
        <w:tc>
          <w:tcPr>
            <w:tcW w:type="dxa" w:w="4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Section F. Creative Finance Terms section first.</w:t>
            </w:r>
          </w:p>
        </w:tc>
      </w:tr>
      <w:tr>
        <w:trPr>
          <w:cantSplit/>
          <w:tblHeader w:val="false"/>
        </w:trPr>
        <w:tc>
          <w:tcPr>
            <w:tcW w:type="dxa" w:w="13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5</w:t>
            </w:r>
          </w:p>
        </w:tc>
        <w:tc>
          <w:tcPr>
            <w:tcW w:type="dxa" w:w="32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Build the Vehicles table, 31 fields</w:t>
            </w:r>
          </w:p>
        </w:tc>
        <w:tc>
          <w:tcPr>
            <w:tcW w:type="dxa" w:w="4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Section G. Enforce VIN uniqueness.</w:t>
            </w:r>
          </w:p>
        </w:tc>
      </w:tr>
      <w:tr>
        <w:trPr>
          <w:cantSplit/>
          <w:tblHeader w:val="false"/>
        </w:trPr>
        <w:tc>
          <w:tcPr>
            <w:tcW w:type="dxa" w:w="13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6</w:t>
            </w:r>
          </w:p>
        </w:tc>
        <w:tc>
          <w:tcPr>
            <w:tcW w:type="dxa" w:w="32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Build the Buyers table, 18 fields</w:t>
            </w:r>
          </w:p>
        </w:tc>
        <w:tc>
          <w:tcPr>
            <w:tcW w:type="dxa" w:w="4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Section H.</w:t>
            </w:r>
          </w:p>
        </w:tc>
      </w:tr>
      <w:tr>
        <w:trPr>
          <w:cantSplit/>
          <w:tblHeader w:val="false"/>
        </w:trPr>
        <w:tc>
          <w:tcPr>
            <w:tcW w:type="dxa" w:w="13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7</w:t>
            </w:r>
          </w:p>
        </w:tc>
        <w:tc>
          <w:tcPr>
            <w:tcW w:type="dxa" w:w="32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Configure UTrons 1 through 13</w:t>
            </w:r>
          </w:p>
        </w:tc>
        <w:tc>
          <w:tcPr>
            <w:tcW w:type="dxa" w:w="4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Section J. Skip any blocked by an unanswered Section N item.</w:t>
            </w:r>
          </w:p>
        </w:tc>
      </w:tr>
      <w:tr>
        <w:trPr>
          <w:cantSplit/>
          <w:tblHeader w:val="false"/>
        </w:trPr>
        <w:tc>
          <w:tcPr>
            <w:tcW w:type="dxa" w:w="13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8</w:t>
            </w:r>
          </w:p>
        </w:tc>
        <w:tc>
          <w:tcPr>
            <w:tcW w:type="dxa" w:w="32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Configure UTrons 14 through 16</w:t>
            </w:r>
          </w:p>
        </w:tc>
        <w:tc>
          <w:tcPr>
            <w:tcW w:type="dxa" w:w="4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Section J. The auto asset layer.</w:t>
            </w:r>
          </w:p>
        </w:tc>
      </w:tr>
      <w:tr>
        <w:trPr>
          <w:cantSplit/>
          <w:tblHeader w:val="false"/>
        </w:trPr>
        <w:tc>
          <w:tcPr>
            <w:tcW w:type="dxa" w:w="13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9</w:t>
            </w:r>
          </w:p>
        </w:tc>
        <w:tc>
          <w:tcPr>
            <w:tcW w:type="dxa" w:w="32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Saved filters and dashboards</w:t>
            </w:r>
          </w:p>
        </w:tc>
        <w:tc>
          <w:tcPr>
            <w:tcW w:type="dxa" w:w="4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Section K.</w:t>
            </w:r>
          </w:p>
        </w:tc>
      </w:tr>
      <w:tr>
        <w:trPr>
          <w:cantSplit/>
          <w:tblHeader w:val="false"/>
        </w:trPr>
        <w:tc>
          <w:tcPr>
            <w:tcW w:type="dxa" w:w="13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10</w:t>
            </w:r>
          </w:p>
        </w:tc>
        <w:tc>
          <w:tcPr>
            <w:tcW w:type="dxa" w:w="32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Write the address normalization convention</w:t>
            </w:r>
          </w:p>
        </w:tc>
        <w:tc>
          <w:tcPr>
            <w:tcW w:type="dxa" w:w="4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Section I. Must precede any sync.</w:t>
            </w:r>
          </w:p>
        </w:tc>
      </w:tr>
      <w:tr>
        <w:trPr>
          <w:cantSplit/>
          <w:tblHeader w:val="false"/>
        </w:trPr>
        <w:tc>
          <w:tcPr>
            <w:tcW w:type="dxa" w:w="13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11</w:t>
            </w:r>
          </w:p>
        </w:tc>
        <w:tc>
          <w:tcPr>
            <w:tcW w:type="dxa" w:w="32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Complete the SyncSpyder field mapping</w:t>
            </w:r>
          </w:p>
        </w:tc>
        <w:tc>
          <w:tcPr>
            <w:tcW w:type="dxa" w:w="48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Section I. One-way inbound only.</w:t>
            </w:r>
          </w:p>
        </w:tc>
      </w:tr>
      <w:tr>
        <w:trPr>
          <w:cantSplit/>
          <w:tblHeader w:val="false"/>
        </w:trPr>
        <w:tc>
          <w:tcPr>
            <w:tcW w:type="dxa" w:w="13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12</w:t>
            </w:r>
          </w:p>
        </w:tc>
        <w:tc>
          <w:tcPr>
            <w:tcW w:type="dxa" w:w="32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Pilot: 10 RE deals and 10 auto deals end to end, including both hand-offs</w:t>
            </w:r>
          </w:p>
        </w:tc>
        <w:tc>
          <w:tcPr>
            <w:tcW w:type="dxa" w:w="48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Verify the hand-offs fire before trusting the asset tables.</w:t>
            </w:r>
          </w:p>
        </w:tc>
      </w:tr>
    </w:tbl>
    <w:p>
      <w:pPr>
        <w:spacing w:after="120"/>
      </w:pPr>
    </w:p>
    <w:tbl>
      <w:tblPr>
        <w:tblW w:type="dxa" w:w="9360"/>
        <w:tblBorders>
          <w:top w:val="single" w:color="C8CFD9" w:sz="4"/>
          <w:left w:val="single" w:color="1F3352" w:sz="18"/>
          <w:bottom w:val="single" w:color="C8CFD9" w:sz="4"/>
          <w:right w:val="single" w:color="C8CFD9" w:sz="4"/>
          <w:insideH w:val="none"/>
          <w:insideV w:val="none"/>
        </w:tblBorders>
      </w:tblPr>
      <w:tblGrid>
        <w:gridCol w:w="9360"/>
      </w:tblGrid>
      <w:tr>
        <w:trPr>
          <w:cantSplit/>
        </w:trPr>
        <w:tc>
          <w:tcPr>
            <w:tcW w:type="dxa" w:w="9360"/>
            <w:shd w:fill="EAF4EC" w:color="auto" w:val="clear"/>
            <w:tcMar>
              <w:top w:type="dxa" w:w="140"/>
              <w:left w:type="dxa" w:w="180"/>
              <w:bottom w:type="dxa" w:w="140"/>
              <w:right w:type="dxa" w:w="160"/>
            </w:tcMar>
          </w:tcPr>
          <w:p>
            <w:pPr>
              <w:spacing w:after="80"/>
            </w:pPr>
            <w:r>
              <w:rPr>
                <w:rFonts w:ascii="Calibri" w:cs="Calibri" w:eastAsia="Calibri" w:hAnsi="Calibri"/>
                <w:b/>
                <w:bCs/>
                <w:color w:val="1F3352"/>
                <w:sz w:val="20"/>
                <w:szCs w:val="20"/>
              </w:rPr>
              <w:t xml:space="preserve">Start with phase 3</w:t>
            </w:r>
          </w:p>
          <w:p>
            <w:pPr>
              <w:spacing w:after="60" w:line="264"/>
            </w:pPr>
            <w:r>
              <w:rPr>
                <w:rFonts w:ascii="Calibri" w:cs="Calibri" w:eastAsia="Calibri" w:hAnsi="Calibri"/>
                <w:sz w:val="19"/>
                <w:szCs w:val="19"/>
              </w:rPr>
              <w:t xml:space="preserve">The code fix is the only item on this roadmap that is already broken in production rather than merely unbuilt, it is independent of every CompanyHub decision, and it is roughly twenty lines.</w:t>
            </w:r>
          </w:p>
        </w:tc>
      </w:tr>
    </w:tbl>
    <w:p>
      <w:pPr>
        <w:pStyle w:val="Heading1"/>
        <w:keepNext/>
        <w:pBdr>
          <w:bottom w:val="single" w:color="C8CFD9" w:sz="8" w:space="6"/>
        </w:pBdr>
        <w:spacing w:after="160" w:before="360"/>
      </w:pPr>
      <w:r>
        <w:rPr>
          <w:rFonts w:ascii="Calibri" w:cs="Calibri" w:eastAsia="Calibri" w:hAnsi="Calibri"/>
          <w:b/>
          <w:bCs/>
          <w:color w:val="1F3352"/>
          <w:sz w:val="30"/>
          <w:szCs w:val="30"/>
        </w:rPr>
        <w:t xml:space="preserve">P. Provenance and Reconciliation</w:t>
      </w:r>
    </w:p>
    <w:p>
      <w:pPr>
        <w:pStyle w:val="Heading2"/>
        <w:keepNext/>
        <w:spacing w:after="110" w:before="260"/>
      </w:pPr>
      <w:r>
        <w:rPr>
          <w:rFonts w:ascii="Calibri" w:cs="Calibri" w:eastAsia="Calibri" w:hAnsi="Calibri"/>
          <w:b/>
          <w:bCs/>
          <w:color w:val="1F3352"/>
          <w:sz w:val="24"/>
          <w:szCs w:val="24"/>
        </w:rPr>
        <w:t xml:space="preserve">Sources</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3000"/>
        <w:gridCol w:w="6360"/>
      </w:tblGrid>
      <w:tr>
        <w:trPr>
          <w:cantSplit/>
          <w:tblHeader/>
        </w:trPr>
        <w:tc>
          <w:tcPr>
            <w:tcW w:type="dxa" w:w="30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Source</w:t>
            </w:r>
          </w:p>
        </w:tc>
        <w:tc>
          <w:tcPr>
            <w:tcW w:type="dxa" w:w="63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Status</w:t>
            </w:r>
          </w:p>
        </w:tc>
      </w:tr>
      <w:tr>
        <w:trPr>
          <w:cantSplit/>
          <w:tblHeader w:val="false"/>
        </w:trPr>
        <w:tc>
          <w:tcPr>
            <w:tcW w:type="dxa" w:w="30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CompanyHub Multi-Strategy Real Estate Architecture (Feb 15, 2026)</w:t>
            </w:r>
          </w:p>
        </w:tc>
        <w:tc>
          <w:tcPr>
            <w:tcW w:type="dxa" w:w="6360"/>
            <w:tcMar>
              <w:top w:type="dxa" w:w="70"/>
              <w:left w:type="dxa" w:w="100"/>
              <w:bottom w:type="dxa" w:w="70"/>
              <w:right w:type="dxa" w:w="100"/>
            </w:tcMar>
            <w:vAlign w:val="center"/>
          </w:tcPr>
          <w:p>
            <w:pPr>
              <w:spacing w:after="0" w:line="250"/>
            </w:pPr>
            <w:r>
              <w:rPr>
                <w:rFonts w:ascii="Calibri" w:cs="Calibri" w:eastAsia="Calibri" w:hAnsi="Calibri"/>
                <w:b/>
                <w:bCs/>
                <w:color w:val="222222"/>
                <w:sz w:val="18"/>
                <w:szCs w:val="18"/>
              </w:rPr>
              <w:t xml:space="preserve">NOT AVAILABLE. Referenced by the audit as the document under review. Not present in the repository, Google Drive or email. Its field lists survive only as section names and counts quoted inside the audit.</w:t>
            </w:r>
          </w:p>
        </w:tc>
      </w:tr>
      <w:tr>
        <w:trPr>
          <w:cantSplit/>
          <w:tblHeader w:val="false"/>
        </w:trPr>
        <w:tc>
          <w:tcPr>
            <w:tcW w:type="dxa" w:w="30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CRM-ARCHITECTURE-AUDIT.md (Feb 16, 2026)</w:t>
            </w:r>
          </w:p>
        </w:tc>
        <w:tc>
          <w:tcPr>
            <w:tcW w:type="dxa" w:w="63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Available. 650 lines on branch claude/audit-crm-config-OBJc0, commit 9648780. Pushed but never merged and never opened as a pull request.</w:t>
            </w:r>
          </w:p>
        </w:tc>
      </w:tr>
      <w:tr>
        <w:trPr>
          <w:cantSplit/>
          <w:tblHeader w:val="false"/>
        </w:trPr>
        <w:tc>
          <w:tcPr>
            <w:tcW w:type="dxa" w:w="30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quantum_companyhub.gs</w:t>
            </w:r>
          </w:p>
        </w:tc>
        <w:tc>
          <w:tcPr>
            <w:tcW w:type="dxa" w:w="63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Available. 237 lines, 7 functions. CSV export to Drive only.</w:t>
            </w:r>
          </w:p>
        </w:tc>
      </w:tr>
      <w:tr>
        <w:trPr>
          <w:cantSplit/>
          <w:tblHeader w:val="false"/>
        </w:trPr>
        <w:tc>
          <w:tcPr>
            <w:tcW w:type="dxa" w:w="30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TURO_SPEC_PACK.md</w:t>
            </w:r>
          </w:p>
        </w:tc>
        <w:tc>
          <w:tcPr>
            <w:tcW w:type="dxa" w:w="63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Available. Turo field mapping, section L.</w:t>
            </w:r>
          </w:p>
        </w:tc>
      </w:tr>
      <w:tr>
        <w:trPr>
          <w:cantSplit/>
          <w:tblHeader w:val="false"/>
        </w:trPr>
        <w:tc>
          <w:tcPr>
            <w:tcW w:type="dxa" w:w="30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quantum_crm_engine.gs, main.gs</w:t>
            </w:r>
          </w:p>
        </w:tc>
        <w:tc>
          <w:tcPr>
            <w:tcW w:type="dxa" w:w="63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Available. Stage constants and duplicate sync handler.</w:t>
            </w:r>
          </w:p>
        </w:tc>
      </w:tr>
    </w:tbl>
    <w:p>
      <w:pPr>
        <w:spacing w:after="120"/>
      </w:pPr>
    </w:p>
    <w:p>
      <w:pPr>
        <w:pStyle w:val="Heading2"/>
        <w:keepNext/>
        <w:spacing w:after="110" w:before="260"/>
      </w:pPr>
      <w:r>
        <w:rPr>
          <w:rFonts w:ascii="Calibri" w:cs="Calibri" w:eastAsia="Calibri" w:hAnsi="Calibri"/>
          <w:b/>
          <w:bCs/>
          <w:color w:val="1F3352"/>
          <w:sz w:val="24"/>
          <w:szCs w:val="24"/>
        </w:rPr>
        <w:t xml:space="preserve">Carried-forward fields</w:t>
      </w:r>
    </w:p>
    <w:p>
      <w:pPr>
        <w:spacing w:after="120" w:line="276"/>
      </w:pPr>
      <w:r>
        <w:rPr>
          <w:rFonts w:ascii="Calibri" w:cs="Calibri" w:eastAsia="Calibri" w:hAnsi="Calibri"/>
          <w:color w:val="222222"/>
          <w:sz w:val="21"/>
          <w:szCs w:val="21"/>
        </w:rPr>
        <w:t xml:space="preserve">Because the February architecture document could not be located, fields described in this blueprint as carried forward are counted but not individually enumerated. Their existence and names come from section-level summaries inside the audit, not from a field list.</w:t>
      </w:r>
    </w:p>
    <w:tbl>
      <w:tblPr>
        <w:tblW w:type="dxa" w:w="9360"/>
        <w:tblBorders>
          <w:top w:val="single" w:color="C8CFD9" w:sz="4"/>
          <w:left w:val="single" w:color="1F3352" w:sz="18"/>
          <w:bottom w:val="single" w:color="C8CFD9" w:sz="4"/>
          <w:right w:val="single" w:color="C8CFD9" w:sz="4"/>
          <w:insideH w:val="none"/>
          <w:insideV w:val="none"/>
        </w:tblBorders>
      </w:tblPr>
      <w:tblGrid>
        <w:gridCol w:w="9360"/>
      </w:tblGrid>
      <w:tr>
        <w:trPr>
          <w:cantSplit/>
        </w:trPr>
        <w:tc>
          <w:tcPr>
            <w:tcW w:type="dxa" w:w="9360"/>
            <w:shd w:fill="FBE9E7" w:color="auto" w:val="clear"/>
            <w:tcMar>
              <w:top w:type="dxa" w:w="140"/>
              <w:left w:type="dxa" w:w="180"/>
              <w:bottom w:type="dxa" w:w="140"/>
              <w:right w:type="dxa" w:w="160"/>
            </w:tcMar>
          </w:tcPr>
          <w:p>
            <w:pPr>
              <w:spacing w:after="80"/>
            </w:pPr>
            <w:r>
              <w:rPr>
                <w:rFonts w:ascii="Calibri" w:cs="Calibri" w:eastAsia="Calibri" w:hAnsi="Calibri"/>
                <w:b/>
                <w:bCs/>
                <w:color w:val="1F3352"/>
                <w:sz w:val="20"/>
                <w:szCs w:val="20"/>
              </w:rPr>
              <w:t xml:space="preserve">Verify before building</w:t>
            </w:r>
          </w:p>
          <w:p>
            <w:pPr>
              <w:spacing w:after="60" w:line="264"/>
            </w:pPr>
            <w:r>
              <w:rPr>
                <w:rFonts w:ascii="Calibri" w:cs="Calibri" w:eastAsia="Calibri" w:hAnsi="Calibri"/>
                <w:sz w:val="19"/>
                <w:szCs w:val="19"/>
              </w:rPr>
              <w:t xml:space="preserve">Section A of the Deal table (7 fields), Section B (16), the unchanged parts of Section C, Section D Vehicle Info (12), and the carried-forward Properties and Buyers sections must be checked against the live CompanyHub instance or the original February document before anyone builds from these counts.</w:t>
            </w:r>
          </w:p>
          <w:p>
            <w:pPr>
              <w:spacing w:after="60" w:line="264"/>
            </w:pPr>
            <w:r>
              <w:rPr>
                <w:rFonts w:ascii="Calibri" w:cs="Calibri" w:eastAsia="Calibri" w:hAnsi="Calibri"/>
                <w:sz w:val="19"/>
                <w:szCs w:val="19"/>
              </w:rPr>
              <w:t xml:space="preserve">Everything marked new or changed in this document is fully specified and needs no such check.</w:t>
            </w:r>
          </w:p>
        </w:tc>
      </w:tr>
    </w:tbl>
    <w:p>
      <w:pPr>
        <w:spacing w:after="120"/>
      </w:pPr>
    </w:p>
    <w:p>
      <w:pPr>
        <w:pStyle w:val="Heading2"/>
        <w:keepNext/>
        <w:spacing w:after="110" w:before="260"/>
      </w:pPr>
      <w:r>
        <w:rPr>
          <w:rFonts w:ascii="Calibri" w:cs="Calibri" w:eastAsia="Calibri" w:hAnsi="Calibri"/>
          <w:b/>
          <w:bCs/>
          <w:color w:val="1F3352"/>
          <w:sz w:val="24"/>
          <w:szCs w:val="24"/>
        </w:rPr>
        <w:t xml:space="preserve">Count reconciliation</w:t>
      </w:r>
    </w:p>
    <w:p>
      <w:pPr>
        <w:spacing w:after="120" w:line="276"/>
      </w:pPr>
      <w:r>
        <w:rPr>
          <w:rFonts w:ascii="Calibri" w:cs="Calibri" w:eastAsia="Calibri" w:hAnsi="Calibri"/>
          <w:color w:val="222222"/>
          <w:sz w:val="21"/>
          <w:szCs w:val="21"/>
        </w:rPr>
        <w:t xml:space="preserve">The source audit states conflicting totals for both tables. The unified counts in this document are computed from the section breakdowns, which are the only internally consistent figures available.</w:t>
      </w:r>
    </w:p>
    <w:tbl>
      <w:tblPr>
        <w:tblW w:type="dxa" w:w="9360"/>
        <w:tblBorders>
          <w:top w:val="single" w:color="C8CFD9" w:sz="4"/>
          <w:left w:val="single" w:color="C8CFD9" w:sz="4"/>
          <w:bottom w:val="single" w:color="C8CFD9" w:sz="4"/>
          <w:right w:val="single" w:color="C8CFD9" w:sz="4"/>
          <w:insideH w:val="single" w:color="C8CFD9" w:sz="2"/>
          <w:insideV w:val="single" w:color="C8CFD9" w:sz="2"/>
        </w:tblBorders>
      </w:tblPr>
      <w:tblGrid>
        <w:gridCol w:w="2200"/>
        <w:gridCol w:w="1800"/>
        <w:gridCol w:w="1800"/>
        <w:gridCol w:w="3560"/>
      </w:tblGrid>
      <w:tr>
        <w:trPr>
          <w:cantSplit/>
          <w:tblHeader/>
        </w:trPr>
        <w:tc>
          <w:tcPr>
            <w:tcW w:type="dxa" w:w="22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Table</w:t>
            </w:r>
          </w:p>
        </w:tc>
        <w:tc>
          <w:tcPr>
            <w:tcW w:type="dxa" w:w="18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Audit §C</w:t>
            </w:r>
          </w:p>
        </w:tc>
        <w:tc>
          <w:tcPr>
            <w:tcW w:type="dxa" w:w="180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Audit §L</w:t>
            </w:r>
          </w:p>
        </w:tc>
        <w:tc>
          <w:tcPr>
            <w:tcW w:type="dxa" w:w="3560"/>
            <w:shd w:fill="1F3352" w:color="auto" w:val="clear"/>
            <w:tcMar>
              <w:top w:type="dxa" w:w="70"/>
              <w:left w:type="dxa" w:w="100"/>
              <w:bottom w:type="dxa" w:w="70"/>
              <w:right w:type="dxa" w:w="100"/>
            </w:tcMar>
            <w:vAlign w:val="center"/>
          </w:tcPr>
          <w:p>
            <w:pPr>
              <w:spacing w:after="0" w:line="250"/>
            </w:pPr>
            <w:r>
              <w:rPr>
                <w:rFonts w:ascii="Calibri" w:cs="Calibri" w:eastAsia="Calibri" w:hAnsi="Calibri"/>
                <w:b/>
                <w:bCs/>
                <w:i w:val="false"/>
                <w:iCs w:val="false"/>
                <w:color w:val="FFFFFF"/>
                <w:sz w:val="18"/>
                <w:szCs w:val="18"/>
              </w:rPr>
              <w:t xml:space="preserve">Resolution</w:t>
            </w:r>
          </w:p>
        </w:tc>
      </w:tr>
      <w:tr>
        <w:trPr>
          <w:cantSplit/>
          <w:tblHeader w:val="false"/>
        </w:trPr>
        <w:tc>
          <w:tcPr>
            <w:tcW w:type="dxa" w:w="22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Deal</w:t>
            </w:r>
          </w:p>
        </w:tc>
        <w:tc>
          <w:tcPr>
            <w:tcW w:type="dxa" w:w="18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56</w:t>
            </w:r>
          </w:p>
        </w:tc>
        <w:tc>
          <w:tcPr>
            <w:tcW w:type="dxa" w:w="18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58</w:t>
            </w:r>
          </w:p>
        </w:tc>
        <w:tc>
          <w:tcPr>
            <w:tcW w:type="dxa" w:w="35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Audit §L's own section breakdown sums to 56, contradicting its stated 58. This document rebuilds the count explicitly: 60.</w:t>
            </w:r>
          </w:p>
        </w:tc>
      </w:tr>
      <w:tr>
        <w:trPr>
          <w:cantSplit/>
          <w:tblHeader w:val="false"/>
        </w:trPr>
        <w:tc>
          <w:tcPr>
            <w:tcW w:type="dxa" w:w="22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Properties</w:t>
            </w:r>
          </w:p>
        </w:tc>
        <w:tc>
          <w:tcPr>
            <w:tcW w:type="dxa" w:w="18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56</w:t>
            </w:r>
          </w:p>
        </w:tc>
        <w:tc>
          <w:tcPr>
            <w:tcW w:type="dxa" w:w="180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58</w:t>
            </w:r>
          </w:p>
        </w:tc>
        <w:tc>
          <w:tcPr>
            <w:tcW w:type="dxa" w:w="3560"/>
            <w:shd w:fill="F2F5F9" w:color="auto"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Audit §L's section breakdown sums to 59, contradicting both figures. This document uses 59.</w:t>
            </w:r>
          </w:p>
        </w:tc>
      </w:tr>
      <w:tr>
        <w:trPr>
          <w:cantSplit/>
          <w:tblHeader w:val="false"/>
        </w:trPr>
        <w:tc>
          <w:tcPr>
            <w:tcW w:type="dxa" w:w="22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Buyers</w:t>
            </w:r>
          </w:p>
        </w:tc>
        <w:tc>
          <w:tcPr>
            <w:tcW w:type="dxa" w:w="18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15</w:t>
            </w:r>
          </w:p>
        </w:tc>
        <w:tc>
          <w:tcPr>
            <w:tcW w:type="dxa" w:w="180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17</w:t>
            </w:r>
          </w:p>
        </w:tc>
        <w:tc>
          <w:tcPr>
            <w:tcW w:type="dxa" w:w="3560"/>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color w:val="222222"/>
                <w:sz w:val="18"/>
                <w:szCs w:val="18"/>
              </w:rPr>
              <w:t xml:space="preserve">Audit §C says no change needed; §L adds two fields. This document takes §L and adds one: 18.</w:t>
            </w:r>
          </w:p>
        </w:tc>
      </w:tr>
    </w:tbl>
    <w:p>
      <w:pPr>
        <w:spacing w:after="120"/>
      </w:pPr>
    </w:p>
    <w:p>
      <w:pPr>
        <w:spacing w:after="120" w:line="276"/>
      </w:pPr>
      <w:r>
        <w:rPr>
          <w:rFonts w:ascii="Calibri" w:cs="Calibri" w:eastAsia="Calibri" w:hAnsi="Calibri"/>
          <w:i/>
          <w:iCs/>
          <w:color w:val="4A5568"/>
          <w:sz w:val="21"/>
          <w:szCs w:val="21"/>
        </w:rPr>
        <w:t xml:space="preserve">These are arithmetic slips in the source, not design disagreements. The field lists themselves are consistent — only the totals are wrong.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FD9" w:sz="4" w:space="4"/>
      </w:pBdr>
      <w:spacing w:after="0"/>
      <w:jc w:val="right"/>
    </w:pPr>
    <w:r>
      <w:rPr>
        <w:rFonts w:ascii="Calibri" w:cs="Calibri" w:eastAsia="Calibri" w:hAnsi="Calibri"/>
        <w:color w:val="4A5568"/>
        <w:sz w:val="16"/>
        <w:szCs w:val="16"/>
      </w:rPr>
      <w:t xml:space="preserve">Unified CRM Blueprint  ·  Honeycomb Investors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CRM Blueprint — Real Estate + Auto</dc:title>
  <dc:creator>Honeycomb Investors LLC</dc:creator>
  <dc:description>One CompanyHub instance serving both verticals</dc:description>
  <cp:lastModifiedBy>Un-named</cp:lastModifiedBy>
  <cp:revision>1</cp:revision>
  <dcterms:created xsi:type="dcterms:W3CDTF">2026-09-08T02:06:06.567Z</dcterms:created>
  <dcterms:modified xsi:type="dcterms:W3CDTF">2026-09-08T02:06:06.567Z</dcterms:modified>
</cp:coreProperties>
</file>

<file path=docProps/custom.xml><?xml version="1.0" encoding="utf-8"?>
<Properties xmlns="http://schemas.openxmlformats.org/officeDocument/2006/custom-properties" xmlns:vt="http://schemas.openxmlformats.org/officeDocument/2006/docPropsVTypes"/>
</file>