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5C52" w:rsidRPr="002C18A4" w:rsidRDefault="002C18A4" w:rsidP="002C18A4">
      <w:pPr>
        <w:spacing w:after="0"/>
        <w:rPr>
          <w:b/>
        </w:rPr>
      </w:pPr>
      <w:r w:rsidRPr="002C18A4">
        <w:rPr>
          <w:b/>
        </w:rPr>
        <w:t>5/7/15</w:t>
      </w:r>
    </w:p>
    <w:p w:rsidR="002C18A4" w:rsidRDefault="002C18A4" w:rsidP="002C18A4">
      <w:pPr>
        <w:spacing w:after="0"/>
      </w:pPr>
      <w:r>
        <w:t>Initial plumbing fixtures submittals sent in.</w:t>
      </w:r>
    </w:p>
    <w:p w:rsidR="002C18A4" w:rsidRDefault="002C18A4" w:rsidP="002C18A4">
      <w:pPr>
        <w:spacing w:after="0"/>
        <w:ind w:left="720"/>
      </w:pPr>
      <w:r>
        <w:t xml:space="preserve">SS-1 Non-Adaptable shower stall was </w:t>
      </w:r>
      <w:proofErr w:type="spellStart"/>
      <w:r>
        <w:t>Fiberfab</w:t>
      </w:r>
      <w:proofErr w:type="spellEnd"/>
      <w:r>
        <w:t xml:space="preserve"> model 48C-N, and an alternate option for Aquatic 1483CST.  Both had large thresholds.  </w:t>
      </w:r>
      <w:proofErr w:type="spellStart"/>
      <w:r>
        <w:t>Fiberfab</w:t>
      </w:r>
      <w:proofErr w:type="spellEnd"/>
      <w:r>
        <w:t xml:space="preserve"> model had a 46” opening, Aquatic had a 42” opening.</w:t>
      </w:r>
    </w:p>
    <w:p w:rsidR="002C18A4" w:rsidRDefault="002C18A4" w:rsidP="002C18A4">
      <w:pPr>
        <w:spacing w:after="0"/>
        <w:ind w:left="720"/>
      </w:pPr>
      <w:r>
        <w:t xml:space="preserve">SS-2 Adaptable shower stall was </w:t>
      </w:r>
      <w:proofErr w:type="spellStart"/>
      <w:r>
        <w:t>Fiberfab</w:t>
      </w:r>
      <w:proofErr w:type="spellEnd"/>
      <w:r>
        <w:t xml:space="preserve"> 48BFFWA, and an alternate option for Aquatic 1483BFSD.  Both had low-profile thresholds and a 46” interior opening.</w:t>
      </w:r>
    </w:p>
    <w:p w:rsidR="002C18A4" w:rsidRDefault="002C18A4" w:rsidP="002C18A4">
      <w:pPr>
        <w:spacing w:after="0"/>
      </w:pPr>
    </w:p>
    <w:p w:rsidR="002C18A4" w:rsidRDefault="002C18A4" w:rsidP="002C18A4">
      <w:pPr>
        <w:spacing w:after="0"/>
        <w:rPr>
          <w:b/>
        </w:rPr>
      </w:pPr>
      <w:r>
        <w:rPr>
          <w:b/>
        </w:rPr>
        <w:t>5/22/15</w:t>
      </w:r>
    </w:p>
    <w:p w:rsidR="002C18A4" w:rsidRDefault="00FD2A23" w:rsidP="002C18A4">
      <w:pPr>
        <w:spacing w:after="0"/>
        <w:rPr>
          <w:rFonts w:ascii="Tahoma" w:hAnsi="Tahoma" w:cs="Tahoma"/>
          <w:sz w:val="20"/>
          <w:szCs w:val="20"/>
        </w:rPr>
      </w:pPr>
      <w:r>
        <w:t>Email titled “</w:t>
      </w:r>
      <w:r>
        <w:rPr>
          <w:rFonts w:ascii="Tahoma" w:hAnsi="Tahoma" w:cs="Tahoma"/>
          <w:sz w:val="20"/>
          <w:szCs w:val="20"/>
        </w:rPr>
        <w:t>Hadley - Plumbing Fixture - Dual Flush ADA compliant</w:t>
      </w:r>
      <w:r>
        <w:rPr>
          <w:rFonts w:ascii="Tahoma" w:hAnsi="Tahoma" w:cs="Tahoma"/>
          <w:sz w:val="20"/>
          <w:szCs w:val="20"/>
        </w:rPr>
        <w:t>” sent in regards to the owner being interested in Aquatic 14832P, which has a tile look.  Waiting for determination regarding SS-2.</w:t>
      </w:r>
    </w:p>
    <w:p w:rsidR="00FD2A23" w:rsidRDefault="00FD2A23" w:rsidP="002C18A4">
      <w:pPr>
        <w:spacing w:after="0"/>
        <w:rPr>
          <w:rFonts w:ascii="Tahoma" w:hAnsi="Tahoma" w:cs="Tahoma"/>
          <w:sz w:val="20"/>
          <w:szCs w:val="20"/>
        </w:rPr>
      </w:pPr>
    </w:p>
    <w:p w:rsidR="00FD2A23" w:rsidRDefault="00FD2A23" w:rsidP="002C18A4">
      <w:pPr>
        <w:spacing w:after="0"/>
        <w:rPr>
          <w:rFonts w:ascii="Tahoma" w:hAnsi="Tahoma" w:cs="Tahoma"/>
          <w:b/>
          <w:sz w:val="20"/>
          <w:szCs w:val="20"/>
        </w:rPr>
      </w:pPr>
      <w:r>
        <w:rPr>
          <w:rFonts w:ascii="Tahoma" w:hAnsi="Tahoma" w:cs="Tahoma"/>
          <w:b/>
          <w:sz w:val="20"/>
          <w:szCs w:val="20"/>
        </w:rPr>
        <w:t>6/4/15</w:t>
      </w:r>
    </w:p>
    <w:p w:rsidR="00FD2A23" w:rsidRDefault="00FD2A23" w:rsidP="00FD2A23">
      <w:pPr>
        <w:spacing w:after="0"/>
        <w:rPr>
          <w:rFonts w:ascii="Tahoma" w:hAnsi="Tahoma" w:cs="Tahoma"/>
          <w:sz w:val="20"/>
          <w:szCs w:val="20"/>
        </w:rPr>
      </w:pPr>
      <w:r>
        <w:rPr>
          <w:rFonts w:ascii="Tahoma" w:hAnsi="Tahoma" w:cs="Tahoma"/>
          <w:sz w:val="20"/>
          <w:szCs w:val="20"/>
        </w:rPr>
        <w:t>Email titled “</w:t>
      </w:r>
      <w:r w:rsidRPr="00FD2A23">
        <w:rPr>
          <w:rFonts w:ascii="Tahoma" w:hAnsi="Tahoma" w:cs="Tahoma"/>
          <w:sz w:val="20"/>
          <w:szCs w:val="20"/>
        </w:rPr>
        <w:t>Hadley - Alternate Pricing</w:t>
      </w:r>
      <w:r>
        <w:rPr>
          <w:rFonts w:ascii="Tahoma" w:hAnsi="Tahoma" w:cs="Tahoma"/>
          <w:sz w:val="20"/>
          <w:szCs w:val="20"/>
        </w:rPr>
        <w:t>” sent regarding alternate pricing for Owner/Architect selected showers.  I included a note that said: “</w:t>
      </w:r>
      <w:r w:rsidRPr="00FD2A23">
        <w:rPr>
          <w:rFonts w:ascii="Tahoma" w:hAnsi="Tahoma" w:cs="Tahoma"/>
          <w:i/>
          <w:sz w:val="20"/>
          <w:szCs w:val="20"/>
        </w:rPr>
        <w:t>You need to make sure the architect and/or ADA consultant review the bathtubs/showers for ADA and adaptability requirements.  It’s our experience that different architects and ADA consultants have different interpretations of the code.  For the showers I’ve tried to include as many different options for the size and threshold.</w:t>
      </w:r>
      <w:r>
        <w:rPr>
          <w:rFonts w:ascii="Tahoma" w:hAnsi="Tahoma" w:cs="Tahoma"/>
          <w:sz w:val="20"/>
          <w:szCs w:val="20"/>
        </w:rPr>
        <w:t xml:space="preserve">”  </w:t>
      </w:r>
    </w:p>
    <w:p w:rsidR="00FD2A23" w:rsidRDefault="00FD2A23" w:rsidP="00FD2A23">
      <w:pPr>
        <w:spacing w:after="0"/>
        <w:rPr>
          <w:rFonts w:ascii="Tahoma" w:hAnsi="Tahoma" w:cs="Tahoma"/>
          <w:sz w:val="20"/>
          <w:szCs w:val="20"/>
        </w:rPr>
      </w:pPr>
    </w:p>
    <w:p w:rsidR="00FD2A23" w:rsidRDefault="00FD2A23" w:rsidP="00FD2A23">
      <w:pPr>
        <w:spacing w:after="0"/>
        <w:rPr>
          <w:rFonts w:ascii="Tahoma" w:hAnsi="Tahoma" w:cs="Tahoma"/>
          <w:b/>
          <w:sz w:val="20"/>
          <w:szCs w:val="20"/>
        </w:rPr>
      </w:pPr>
      <w:r>
        <w:rPr>
          <w:rFonts w:ascii="Tahoma" w:hAnsi="Tahoma" w:cs="Tahoma"/>
          <w:b/>
          <w:sz w:val="20"/>
          <w:szCs w:val="20"/>
        </w:rPr>
        <w:t>6/5/15</w:t>
      </w:r>
    </w:p>
    <w:p w:rsidR="00FD2A23" w:rsidRDefault="00FD2A23" w:rsidP="00FD2A23">
      <w:pPr>
        <w:spacing w:after="0"/>
        <w:rPr>
          <w:rFonts w:ascii="Tahoma" w:hAnsi="Tahoma" w:cs="Tahoma"/>
          <w:sz w:val="20"/>
          <w:szCs w:val="20"/>
        </w:rPr>
      </w:pPr>
      <w:r>
        <w:rPr>
          <w:rFonts w:ascii="Tahoma" w:hAnsi="Tahoma" w:cs="Tahoma"/>
          <w:sz w:val="20"/>
          <w:szCs w:val="20"/>
        </w:rPr>
        <w:t>Fixture submittal response came back with the following comments:</w:t>
      </w:r>
    </w:p>
    <w:p w:rsidR="00FD2A23" w:rsidRPr="00FD2A23" w:rsidRDefault="00FD2A23" w:rsidP="00FD2A23">
      <w:pPr>
        <w:spacing w:after="0"/>
        <w:rPr>
          <w:rFonts w:ascii="Tahoma" w:hAnsi="Tahoma" w:cs="Tahoma"/>
          <w:sz w:val="20"/>
          <w:szCs w:val="20"/>
        </w:rPr>
      </w:pPr>
      <w:r>
        <w:rPr>
          <w:noProof/>
        </w:rPr>
        <w:drawing>
          <wp:inline distT="0" distB="0" distL="0" distR="0" wp14:anchorId="57096F35" wp14:editId="5F1D6359">
            <wp:extent cx="5847619" cy="296190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47619" cy="2961905"/>
                    </a:xfrm>
                    <a:prstGeom prst="rect">
                      <a:avLst/>
                    </a:prstGeom>
                  </pic:spPr>
                </pic:pic>
              </a:graphicData>
            </a:graphic>
          </wp:inline>
        </w:drawing>
      </w:r>
    </w:p>
    <w:p w:rsidR="00FD2A23" w:rsidRDefault="00FD2A23" w:rsidP="002C18A4">
      <w:pPr>
        <w:spacing w:after="0"/>
        <w:rPr>
          <w:rFonts w:ascii="Tahoma" w:hAnsi="Tahoma" w:cs="Tahoma"/>
          <w:sz w:val="20"/>
          <w:szCs w:val="20"/>
        </w:rPr>
      </w:pPr>
      <w:r>
        <w:rPr>
          <w:rFonts w:ascii="Tahoma" w:hAnsi="Tahoma" w:cs="Tahoma"/>
          <w:sz w:val="20"/>
          <w:szCs w:val="20"/>
        </w:rPr>
        <w:t xml:space="preserve"> </w:t>
      </w:r>
      <w:r>
        <w:rPr>
          <w:noProof/>
        </w:rPr>
        <w:drawing>
          <wp:inline distT="0" distB="0" distL="0" distR="0" wp14:anchorId="2BFB928A" wp14:editId="3B5D7657">
            <wp:extent cx="5809524" cy="67619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09524" cy="676190"/>
                    </a:xfrm>
                    <a:prstGeom prst="rect">
                      <a:avLst/>
                    </a:prstGeom>
                  </pic:spPr>
                </pic:pic>
              </a:graphicData>
            </a:graphic>
          </wp:inline>
        </w:drawing>
      </w:r>
    </w:p>
    <w:p w:rsidR="00FD2A23" w:rsidRDefault="00FD2A23" w:rsidP="002C18A4">
      <w:pPr>
        <w:spacing w:after="0"/>
      </w:pPr>
      <w:r>
        <w:t xml:space="preserve">   </w:t>
      </w:r>
      <w:r>
        <w:rPr>
          <w:noProof/>
        </w:rPr>
        <w:drawing>
          <wp:inline distT="0" distB="0" distL="0" distR="0" wp14:anchorId="55F71D50" wp14:editId="2076AFCE">
            <wp:extent cx="5790476" cy="1961905"/>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0476" cy="1961905"/>
                    </a:xfrm>
                    <a:prstGeom prst="rect">
                      <a:avLst/>
                    </a:prstGeom>
                  </pic:spPr>
                </pic:pic>
              </a:graphicData>
            </a:graphic>
          </wp:inline>
        </w:drawing>
      </w:r>
    </w:p>
    <w:p w:rsidR="00FD2A23" w:rsidRDefault="00FD2A23" w:rsidP="002C18A4">
      <w:pPr>
        <w:spacing w:after="0"/>
      </w:pPr>
    </w:p>
    <w:p w:rsidR="005E6E7A" w:rsidRPr="005E6E7A" w:rsidRDefault="005E6E7A" w:rsidP="002C18A4">
      <w:pPr>
        <w:spacing w:after="0"/>
        <w:rPr>
          <w:b/>
        </w:rPr>
      </w:pPr>
      <w:r w:rsidRPr="005E6E7A">
        <w:rPr>
          <w:b/>
        </w:rPr>
        <w:lastRenderedPageBreak/>
        <w:t>6/8/15</w:t>
      </w:r>
    </w:p>
    <w:p w:rsidR="005E6E7A" w:rsidRPr="005E6E7A" w:rsidRDefault="005E6E7A" w:rsidP="002C18A4">
      <w:pPr>
        <w:spacing w:after="0"/>
      </w:pPr>
      <w:r>
        <w:t>Email titled “</w:t>
      </w:r>
      <w:r>
        <w:rPr>
          <w:rFonts w:ascii="Tahoma" w:hAnsi="Tahoma" w:cs="Tahoma"/>
          <w:sz w:val="20"/>
          <w:szCs w:val="20"/>
        </w:rPr>
        <w:t>Plumbing Submittal - Accessibility Review</w:t>
      </w:r>
      <w:r>
        <w:rPr>
          <w:rFonts w:ascii="Tahoma" w:hAnsi="Tahoma" w:cs="Tahoma"/>
          <w:sz w:val="20"/>
          <w:szCs w:val="20"/>
        </w:rPr>
        <w:t>”.  Owner is interested in using Aquatic 1423CTC for SS-1 and 1483EN for SS-2.</w:t>
      </w:r>
    </w:p>
    <w:p w:rsidR="005E6E7A" w:rsidRDefault="005E6E7A" w:rsidP="002C18A4">
      <w:pPr>
        <w:spacing w:after="0"/>
        <w:rPr>
          <w:b/>
        </w:rPr>
      </w:pPr>
    </w:p>
    <w:p w:rsidR="005E6E7A" w:rsidRDefault="005E6E7A" w:rsidP="002C18A4">
      <w:pPr>
        <w:spacing w:after="0"/>
        <w:rPr>
          <w:b/>
        </w:rPr>
      </w:pPr>
      <w:r>
        <w:rPr>
          <w:b/>
        </w:rPr>
        <w:t>6/11/15</w:t>
      </w:r>
    </w:p>
    <w:p w:rsidR="005E6E7A" w:rsidRDefault="005E6E7A" w:rsidP="002C18A4">
      <w:pPr>
        <w:spacing w:after="0"/>
        <w:rPr>
          <w:rFonts w:ascii="Tahoma" w:hAnsi="Tahoma" w:cs="Tahoma"/>
          <w:sz w:val="20"/>
          <w:szCs w:val="20"/>
        </w:rPr>
      </w:pPr>
      <w:r>
        <w:t>Email titled “</w:t>
      </w:r>
      <w:r>
        <w:rPr>
          <w:rFonts w:ascii="Tahoma" w:hAnsi="Tahoma" w:cs="Tahoma"/>
          <w:sz w:val="20"/>
          <w:szCs w:val="20"/>
        </w:rPr>
        <w:t>Plumbing Submittal - Accessibility Review</w:t>
      </w:r>
      <w:r>
        <w:rPr>
          <w:rFonts w:ascii="Tahoma" w:hAnsi="Tahoma" w:cs="Tahoma"/>
          <w:sz w:val="20"/>
          <w:szCs w:val="20"/>
        </w:rPr>
        <w:t>”.  The following is from the architect:</w:t>
      </w:r>
    </w:p>
    <w:p w:rsidR="005E6E7A" w:rsidRDefault="005E6E7A" w:rsidP="005E6E7A">
      <w:pPr>
        <w:pStyle w:val="ListParagraph"/>
        <w:ind w:left="765" w:hanging="360"/>
        <w:rPr>
          <w:color w:val="1F497D"/>
        </w:rPr>
      </w:pPr>
      <w:r>
        <w:rPr>
          <w:rFonts w:ascii="Symbol" w:hAnsi="Symbol"/>
          <w:color w:val="1F497D"/>
        </w:rPr>
        <w:t></w:t>
      </w:r>
      <w:r>
        <w:rPr>
          <w:color w:val="1F497D"/>
          <w:sz w:val="14"/>
          <w:szCs w:val="14"/>
        </w:rPr>
        <w:t>        </w:t>
      </w:r>
      <w:r>
        <w:rPr>
          <w:color w:val="1F497D"/>
        </w:rPr>
        <w:t>1423CTC Shower is approved for use in non-accessible b</w:t>
      </w:r>
      <w:bookmarkStart w:id="0" w:name="_GoBack"/>
      <w:bookmarkEnd w:id="0"/>
      <w:r>
        <w:rPr>
          <w:color w:val="1F497D"/>
        </w:rPr>
        <w:t xml:space="preserve">athrooms in Type A or Type B units.  However, this shower is 42” wide rather than 48” wide as per the wall dimensions.  Confirm with </w:t>
      </w:r>
      <w:proofErr w:type="spellStart"/>
      <w:r>
        <w:rPr>
          <w:color w:val="1F497D"/>
        </w:rPr>
        <w:t>Steffenie</w:t>
      </w:r>
      <w:proofErr w:type="spellEnd"/>
      <w:r>
        <w:rPr>
          <w:color w:val="1F497D"/>
        </w:rPr>
        <w:t xml:space="preserve"> about changing the wall framing to fit this 42” tub or using the 48” wide model 1483CST instead.</w:t>
      </w:r>
    </w:p>
    <w:p w:rsidR="005E6E7A" w:rsidRDefault="005E6E7A" w:rsidP="005E6E7A">
      <w:pPr>
        <w:pStyle w:val="ListParagraph"/>
        <w:ind w:left="765" w:hanging="360"/>
        <w:rPr>
          <w:color w:val="1F497D"/>
        </w:rPr>
      </w:pPr>
      <w:r>
        <w:rPr>
          <w:rFonts w:ascii="Symbol" w:hAnsi="Symbol"/>
          <w:color w:val="1F497D"/>
        </w:rPr>
        <w:t></w:t>
      </w:r>
      <w:r>
        <w:rPr>
          <w:color w:val="1F497D"/>
          <w:sz w:val="14"/>
          <w:szCs w:val="14"/>
        </w:rPr>
        <w:t xml:space="preserve">         </w:t>
      </w:r>
      <w:r>
        <w:rPr>
          <w:color w:val="1F497D"/>
        </w:rPr>
        <w:t>1483EN Shower is approved for use in accessible bathrooms in Type B units</w:t>
      </w:r>
    </w:p>
    <w:p w:rsidR="005E6E7A" w:rsidRDefault="005E6E7A" w:rsidP="005E6E7A">
      <w:pPr>
        <w:pStyle w:val="ListParagraph"/>
        <w:ind w:left="765" w:hanging="360"/>
        <w:rPr>
          <w:color w:val="1F497D"/>
        </w:rPr>
      </w:pPr>
      <w:r>
        <w:rPr>
          <w:rFonts w:ascii="Symbol" w:hAnsi="Symbol"/>
          <w:color w:val="1F497D"/>
        </w:rPr>
        <w:t></w:t>
      </w:r>
      <w:r>
        <w:rPr>
          <w:color w:val="1F497D"/>
          <w:sz w:val="14"/>
          <w:szCs w:val="14"/>
        </w:rPr>
        <w:t xml:space="preserve">         </w:t>
      </w:r>
      <w:proofErr w:type="gramStart"/>
      <w:r>
        <w:rPr>
          <w:color w:val="1F497D"/>
        </w:rPr>
        <w:t>There</w:t>
      </w:r>
      <w:proofErr w:type="gramEnd"/>
      <w:r>
        <w:rPr>
          <w:color w:val="1F497D"/>
        </w:rPr>
        <w:t xml:space="preserve"> are no showers in accessible bathrooms in Type A units</w:t>
      </w:r>
    </w:p>
    <w:p w:rsidR="005E6E7A" w:rsidRPr="005E6E7A" w:rsidRDefault="005E6E7A" w:rsidP="002C18A4">
      <w:pPr>
        <w:spacing w:after="0"/>
      </w:pPr>
    </w:p>
    <w:p w:rsidR="005E6E7A" w:rsidRDefault="005E6E7A" w:rsidP="002C18A4">
      <w:pPr>
        <w:spacing w:after="0"/>
        <w:rPr>
          <w:b/>
        </w:rPr>
      </w:pPr>
    </w:p>
    <w:p w:rsidR="00FD2A23" w:rsidRDefault="00FD2A23" w:rsidP="002C18A4">
      <w:pPr>
        <w:spacing w:after="0"/>
        <w:rPr>
          <w:b/>
        </w:rPr>
      </w:pPr>
      <w:r>
        <w:rPr>
          <w:b/>
        </w:rPr>
        <w:t>6/24/15</w:t>
      </w:r>
    </w:p>
    <w:p w:rsidR="00FD2A23" w:rsidRPr="00FD2A23" w:rsidRDefault="00FD2A23" w:rsidP="002C18A4">
      <w:pPr>
        <w:spacing w:after="0"/>
      </w:pPr>
      <w:r>
        <w:t>Email titled “</w:t>
      </w:r>
      <w:r>
        <w:t>Hadley - Plumbing Fixtures REV2 06-23-15</w:t>
      </w:r>
      <w:r>
        <w:t>”.  Owner is interested in using Aquatic 1423CTC for SS-1 and 1483CST for SS-2.</w:t>
      </w:r>
    </w:p>
    <w:sectPr w:rsidR="00FD2A23" w:rsidRPr="00FD2A23" w:rsidSect="00FD2A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4DE3A82"/>
    <w:multiLevelType w:val="hybridMultilevel"/>
    <w:tmpl w:val="B0AEA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8A4"/>
    <w:rsid w:val="002C18A4"/>
    <w:rsid w:val="005E5C52"/>
    <w:rsid w:val="005E6E7A"/>
    <w:rsid w:val="007B75FE"/>
    <w:rsid w:val="00FD2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2C49C-9D3D-454D-ABB1-3DB48B059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A23"/>
    <w:pPr>
      <w:spacing w:after="0" w:line="240" w:lineRule="auto"/>
      <w:ind w:left="720"/>
    </w:pPr>
    <w:rPr>
      <w:rFonts w:ascii="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7703480">
      <w:bodyDiv w:val="1"/>
      <w:marLeft w:val="0"/>
      <w:marRight w:val="0"/>
      <w:marTop w:val="0"/>
      <w:marBottom w:val="0"/>
      <w:divBdr>
        <w:top w:val="none" w:sz="0" w:space="0" w:color="auto"/>
        <w:left w:val="none" w:sz="0" w:space="0" w:color="auto"/>
        <w:bottom w:val="none" w:sz="0" w:space="0" w:color="auto"/>
        <w:right w:val="none" w:sz="0" w:space="0" w:color="auto"/>
      </w:divBdr>
    </w:div>
    <w:div w:id="196492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2</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Donelson</dc:creator>
  <cp:keywords/>
  <dc:description/>
  <cp:lastModifiedBy>Richard Donelson</cp:lastModifiedBy>
  <cp:revision>1</cp:revision>
  <dcterms:created xsi:type="dcterms:W3CDTF">2016-03-24T15:47:00Z</dcterms:created>
  <dcterms:modified xsi:type="dcterms:W3CDTF">2016-03-24T19:45:00Z</dcterms:modified>
</cp:coreProperties>
</file>