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Steven</w:t>
      </w:r>
      <w:r>
        <w:t xml:space="preserve"> </w:t>
      </w:r>
      <w:r>
        <w:t xml:space="preserve">Wong</w:t>
      </w:r>
    </w:p>
    <w:p>
      <w:pPr>
        <w:pStyle w:val="Heading1"/>
      </w:pPr>
      <w:bookmarkStart w:id="21" w:name="resources"/>
      <w:bookmarkEnd w:id="21"/>
      <w:r>
        <w:t xml:space="preserve">Resources</w:t>
      </w:r>
    </w:p>
    <w:p>
      <w:pPr>
        <w:pStyle w:val="FirstParagraph"/>
      </w:pPr>
      <w:hyperlink r:id="rId22">
        <w:r>
          <w:rPr>
            <w:rStyle w:val="Hyperlink"/>
          </w:rPr>
          <w:t xml:space="preserve">RStudio R Markdown</w:t>
        </w:r>
      </w:hyperlink>
      <w:r>
        <w:br w:type="textWrapping"/>
      </w:r>
      <w:hyperlink r:id="rId23">
        <w:r>
          <w:rPr>
            <w:rStyle w:val="Hyperlink"/>
          </w:rPr>
          <w:t xml:space="preserve">R Markdown Cheat Sheet</w:t>
        </w:r>
      </w:hyperlink>
      <w:r>
        <w:br w:type="textWrapping"/>
      </w:r>
      <w:hyperlink r:id="rId24">
        <w:r>
          <w:rPr>
            <w:rStyle w:val="Hyperlink"/>
          </w:rPr>
          <w:t xml:space="preserve">R Markdown Reference Guide</w:t>
        </w:r>
      </w:hyperlink>
      <w:r>
        <w:t xml:space="preserve"> </w:t>
      </w:r>
      <w:hyperlink r:id="rId25">
        <w:r>
          <w:rPr>
            <w:rStyle w:val="Hyperlink"/>
          </w:rPr>
          <w:t xml:space="preserve">Bookdown: Books with R Markdown</w:t>
        </w:r>
      </w:hyperlink>
    </w:p>
    <w:p>
      <w:pPr>
        <w:pStyle w:val="Heading1"/>
      </w:pPr>
      <w:bookmarkStart w:id="26" w:name="basics"/>
      <w:bookmarkEnd w:id="26"/>
      <w:r>
        <w:t xml:space="preserve">Basics</w:t>
      </w:r>
    </w:p>
    <w:p>
      <w:pPr>
        <w:pStyle w:val="FirstParagraph"/>
      </w:pPr>
      <w:r>
        <w:t xml:space="preserve">A YAML is header is a set of key. Output can also be:</w:t>
      </w:r>
    </w:p>
    <w:p>
      <w:pPr>
        <w:pStyle w:val="Compact"/>
        <w:numPr>
          <w:numId w:val="1001"/>
          <w:ilvl w:val="0"/>
        </w:numPr>
      </w:pPr>
      <w:r>
        <w:t xml:space="preserve">pdf_document</w:t>
      </w:r>
    </w:p>
    <w:p>
      <w:pPr>
        <w:pStyle w:val="Compact"/>
        <w:numPr>
          <w:numId w:val="1001"/>
          <w:ilvl w:val="0"/>
        </w:numPr>
      </w:pPr>
      <w:r>
        <w:t xml:space="preserve">word_document</w:t>
      </w:r>
    </w:p>
    <w:p>
      <w:pPr>
        <w:pStyle w:val="Compact"/>
        <w:numPr>
          <w:numId w:val="1001"/>
          <w:ilvl w:val="0"/>
        </w:numPr>
      </w:pPr>
      <w:r>
        <w:t xml:space="preserve">beamer_document</w:t>
      </w:r>
    </w:p>
    <w:p>
      <w:pPr>
        <w:pStyle w:val="Compact"/>
        <w:numPr>
          <w:numId w:val="1001"/>
          <w:ilvl w:val="0"/>
        </w:numPr>
      </w:pPr>
      <w:r>
        <w:t xml:space="preserve">ioslides_document</w:t>
      </w:r>
    </w:p>
    <w:p>
      <w:pPr>
        <w:pStyle w:val="FirstParagraph"/>
      </w:pPr>
      <w:r>
        <w:t xml:space="preserve">To knitr the .Rmd file to the output, in R, execute:</w:t>
      </w:r>
    </w:p>
    <w:p>
      <w:pPr>
        <w:pStyle w:val="SourceCode"/>
      </w:pP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"file.rmd"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knitr the .Rmd file as</w:t>
      </w:r>
      <w:r>
        <w:t xml:space="preserve"> </w:t>
      </w:r>
      <w:r>
        <w:rPr>
          <w:rStyle w:val="VerbatimChar"/>
        </w:rPr>
        <w:t xml:space="preserve">shiny</w:t>
      </w:r>
      <w:r>
        <w:t xml:space="preserve"> </w:t>
      </w:r>
      <w:r>
        <w:t xml:space="preserve">output, in R, execute:</w:t>
      </w:r>
    </w:p>
    <w:p>
      <w:pPr>
        <w:pStyle w:val="SourceCode"/>
      </w:pPr>
      <w:r>
        <w:rPr>
          <w:rStyle w:val="KeywordTok"/>
        </w:rPr>
        <w:t xml:space="preserve">run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"file.rmd"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basic-syntax"/>
      <w:bookmarkEnd w:id="27"/>
      <w:r>
        <w:t xml:space="preserve">Basic Syntax</w:t>
      </w:r>
    </w:p>
    <w:p>
      <w:pPr>
        <w:pStyle w:val="FirstParagraph"/>
      </w:pPr>
      <w:r>
        <w:t xml:space="preserve">Plain text</w:t>
      </w:r>
      <w:r>
        <w:br w:type="textWrapping"/>
      </w:r>
      <w:r>
        <w:t xml:space="preserve">End a line with two spaces</w:t>
      </w:r>
      <w:r>
        <w:t xml:space="preserve"> </w:t>
      </w:r>
      <w:r>
        <w:t xml:space="preserve">to start a new paragraph.</w:t>
      </w:r>
    </w:p>
    <w:p>
      <w:pPr>
        <w:pStyle w:val="BodyText"/>
      </w:pPr>
      <w:r>
        <w:t xml:space="preserve">Or</w:t>
      </w:r>
      <w:r>
        <w:br w:type="textWrapping"/>
      </w:r>
      <w:r>
        <w:t xml:space="preserve">End a line with a</w:t>
      </w:r>
      <w:r>
        <w:t xml:space="preserve"> </w:t>
      </w:r>
      <w:r>
        <w:rPr>
          <w:rStyle w:val="VerbatimChar"/>
        </w:rPr>
        <w:t xml:space="preserve">\</w:t>
      </w:r>
      <w:r>
        <w:t xml:space="preserve">. This is useful in tables.</w:t>
      </w:r>
    </w:p>
    <w:p>
      <w:pPr>
        <w:pStyle w:val="BodyText"/>
      </w:pPr>
      <w:r>
        <w:t xml:space="preserve">Put an empty line between two line</w:t>
      </w:r>
      <w:r>
        <w:t xml:space="preserve"> </w:t>
      </w:r>
      <w:r>
        <w:t xml:space="preserve">to start a new paragraph, with a gap.</w:t>
      </w:r>
    </w:p>
    <w:p>
      <w:pPr>
        <w:pStyle w:val="BodyText"/>
      </w:pPr>
      <w:r>
        <w:rPr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italics</w:t>
      </w:r>
      <w:r>
        <w:br w:type="textWrapping"/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  <w:r>
        <w:br w:type="textWrapping"/>
      </w:r>
      <w:r>
        <w:t xml:space="preserve">superscript</w:t>
      </w:r>
      <w:r>
        <w:rPr>
          <w:vertAlign w:val="superscript"/>
        </w:rPr>
        <w:t xml:space="preserve">2</w:t>
      </w:r>
      <w:r>
        <w:br w:type="textWrapping"/>
      </w:r>
      <w:r>
        <w:rPr>
          <w:strike/>
        </w:rPr>
        <w:t xml:space="preserve">strikethrough</w:t>
      </w:r>
      <w:r>
        <w:br w:type="textWrapping"/>
      </w:r>
      <w:hyperlink r:id="rId28">
        <w:r>
          <w:rPr>
            <w:rStyle w:val="Hyperlink"/>
          </w:rPr>
          <w:t xml:space="preserve">link</w:t>
        </w:r>
      </w:hyperlink>
    </w:p>
    <w:p>
      <w:pPr>
        <w:pStyle w:val="Heading1"/>
      </w:pPr>
      <w:bookmarkStart w:id="29" w:name="header-1"/>
      <w:bookmarkEnd w:id="29"/>
      <w:r>
        <w:t xml:space="preserve">Header 1</w:t>
      </w:r>
    </w:p>
    <w:p>
      <w:pPr>
        <w:pStyle w:val="Heading2"/>
      </w:pPr>
      <w:bookmarkStart w:id="30" w:name="header-2"/>
      <w:bookmarkEnd w:id="30"/>
      <w:r>
        <w:t xml:space="preserve">Header 2</w:t>
      </w:r>
    </w:p>
    <w:p>
      <w:pPr>
        <w:pStyle w:val="Heading1"/>
      </w:pPr>
      <w:bookmarkStart w:id="31" w:name="header-1-1"/>
      <w:bookmarkEnd w:id="31"/>
      <w:r>
        <w:t xml:space="preserve">Header 1</w:t>
      </w:r>
    </w:p>
    <w:p>
      <w:pPr>
        <w:pStyle w:val="Heading2"/>
      </w:pPr>
      <w:bookmarkStart w:id="32" w:name="header-2-1"/>
      <w:bookmarkEnd w:id="32"/>
      <w:r>
        <w:t xml:space="preserve">Header 2</w:t>
      </w:r>
    </w:p>
    <w:p>
      <w:pPr>
        <w:pStyle w:val="Heading3"/>
      </w:pPr>
      <w:bookmarkStart w:id="33" w:name="header-3"/>
      <w:bookmarkEnd w:id="33"/>
      <w:r>
        <w:t xml:space="preserve">Header 3</w:t>
      </w:r>
    </w:p>
    <w:p>
      <w:pPr>
        <w:pStyle w:val="Heading4"/>
      </w:pPr>
      <w:bookmarkStart w:id="34" w:name="header-4"/>
      <w:bookmarkEnd w:id="34"/>
      <w:r>
        <w:t xml:space="preserve">Header 4</w:t>
      </w:r>
    </w:p>
    <w:p>
      <w:pPr>
        <w:pStyle w:val="Heading5"/>
      </w:pPr>
      <w:bookmarkStart w:id="35" w:name="header-5"/>
      <w:bookmarkEnd w:id="35"/>
      <w:r>
        <w:t xml:space="preserve">Header 5</w:t>
      </w:r>
    </w:p>
    <w:p>
      <w:pPr>
        <w:pStyle w:val="Heading6"/>
      </w:pPr>
      <w:bookmarkStart w:id="36" w:name="header-6"/>
      <w:bookmarkEnd w:id="36"/>
      <w:r>
        <w:t xml:space="preserve">Header 6</w:t>
      </w:r>
    </w:p>
    <w:p>
      <w:pPr>
        <w:pStyle w:val="FirstParagraph"/>
      </w:pPr>
      <w:r>
        <w:t xml:space="preserve">endash: --</w:t>
      </w:r>
      <w:r>
        <w:br w:type="textWrapping"/>
      </w:r>
      <w:r>
        <w:t xml:space="preserve">emdash: ---</w:t>
      </w:r>
      <w:r>
        <w:br w:type="textWrapping"/>
      </w:r>
      <w:r>
        <w:t xml:space="preserve">ellipsis: ...</w:t>
      </w:r>
      <w:r>
        <w:br w:type="textWrapping"/>
      </w:r>
      <w:r>
        <w:t xml:space="preserve">inline equation:</w:t>
      </w:r>
      <w:r>
        <w:t xml:space="preserve"> </w:t>
      </w:r>
      <m:oMath>
        <m:r>
          <m:rPr/>
          <m:t>A</m:t>
        </m:r>
        <m:r>
          <m:rPr/>
          <m:t>=</m:t>
        </m:r>
        <m:r>
          <m:rPr/>
          <m:t>π</m:t>
        </m:r>
        <m:r>
          <m:rPr/>
          <m:t>*</m:t>
        </m:r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</w:p>
    <w:p>
      <w:pPr>
        <w:pStyle w:val="BlockText"/>
      </w:pPr>
      <w:r>
        <w:t xml:space="preserve">block quote</w:t>
      </w:r>
    </w:p>
    <w:p>
      <w:pPr>
        <w:pStyle w:val="SourceCode"/>
      </w:pPr>
      <w:r>
        <w:rPr>
          <w:rStyle w:val="VerbatimChar"/>
        </w:rPr>
        <w:t xml:space="preserve">plain code blocks</w:t>
      </w:r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 block</w:t>
      </w:r>
      <w:r>
        <w:t xml:space="preserve">.</w:t>
      </w:r>
    </w:p>
    <w:p>
      <w:pPr>
        <w:pStyle w:val="BodyText"/>
      </w:pPr>
      <w:r>
        <w:t xml:space="preserve">LaTeX Equations:</w:t>
      </w:r>
      <w:r>
        <w:br w:type="textWrapping"/>
      </w:r>
      <w:r>
        <w:t xml:space="preserve">Inline:</w:t>
      </w:r>
      <w:r>
        <w:t xml:space="preserve"> </w:t>
      </w:r>
      <m:oMath>
        <m:r>
          <m:rPr/>
          <m:t>e</m:t>
        </m:r>
        <m:r>
          <m:rPr/>
          <m:t>q</m:t>
        </m:r>
        <m:r>
          <m:rPr/>
          <m:t>u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</m:oMath>
      <w:r>
        <w:br w:type="textWrapping"/>
      </w:r>
      <w:r>
        <w:t xml:space="preserve">Display equation: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e</m:t>
          </m:r>
          <m:r>
            <m:rPr/>
            <m:t>q</m:t>
          </m:r>
          <m:r>
            <m:rPr/>
            <m:t>u</m:t>
          </m:r>
          <m:r>
            <m:rPr/>
            <m:t>a</m:t>
          </m:r>
          <m:r>
            <m:rPr/>
            <m:t>t</m:t>
          </m:r>
          <m:r>
            <m:rPr/>
            <m:t>i</m:t>
          </m:r>
          <m:r>
            <m:rPr/>
            <m:t>o</m:t>
          </m:r>
          <m:r>
            <m:rPr/>
            <m:t>n</m:t>
          </m:r>
        </m:oMath>
      </m:oMathPara>
    </w:p>
    <w:p>
      <w:pPr>
        <w:pStyle w:val="Compact"/>
        <w:numPr>
          <w:numId w:val="1002"/>
          <w:ilvl w:val="0"/>
        </w:numPr>
      </w:pPr>
      <w:r>
        <w:t xml:space="preserve">unordered list</w:t>
      </w:r>
    </w:p>
    <w:p>
      <w:pPr>
        <w:pStyle w:val="Compact"/>
        <w:numPr>
          <w:numId w:val="1002"/>
          <w:ilvl w:val="0"/>
        </w:numPr>
      </w:pPr>
      <w:r>
        <w:t xml:space="preserve">item 2</w:t>
      </w:r>
    </w:p>
    <w:p>
      <w:pPr>
        <w:pStyle w:val="Compact"/>
        <w:numPr>
          <w:numId w:val="1002"/>
          <w:ilvl w:val="0"/>
        </w:numPr>
      </w:pPr>
      <w:r>
        <w:t xml:space="preserve">sub-item 1</w:t>
      </w:r>
    </w:p>
    <w:p>
      <w:pPr>
        <w:pStyle w:val="Compact"/>
        <w:numPr>
          <w:numId w:val="1002"/>
          <w:ilvl w:val="0"/>
        </w:numPr>
      </w:pPr>
      <w:r>
        <w:t xml:space="preserve">sub-item 2</w:t>
      </w:r>
    </w:p>
    <w:p>
      <w:pPr>
        <w:pStyle w:val="Compact"/>
        <w:numPr>
          <w:numId w:val="1003"/>
          <w:ilvl w:val="0"/>
        </w:numPr>
      </w:pPr>
      <w:r>
        <w:t xml:space="preserve">ordered list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0"/>
        </w:numPr>
      </w:pPr>
      <w:r>
        <w:t xml:space="preserve">sub-item 1</w:t>
      </w:r>
    </w:p>
    <w:p>
      <w:pPr>
        <w:pStyle w:val="Compact"/>
        <w:numPr>
          <w:numId w:val="1004"/>
          <w:ilvl w:val="0"/>
        </w:numPr>
      </w:pPr>
      <w:r>
        <w:t xml:space="preserve">sub-item 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 Cell</w:t>
            </w: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3</w:t>
            </w:r>
          </w:p>
        </w:tc>
        <w:tc>
          <w:p>
            <w:pPr>
              <w:pStyle w:val="Compact"/>
              <w:jc w:val="left"/>
            </w:pPr>
            <w:r>
              <w:t xml:space="preserve">Cell 4</w:t>
            </w:r>
          </w:p>
        </w:tc>
      </w:tr>
    </w:tbl>
    <w:p>
      <w:pPr>
        <w:pStyle w:val="BodyText"/>
      </w:pPr>
      <w:r>
        <w:t xml:space="preserve">horizontal rule (or slide break; 3 or more is good):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embedding-r-codes"/>
      <w:bookmarkEnd w:id="37"/>
      <w:r>
        <w:t xml:space="preserve">Embedding R Codes</w:t>
      </w:r>
    </w:p>
    <w:p>
      <w:pPr>
        <w:pStyle w:val="FirstParagraph"/>
      </w:pPr>
      <w:r>
        <w:t xml:space="preserve">Default: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"Hello, World!"</w:t>
      </w:r>
    </w:p>
    <w:p>
      <w:pPr>
        <w:pStyle w:val="FirstParagraph"/>
      </w:pPr>
      <w:r>
        <w:t xml:space="preserve">Include code: 2 + 2 = 4</w:t>
      </w:r>
    </w:p>
    <w:p>
      <w:pPr>
        <w:pStyle w:val="Heading4"/>
      </w:pPr>
      <w:bookmarkStart w:id="38" w:name="chuck-options-inside-r"/>
      <w:bookmarkEnd w:id="38"/>
      <w:r>
        <w:t xml:space="preserve">Chuck Options (inside {r})</w:t>
      </w:r>
    </w:p>
    <w:p>
      <w:pPr>
        <w:pStyle w:val="FirstParagraph"/>
      </w:pPr>
      <w:r>
        <w:t xml:space="preserve">To only show the codes: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only show the evaluation:</w:t>
      </w:r>
    </w:p>
    <w:p>
      <w:pPr>
        <w:pStyle w:val="SourceCode"/>
      </w:pPr>
      <w:r>
        <w:rPr>
          <w:rStyle w:val="VerbatimChar"/>
        </w:rPr>
        <w:t xml:space="preserve">## [1] "Hello, World!"</w:t>
      </w:r>
    </w:p>
    <w:p>
      <w:pPr>
        <w:pStyle w:val="Heading4"/>
      </w:pPr>
      <w:bookmarkStart w:id="39" w:name="example"/>
      <w:bookmarkEnd w:id="39"/>
      <w:r>
        <w:t xml:space="preserve">Example:</w:t>
      </w:r>
    </w:p>
    <w:p>
      <w:pPr>
        <w:pStyle w:val="FirstParagraph"/>
      </w:pPr>
      <w:r>
        <w:t xml:space="preserve">With ggplot2:</w:t>
      </w:r>
    </w:p>
    <w:p>
      <w:pPr>
        <w:pStyle w:val="SourceCode"/>
      </w:pPr>
      <w:r>
        <w:rPr>
          <w:rStyle w:val="NormalTok"/>
        </w:rPr>
        <w:t xml:space="preserve">imdb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'~/Documents/Projects/IMDB/ratings_list_short_151120.csv'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(imdb,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Rating))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1237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a06b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b594a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25" Target="https://bookdown.org/yihui/bookdown/" TargetMode="External" /><Relationship Type="http://schemas.openxmlformats.org/officeDocument/2006/relationships/hyperlink" Id="rId23" Target="https://www.rstudio.com/wp-content/uploads/2015/02/rmarkdown-cheatsheet.pdf" TargetMode="External" /><Relationship Type="http://schemas.openxmlformats.org/officeDocument/2006/relationships/hyperlink" Id="rId24" Target="https://www.rstudio.com/wp-content/uploads/2015/03/rmarkdown-reference.pdf" TargetMode="External" /><Relationship Type="http://schemas.openxmlformats.org/officeDocument/2006/relationships/hyperlink" Id="rId28" Target="www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25" Target="https://bookdown.org/yihui/bookdown/" TargetMode="External" /><Relationship Type="http://schemas.openxmlformats.org/officeDocument/2006/relationships/hyperlink" Id="rId23" Target="https://www.rstudio.com/wp-content/uploads/2015/02/rmarkdown-cheatsheet.pdf" TargetMode="External" /><Relationship Type="http://schemas.openxmlformats.org/officeDocument/2006/relationships/hyperlink" Id="rId24" Target="https://www.rstudio.com/wp-content/uploads/2015/03/rmarkdown-reference.pdf" TargetMode="External" /><Relationship Type="http://schemas.openxmlformats.org/officeDocument/2006/relationships/hyperlink" Id="rId28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notes</dc:title>
  <dc:creator>Steven Wong</dc:creator>
</cp:coreProperties>
</file>