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640" w:lineRule="exact"/>
        <w:snapToGrid w:val="0"/>
      </w:pPr>
      <w:r>
        <w:t>DEI 培训网站交互设计需求</w:t>
      </w:r>
    </w:p>
    <w:p>
      <w:pPr>
        <w:spacing w:line="340" w:lineRule="exact"/>
        <w:snapToGrid w:val="0"/>
      </w:pPr>
      <w:r>
        <w:t>Basic DEI 预试版本  |  2026年9月23日  |  v1.0</w:t>
      </w:r>
    </w:p>
    <w:p>
      <w:pPr>
        <w:spacing w:line="340" w:lineRule="exact"/>
        <w:snapToGrid w:val="0"/>
      </w:pPr>
      <w:r>
        <w:t>本文件整理本轮已确认的网页交互，供原型设计、开发和预试检查使用，可作为原需求文档的交互附录。它定义参与者看到什么、如何操作、何时进入下一步，以及异常发生时如何恢复。</w:t>
      </w:r>
    </w:p>
    <w:p>
      <w:pPr>
        <w:pStyle w:val="Heading2"/>
        <w:spacing w:line="340" w:lineRule="exact"/>
        <w:snapToGrid w:val="0"/>
      </w:pPr>
      <w:r>
        <w:t>1 适用范围与优先顺序</w:t>
      </w:r>
    </w:p>
    <w:p>
      <w:pPr>
        <w:spacing w:line="340" w:lineRule="exact"/>
        <w:snapToGrid w:val="0"/>
      </w:pPr>
      <w:r>
        <w:t>本轮采用网页版，不设计员工账号登录与注册。首页保留四个功能入口，仅开放 Basic DEI。完成后其余课程仍显示 Coming soon，不在本轮预试中解锁。正式员工平台的账号、六门课程顺序和管理后台作为后续范围。</w:t>
      </w:r>
    </w:p>
    <w:p>
      <w:pPr>
        <w:spacing w:line="340" w:lineRule="exact"/>
        <w:snapToGrid w:val="0"/>
      </w:pPr>
      <w:r>
        <w:t>本轮交互以本文件为准；视觉以 style.md 的第二版深棕木质风格为准。这里对预试的限定不替代正式平台的长期课程规则。英文按钮为原型文案，界面主要使用美式英语。</w:t>
      </w:r>
    </w:p>
    <w:p>
      <w:pPr>
        <w:pStyle w:val="Heading2"/>
        <w:spacing w:line="340" w:lineRule="exact"/>
        <w:snapToGrid w:val="0"/>
      </w:pPr>
      <w:r>
        <w:t>2 本轮关键决定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496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本轮规则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视频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≤3分钟；首次不能跳至未观看部分；完整观看后进入练习。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答题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8题，每题提交；全部完成后统一显示正确答案与解释。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成绩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每题12.5分，85%及格；至少7题正确，即87.5%。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重试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未达标者查看反馈后仅重试错题，最多一轮；仍未达标也可继续角色扮演。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角色扮演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三轮文字回应，统一教练反馈；AI评分不设通过门槛。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完成状态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分别记录达标完成、流程结束但未达标、技术中断。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研究边界</w:t>
            </w:r>
          </w:p>
        </w:tc>
        <w:tc>
          <w:tcPr>
            <w:tcW w:type="dxa" w:w="84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后测前不开放自由答疑、加练和重复学习；返回 Qualtrics 完成后测。</w:t>
            </w:r>
          </w:p>
        </w:tc>
      </w:tr>
    </w:tbl>
    <w:p>
      <w:pPr>
        <w:spacing w:after="0" w:line="340" w:lineRule="exact"/>
        <w:snapToGrid w:val="0"/>
      </w:pPr>
    </w:p>
    <w:p>
      <w:pPr>
        <w:pStyle w:val="Heading2"/>
        <w:spacing w:line="340" w:lineRule="exact"/>
        <w:snapToGrid w:val="0"/>
      </w:pPr>
      <w:r>
        <w:t>3 整体学习顺序</w:t>
      </w:r>
    </w:p>
    <w:p>
      <w:pPr>
        <w:spacing w:line="340" w:lineRule="exact"/>
        <w:snapToGrid w:val="0"/>
      </w:pPr>
      <w:r>
        <w:t>首页 → Basic DEI 介绍 → 视频 → 8道题 → 成绩及逐题反馈 → 未达标时一轮错题重试 → 三轮角色扮演 → 教练反馈 → 结束页 → 返回 Qualtrics 或体验首页。</w:t>
      </w:r>
    </w:p>
    <w:p>
      <w:pPr>
        <w:spacing w:line="340" w:lineRule="exact"/>
        <w:snapToGrid w:val="0"/>
      </w:pPr>
      <w:r>
        <w:t>用户已明确采纳前述八项核心规则；最后一轮补充的交互细节在本稿中作为默认实现方案归档。实际课程题目、视频、评分依据与正式角色台词仍需由研究者提供或审核。</w:t>
      </w:r>
    </w:p>
    <w:p>
      <w:pPr>
        <w:pStyle w:val="Heading1"/>
        <w:spacing w:line="480" w:lineRule="exact"/>
        <w:snapToGrid w:val="0"/>
      </w:pPr>
      <w:r>
        <w:t>页面入口与视频学习</w:t>
      </w:r>
    </w:p>
    <w:p>
      <w:pPr>
        <w:pStyle w:val="Heading2"/>
        <w:spacing w:line="340" w:lineRule="exact"/>
        <w:snapToGrid w:val="0"/>
      </w:pPr>
      <w:r>
        <w:t>4 首页及四个功能入口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入口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显示与行为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Courses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显示六个模块。Basic DEI 可进入；其余显示锁定及 Coming soon，可查看说明但不能开始学习。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Achievements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显示真实获得的积分和徽章。无记录时提示完成第一门课程后将显示进度。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AI Companion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必修角色扮演由课程流程进入。研究后测前，自由答疑及加练入口不可启动，并说明原因。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My Learning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显示当前学习阶段、成绩与完成状态；Continue learning 返回中断位置。</w:t>
            </w:r>
          </w:p>
        </w:tc>
      </w:tr>
    </w:tbl>
    <w:p>
      <w:pPr>
        <w:spacing w:after="0" w:line="340" w:lineRule="exact"/>
        <w:snapToGrid w:val="0"/>
      </w:pPr>
    </w:p>
    <w:p>
      <w:pPr>
        <w:spacing w:line="340" w:lineRule="exact"/>
        <w:snapToGrid w:val="0"/>
      </w:pPr>
      <w:r>
        <w:t>研究参与者从 Qualtrics 带入研究编号，无须填写员工账号。直接打开体验链接时标记为独立演示记录，不混入正式研究数据。研究编号用于关联记录，不能保证杜绝重复参与。</w:t>
      </w:r>
    </w:p>
    <w:p>
      <w:pPr>
        <w:pStyle w:val="Heading2"/>
        <w:spacing w:line="340" w:lineRule="exact"/>
        <w:snapToGrid w:val="0"/>
      </w:pPr>
      <w:r>
        <w:t>5 课程介绍页</w:t>
      </w:r>
    </w:p>
    <w:p>
      <w:pPr>
        <w:spacing w:line="340" w:lineRule="exact"/>
        <w:snapToGrid w:val="0"/>
      </w:pPr>
      <w:r>
        <w:t>显示课程名称、学习目标、预计用时、视频与8题练习、必修角色扮演、及格规则。Start learning 开始视频；已有进度时显示 Continue learning。未完成后测的研究会话不提供重新开始整门课的入口。</w:t>
      </w:r>
    </w:p>
    <w:p>
      <w:pPr>
        <w:pStyle w:val="Heading2"/>
        <w:spacing w:line="340" w:lineRule="exact"/>
        <w:snapToGrid w:val="0"/>
      </w:pPr>
      <w:r>
        <w:t>6 视频页</w:t>
      </w:r>
    </w:p>
    <w:p>
      <w:pPr>
        <w:spacing w:line="340" w:lineRule="exact"/>
        <w:snapToGrid w:val="0"/>
      </w:pPr>
      <w:r>
        <w:t>视频由用户点击播放，支持暂停和回看已观看部分；首次禁止跳到未观看片段。完整播放后记录观看完成，启用 Continue to practice。离开当前学习页面或切换标签页时暂停。</w:t>
      </w:r>
    </w:p>
    <w:p>
      <w:pPr>
        <w:spacing w:line="340" w:lineRule="exact"/>
        <w:snapToGrid w:val="0"/>
      </w:pPr>
      <w:r>
        <w:t>普通体验模式完成首次观看后可以自由拖动和重复观看。研究模式首次完成后直接进入练习，后测前不提供整段重新学习入口；这不影响首次观看过程中的必要回看。</w:t>
      </w:r>
    </w:p>
    <w:p>
      <w:pPr>
        <w:spacing w:line="340" w:lineRule="exact"/>
        <w:snapToGrid w:val="0"/>
      </w:pPr>
      <w:r>
        <w:t>视频加载失败时显示 Retry，保留已观看进度；不能用跳过按钮将故障误标为观看完成。持续失败时进入技术中断处理。完整播放只表示系统记录的播放完成，不等于证明参与者始终专注。</w:t>
      </w:r>
    </w:p>
    <w:p>
      <w:pPr>
        <w:pStyle w:val="Heading2"/>
        <w:spacing w:line="340" w:lineRule="exact"/>
        <w:snapToGrid w:val="0"/>
      </w:pPr>
      <w:r>
        <w:t>7 导航离开与恢复</w:t>
      </w:r>
    </w:p>
    <w:p>
      <w:pPr>
        <w:spacing w:line="340" w:lineRule="exact"/>
        <w:snapToGrid w:val="0"/>
      </w:pPr>
      <w:r>
        <w:t>学习过程中点击退出或顶部其他入口，提示 Save and leave 和 Keep learning。保存成功后离开；失败则保留当前内容并提供重试，不能显示虚假的保存成功。浏览器直接关闭或断网依靠最近一次成功保存恢复，不承诺能截获所有关闭动作。</w:t>
      </w:r>
    </w:p>
    <w:p>
      <w:pPr>
        <w:pStyle w:val="Heading1"/>
        <w:spacing w:line="480" w:lineRule="exact"/>
        <w:snapToGrid w:val="0"/>
      </w:pPr>
      <w:r>
        <w:t>八道练习题与成绩</w:t>
      </w:r>
    </w:p>
    <w:p>
      <w:pPr>
        <w:pStyle w:val="Heading2"/>
        <w:spacing w:line="340" w:lineRule="exact"/>
        <w:snapToGrid w:val="0"/>
      </w:pPr>
      <w:r>
        <w:t>8 一屏一题的布局</w:t>
      </w:r>
    </w:p>
    <w:p>
      <w:pPr>
        <w:spacing w:line="340" w:lineRule="exact"/>
        <w:snapToGrid w:val="0"/>
      </w:pPr>
      <w:r>
        <w:t>参考用户提供的多邻国截图：顶部退出、进度条、Question 3 of 8 和声音开关；中部显示指令、酒店情境与角色气泡；下方为3至4个可整行点击的选项；底部为主操作按钮。保留暖白底、深棕文字与浅米选中态，较长选项左对齐。</w:t>
      </w:r>
    </w:p>
    <w:p>
      <w:pPr>
        <w:spacing w:line="340" w:lineRule="exact"/>
        <w:snapToGrid w:val="0"/>
      </w:pPr>
      <w:r>
        <w:t>进度条仅表示已提交题数，不表示正确率。未选择时 Submit answer 禁用；选择后启用。提交并保存成功后锁定答案，显示 Answer submitted 与 Continue，最后一题进入结果页。未提交可以更换选项，已提交的首次答案不可修改。</w:t>
      </w:r>
    </w:p>
    <w:p>
      <w:pPr>
        <w:pStyle w:val="Heading2"/>
        <w:spacing w:line="340" w:lineRule="exact"/>
        <w:snapToGrid w:val="0"/>
      </w:pPr>
      <w:r>
        <w:t>9 反馈时机与声效</w:t>
      </w:r>
    </w:p>
    <w:p>
      <w:pPr>
        <w:spacing w:line="340" w:lineRule="exact"/>
        <w:snapToGrid w:val="0"/>
      </w:pPr>
      <w:r>
        <w:t>每题提交后不显示对错、正确选项或解释，也不以绿色或音效泄露正确性。每次提交使用同一种轻柔中性提示音。第4题后可显示 You’re halfway through，不评价答题表现。</w:t>
      </w:r>
    </w:p>
    <w:p>
      <w:pPr>
        <w:spacing w:line="340" w:lineRule="exact"/>
        <w:snapToGrid w:val="0"/>
      </w:pPr>
      <w:r>
        <w:t>第8题提交后显示首次分数、正确题数、是否达标和逐题反馈。每题反馈包含用户选择、正确答案及解释。声音提供开关并记住本次选择；所有信息同时用文字呈现。听感可参考空灵、轻柔的游戏提示音，使用原创或已授权素材。</w:t>
      </w:r>
    </w:p>
    <w:p>
      <w:pPr>
        <w:pStyle w:val="Heading2"/>
        <w:spacing w:line="340" w:lineRule="exact"/>
        <w:snapToGrid w:val="0"/>
      </w:pPr>
      <w:r>
        <w:t>10 计分与一次错题重试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8064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后续操作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首次 ≥85%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保留首次成绩；查看反馈后进入必修角色扮演，不要求重试。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首次 &lt;85%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查看逐题反馈后点击 Retry missed questions，仅重试首次错题一次。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错题重试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仍逐题提交；本轮错题全部提交后统一反馈。首次答对题继续按正确计入总计。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订正后 ≥85%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显示订正后成绩与达标状态，进入角色扮演。</w:t>
            </w:r>
          </w:p>
        </w:tc>
      </w:tr>
      <w:tr>
        <w:trPr>
          <w:cantSplit/>
        </w:trP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订正后 &lt;85%</w:t>
            </w:r>
          </w:p>
        </w:tc>
        <w:tc>
          <w:tcPr>
            <w:tcW w:type="dxa" w:w="806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显示尚未达标但可继续本轮练习；进入角色扮演，不开启第二轮重试。</w:t>
            </w:r>
          </w:p>
        </w:tc>
      </w:tr>
    </w:tbl>
    <w:p>
      <w:pPr>
        <w:spacing w:after="0" w:line="340" w:lineRule="exact"/>
        <w:snapToGrid w:val="0"/>
      </w:pPr>
    </w:p>
    <w:p>
      <w:pPr>
        <w:spacing w:line="340" w:lineRule="exact"/>
        <w:snapToGrid w:val="0"/>
      </w:pPr>
      <w:r>
        <w:t>订正后成绩＝首次答对题数＋本轮订正答对题数，再除以8并乘100。例：首次5/8＝62.5%，三道错题订正对两道，则订正后7/8＝87.5%。首次成绩不得被覆盖。</w:t>
      </w:r>
    </w:p>
    <w:p>
      <w:pPr>
        <w:spacing w:line="340" w:lineRule="exact"/>
        <w:snapToGrid w:val="0"/>
      </w:pPr>
      <w:r>
        <w:t>这些分数是培训过程成绩，订正成绩可能受已见反馈影响；均不能代替 Qualtrics 中两组共同完成的独立后测。</w:t>
      </w:r>
    </w:p>
    <w:p>
      <w:pPr>
        <w:pStyle w:val="Heading1"/>
        <w:spacing w:line="480" w:lineRule="exact"/>
        <w:snapToGrid w:val="0"/>
      </w:pPr>
      <w:r>
        <w:t>角色扮演与教练反馈</w:t>
      </w:r>
    </w:p>
    <w:p>
      <w:pPr>
        <w:pStyle w:val="Heading2"/>
        <w:spacing w:line="340" w:lineRule="exact"/>
        <w:snapToGrid w:val="0"/>
      </w:pPr>
      <w:r>
        <w:t>11 任务形式</w:t>
      </w:r>
    </w:p>
    <w:p>
      <w:pPr>
        <w:spacing w:line="340" w:lineRule="exact"/>
        <w:snapToGrid w:val="0"/>
      </w:pPr>
      <w:r>
        <w:t>必修练习约3至4分钟，固定一个 Avatar，以文字输入完成三次有效回应。开始页说明情境、员工角色和目标，点击 Start practice 后由 Avatar 先发言。界面持续显示其当前身份，如 Playing hotel guest 或 Playing new colleague。</w:t>
      </w:r>
    </w:p>
    <w:p>
      <w:pPr>
        <w:spacing w:line="340" w:lineRule="exact"/>
        <w:snapToGrid w:val="0"/>
      </w:pPr>
      <w:r>
        <w:t>本轮建议情境：班前会议后，新同事因不理解缩写而感到被排除。三轮分别练习理解对方、询问需要、提出权限内的支持行动。该情境为候选内容，不是已经验证的正式题目；上线前结合 Basic DEI 视频审核。</w:t>
      </w:r>
    </w:p>
    <w:p>
      <w:pPr>
        <w:pStyle w:val="Heading2"/>
        <w:spacing w:line="340" w:lineRule="exact"/>
        <w:snapToGrid w:val="0"/>
      </w:pPr>
      <w:r>
        <w:t>12 回应规则与提示</w:t>
      </w:r>
    </w:p>
    <w:p>
      <w:pPr>
        <w:spacing w:line="340" w:lineRule="exact"/>
        <w:snapToGrid w:val="0"/>
      </w:pPr>
      <w:r>
        <w:t>有效回应指与情境相关，不等于回答正确。不恰当但相关的回应仍计入轮次，留待结束后反馈。空白、乱码或明显无关内容不推进轮次，以中性提示邀请重新输入。判定不应要求参与者必须使用某些 DEI 术语。</w:t>
      </w:r>
    </w:p>
    <w:p>
      <w:pPr>
        <w:spacing w:line="340" w:lineRule="exact"/>
        <w:snapToGrid w:val="0"/>
      </w:pPr>
      <w:r>
        <w:t>Need a hint 提供思考方向而非标准答案，并记录使用次数。对话期间 Avatar 保持角色，不逐句切换为评分者。AI可调整措辞和追问，但保持预设情境与三轮目标，不临时增加人物、冲突或酒店政策。</w:t>
      </w:r>
    </w:p>
    <w:p>
      <w:pPr>
        <w:pStyle w:val="Heading2"/>
        <w:spacing w:line="340" w:lineRule="exact"/>
        <w:snapToGrid w:val="0"/>
      </w:pPr>
      <w:r>
        <w:t>13 结束与反馈</w:t>
      </w:r>
    </w:p>
    <w:p>
      <w:pPr>
        <w:spacing w:line="340" w:lineRule="exact"/>
        <w:snapToGrid w:val="0"/>
      </w:pPr>
      <w:r>
        <w:t>完成三次有效回应后出现 View feedback。Avatar 明确切换为 Learning coach，统一呈现一个优点、一个改进点和一个示范回应；反馈应针对实际回答，不预先假定员工表现优秀。</w:t>
      </w:r>
    </w:p>
    <w:p>
      <w:pPr>
        <w:spacing w:line="340" w:lineRule="exact"/>
        <w:snapToGrid w:val="0"/>
      </w:pPr>
      <w:r>
        <w:t>反馈末尾显示 Finish practice。点击并保存成功后记录反馈已确认查看及角色扮演完成；不用强制停留时间判断是否认真阅读。AI评分不作为通过门槛。必修角色扮演、自由加练与自由答疑分别标记和记录。</w:t>
      </w:r>
    </w:p>
    <w:p>
      <w:pPr>
        <w:pStyle w:val="Heading2"/>
        <w:spacing w:line="340" w:lineRule="exact"/>
        <w:snapToGrid w:val="0"/>
      </w:pPr>
      <w:r>
        <w:t>14 对话故障与中断</w:t>
      </w:r>
    </w:p>
    <w:p>
      <w:pPr>
        <w:spacing w:line="340" w:lineRule="exact"/>
        <w:snapToGrid w:val="0"/>
      </w:pPr>
      <w:r>
        <w:t>发送后显示等待状态，防止重复提交；等待期间不得增加回应轮次。失败时保留员工原文，提供 Retry。重试同一条消息不重复计数。持续失败时允许结束尝试，记录技术中断并提供恢复或返回问卷入口。</w:t>
      </w:r>
    </w:p>
    <w:p>
      <w:pPr>
        <w:spacing w:line="340" w:lineRule="exact"/>
        <w:snapToGrid w:val="0"/>
      </w:pPr>
      <w:r>
        <w:t>中断恢复后显示已保存的对话和轮次，恢复未提交草稿；不因刷新自动重开情境。模型与网络超时的具体秒数为开发配置项，需在预试前固定，不能临时按参与者改变。</w:t>
      </w:r>
    </w:p>
    <w:p>
      <w:pPr>
        <w:pStyle w:val="Heading1"/>
        <w:spacing w:line="480" w:lineRule="exact"/>
        <w:snapToGrid w:val="0"/>
      </w:pPr>
      <w:r>
        <w:t>结束状态与研究返回</w:t>
      </w:r>
    </w:p>
    <w:p>
      <w:pPr>
        <w:pStyle w:val="Heading2"/>
        <w:spacing w:line="340" w:lineRule="exact"/>
        <w:snapToGrid w:val="0"/>
      </w:pPr>
      <w:r>
        <w:t>15 结束状态必须区分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5184"/>
        <w:gridCol w:w="3312"/>
      </w:tblGrid>
      <w:tr>
        <w:trPr>
          <w:tblHeader/>
          <w:cantSplit/>
        </w:trPr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判定与显示</w:t>
            </w:r>
          </w:p>
        </w:tc>
        <w:tc>
          <w:tcPr>
            <w:tcW w:type="dxa" w:w="33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后续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课程达标完成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视频完成；首次或订正成绩达标；三轮角色扮演完成并确认查看反馈。显示 Course completed。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发放一次课程完成奖励；研究模式返回后测。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流程结束但未达标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重试后未达85%，但其余必修步骤完成。显示 Practice finished 和测验未达标说明。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保留真实成绩；不发通过型课程奖励；允许返回后测。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技术中断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关键步骤因播放、保存或对话故障无法完成。显示 Technical interruption。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保留已完成记录，提供恢复或返回问卷；不算答错。</w:t>
            </w:r>
          </w:p>
        </w:tc>
      </w:tr>
      <w:tr>
        <w:trPr>
          <w:cantSplit/>
        </w:trPr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主动中断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参与者选择保存并离开，尚未走完流程。显示 In progress。</w:t>
            </w:r>
          </w:p>
        </w:tc>
        <w:tc>
          <w:tcPr>
            <w:tcW w:type="dxa" w:w="33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以后从保存位置继续；不显示已完成。</w:t>
            </w:r>
          </w:p>
        </w:tc>
      </w:tr>
    </w:tbl>
    <w:p>
      <w:pPr>
        <w:spacing w:after="0" w:line="340" w:lineRule="exact"/>
        <w:snapToGrid w:val="0"/>
      </w:pPr>
    </w:p>
    <w:p>
      <w:pPr>
        <w:pStyle w:val="Heading2"/>
        <w:spacing w:line="340" w:lineRule="exact"/>
        <w:snapToGrid w:val="0"/>
      </w:pPr>
      <w:r>
        <w:t>16 Qualtrics 衔接</w:t>
      </w:r>
    </w:p>
    <w:p>
      <w:pPr>
        <w:spacing w:line="340" w:lineRule="exact"/>
        <w:snapToGrid w:val="0"/>
      </w:pPr>
      <w:r>
        <w:t>正常结束页提供 Return to survey。返回时关联研究编号、课程和学习结束状态，不能把“已返回问卷”自动等同于“已完成后测”。视频对照组仍在 Qualtrics 学习；本网站承载完整培训组。</w:t>
      </w:r>
    </w:p>
    <w:p>
      <w:pPr>
        <w:spacing w:line="340" w:lineRule="exact"/>
        <w:snapToGrid w:val="0"/>
      </w:pPr>
      <w:r>
        <w:t>返回失败时保留结束状态，提供再次返回入口，不要求重新答题。后测前不开放自由答疑、加练、其他课程或重复学习。只有获得可验证的后测完成状态后才能开放可选活动；若没有回传机制，本轮继续保持锁定。</w:t>
      </w:r>
    </w:p>
    <w:p>
      <w:pPr>
        <w:pStyle w:val="Heading2"/>
        <w:spacing w:line="340" w:lineRule="exact"/>
        <w:snapToGrid w:val="0"/>
      </w:pPr>
      <w:r>
        <w:t>17 成就与学习记录</w:t>
      </w:r>
    </w:p>
    <w:p>
      <w:pPr>
        <w:spacing w:line="340" w:lineRule="exact"/>
        <w:snapToGrid w:val="0"/>
      </w:pPr>
      <w:r>
        <w:t>延续已定奖励方案：每门课程达标完成后一次性获得100积分，不因刷新、重复点击或回访重复发放。预试仅开放 Basic DEI，首次达标可获得 First Step 徽章，其余课程相关徽章保持未解锁。</w:t>
      </w:r>
    </w:p>
    <w:p>
      <w:pPr>
        <w:spacing w:line="340" w:lineRule="exact"/>
        <w:snapToGrid w:val="0"/>
      </w:pPr>
      <w:r>
        <w:t>学习日与连续答对分开。首次使用强调完成首次学习；同一天多次任务只计一个学习日。不使用生命值、扣体力或限时作答。无历史记录时显示真实空状态，不预填虚构积分。</w:t>
      </w:r>
    </w:p>
    <w:p>
      <w:pPr>
        <w:spacing w:line="340" w:lineRule="exact"/>
        <w:snapToGrid w:val="0"/>
      </w:pPr>
      <w:r>
        <w:t>独立体验结束可返回首页。自由加练即使后续开放，也不替代必修完成条件、不重新发放课程完成积分；其他课程仍显示 Coming soon。</w:t>
      </w:r>
    </w:p>
    <w:p>
      <w:pPr>
        <w:pStyle w:val="Heading1"/>
        <w:spacing w:line="480" w:lineRule="exact"/>
        <w:snapToGrid w:val="0"/>
      </w:pPr>
      <w:r>
        <w:t>数据记录与原型验收</w:t>
      </w:r>
    </w:p>
    <w:p>
      <w:pPr>
        <w:pStyle w:val="Heading2"/>
        <w:spacing w:line="340" w:lineRule="exact"/>
        <w:snapToGrid w:val="0"/>
      </w:pPr>
      <w:r>
        <w:t>18 最少需要记录的交互数据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8208"/>
      </w:tblGrid>
      <w:tr>
        <w:trPr>
          <w:tblHeader/>
          <w:cantSplit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数据类别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8E8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/>
                <w:sz w:val="21"/>
              </w:rPr>
              <w:t>字段或事件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会话关联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研究编号或演示会话编号、模式、课程编号、内容版本、开始及结束时间。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视频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已观看进度、完成状态、暂停与恢复、播放故障。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答题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题目编号、选择、首次或重试、提交时间、首次成绩、订正后成绩。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角色扮演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情境编号、每轮文本、有效轮次、提示使用、失败及重试、反馈确认。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学习状态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阶段、恢复位置、达标与否、主动中断或技术中断、奖励是否已发放。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研究返回</w:t>
            </w:r>
          </w:p>
        </w:tc>
        <w:tc>
          <w:tcPr>
            <w:tcW w:type="dxa" w:w="82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line="340" w:lineRule="exact"/>
              <w:snapToGrid w:val="0"/>
            </w:pPr>
            <w:r>
              <w:rPr>
                <w:b w:val="0"/>
                <w:sz w:val="21"/>
              </w:rPr>
              <w:t>返回尝试、返回故障；如可验证，另记后测完成确认。</w:t>
            </w:r>
          </w:p>
        </w:tc>
      </w:tr>
    </w:tbl>
    <w:p>
      <w:pPr>
        <w:spacing w:after="0" w:line="340" w:lineRule="exact"/>
        <w:snapToGrid w:val="0"/>
      </w:pPr>
    </w:p>
    <w:p>
      <w:pPr>
        <w:spacing w:line="340" w:lineRule="exact"/>
        <w:snapToGrid w:val="0"/>
      </w:pPr>
      <w:r>
        <w:t>学习数据以最近一次成功保存为准；保存成功后才能推进已提交题目。仅靠当前浏览器本地记录不能承诺跨设备恢复。正式研究数据的访问权限、保存期限与导出方式沿用数据管理要求，本文件不新增保留期限。</w:t>
      </w:r>
    </w:p>
    <w:p>
      <w:pPr>
        <w:pStyle w:val="Heading2"/>
        <w:spacing w:line="340" w:lineRule="exact"/>
        <w:snapToGrid w:val="0"/>
      </w:pPr>
      <w:r>
        <w:t>19 原型验收路径</w:t>
      </w:r>
    </w:p>
    <w:p>
      <w:pPr>
        <w:spacing w:line="340" w:lineRule="exact"/>
        <w:snapToGrid w:val="0"/>
      </w:pPr>
      <w:r>
        <w:t>A 正常达标：视频完整观看，首次7/8，查看反馈，完成三轮对话，点击 Finish practice；显示通过且只发一次奖励。</w:t>
      </w:r>
    </w:p>
    <w:p>
      <w:pPr>
        <w:spacing w:line="340" w:lineRule="exact"/>
        <w:snapToGrid w:val="0"/>
      </w:pPr>
      <w:r>
        <w:t>B 订正达标：首次5/8，三道错题只重试一次并订正对两道；同时显示62.5%首次成绩和87.5%订正后成绩。</w:t>
      </w:r>
    </w:p>
    <w:p>
      <w:pPr>
        <w:spacing w:line="340" w:lineRule="exact"/>
        <w:snapToGrid w:val="0"/>
      </w:pPr>
      <w:r>
        <w:t>C 未达标：一次重试后仍不足85%；可以继续角色扮演及返回后测，但不能显示课程通过或发课程完成奖励。</w:t>
      </w:r>
    </w:p>
    <w:p>
      <w:pPr>
        <w:spacing w:line="340" w:lineRule="exact"/>
        <w:snapToGrid w:val="0"/>
      </w:pPr>
      <w:r>
        <w:t>D 恢复与故障：分别在视频、未提交题目、已提交题目、对话草稿、AI等待和结束页测试刷新、退出与重试；无重复计分和奖励。</w:t>
      </w:r>
    </w:p>
    <w:p>
      <w:pPr>
        <w:spacing w:line="340" w:lineRule="exact"/>
        <w:snapToGrid w:val="0"/>
      </w:pPr>
      <w:r>
        <w:t>E 研究边界：只开放 Basic DEI；后测前所有额外学习入口均锁定；研究编号对应正确，演示记录独立。</w:t>
      </w:r>
    </w:p>
    <w:p>
      <w:pPr>
        <w:pStyle w:val="Heading2"/>
        <w:spacing w:line="340" w:lineRule="exact"/>
        <w:snapToGrid w:val="0"/>
      </w:pPr>
      <w:r>
        <w:t>20 下一步交付</w:t>
      </w:r>
    </w:p>
    <w:p>
      <w:pPr>
        <w:spacing w:line="340" w:lineRule="exact"/>
        <w:snapToGrid w:val="0"/>
      </w:pPr>
      <w:r>
        <w:t>依据本稿绘制首页、介绍、视频、题目各状态、结果与重试、角色扮演、教练反馈和三类结束页。视觉遵循 style.md：深棕木质首页、暖白标题、清晰的浅色学习区。手机与桌面均检查长题目、长选项及输入框。</w:t>
      </w:r>
    </w:p>
    <w:p>
      <w:pPr>
        <w:spacing w:line="340" w:lineRule="exact"/>
        <w:snapToGrid w:val="0"/>
      </w:pPr>
      <w:r>
        <w:t>开发前仍需填充真实教学素材及可审核答案、正式角色脚本、反馈依据与 Qualtrics 实际返回配置。这些是内容和实施准备，不需要重新讨论已经确认的核心交互。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36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交互需求补充稿 v1.0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BELONG  |  Basic DEI 预试交互需求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Arial" w:hAnsi="Arial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