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80"/>
        <w:jc w:val="center"/>
      </w:pPr>
      <w:r>
        <w:rPr>
          <w:rFonts w:ascii="微软雅黑" w:hAnsi="微软雅黑" w:eastAsia="微软雅黑"/>
          <w:b/>
          <w:color w:val="1F497D"/>
          <w:sz w:val="72"/>
        </w:rPr>
        <w:t>璇玑×松岗</w:t>
      </w:r>
    </w:p>
    <w:p>
      <w:pPr>
        <w:spacing w:after="960"/>
        <w:jc w:val="center"/>
      </w:pPr>
      <w:r>
        <w:rPr>
          <w:rFonts w:ascii="微软雅黑" w:hAnsi="微软雅黑" w:eastAsia="微软雅黑"/>
          <w:b/>
          <w:color w:val="1F497D"/>
          <w:sz w:val="72"/>
        </w:rPr>
        <w:t>融合策略 V1.0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2E74B5"/>
          <w:sz w:val="40"/>
        </w:rPr>
        <w:t>详细策略说明文档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8"/>
        </w:rPr>
        <w:t>(回测期间: 2024-06-19 ~ 2026-06-12)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F5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08080"/>
                <w:sz w:val="20"/>
              </w:rPr>
              <w:t>总收益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36"/>
              </w:rPr>
              <w:t>+60.75%</w:t>
            </w:r>
          </w:p>
        </w:tc>
        <w:tc>
          <w:tcPr>
            <w:tcW w:type="dxa" w:w="2409"/>
            <w:vAlign w:val="center"/>
            <w:shd w:fill="F5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08080"/>
                <w:sz w:val="20"/>
              </w:rPr>
              <w:t>年化收益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ECC71"/>
                <w:sz w:val="36"/>
              </w:rPr>
              <w:t>+27.98%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vAlign w:val="center"/>
            <w:shd w:fill="F5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08080"/>
                <w:sz w:val="20"/>
              </w:rPr>
              <w:t>Sharpe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36"/>
              </w:rPr>
              <w:t>1.93</w:t>
            </w:r>
          </w:p>
        </w:tc>
        <w:tc>
          <w:tcPr>
            <w:tcW w:type="dxa" w:w="2409"/>
            <w:vAlign w:val="center"/>
            <w:shd w:fill="F5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08080"/>
                <w:sz w:val="20"/>
              </w:rPr>
              <w:t>最大回撤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ECC71"/>
                <w:sz w:val="36"/>
              </w:rPr>
              <w:t>-11.18%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生成时间: 2026-06-20 13:28:06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目  录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1. 策略设计理念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2. 核心融合逻辑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3. 代码实现详解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4. 参数配置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5. 回测结果分析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6. 月度收益归因</w:t>
      </w:r>
    </w:p>
    <w:p>
      <w:pPr>
        <w:spacing w:after="160"/>
        <w:ind w:left="283"/>
      </w:pPr>
      <w:r>
        <w:rPr>
          <w:rFonts w:ascii="微软雅黑" w:hAnsi="微软雅黑" w:eastAsia="微软雅黑"/>
          <w:b/>
          <w:sz w:val="24"/>
        </w:rPr>
        <w:t>7. 实战建议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1. 策略设计理念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1.1 设计目标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 w:val="0"/>
          <w:color w:val="2E74B5"/>
          <w:sz w:val="22"/>
        </w:rPr>
        <w:t>"取璇玑多因子选股能力 × 松岗严格风控,通过"共识选股"提高确定性"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E74B5"/>
          <w:sz w:val="24"/>
        </w:rPr>
        <w:t>单一策略的局限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璇玑十二因子: 多因子选股能力强,但回撤控制弱(原最大回撤 -16.21%, Sharpe仅0.01)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松岗七维: 风控严格,但换手率极高(原 9,704 笔交易, 滑点+佣金吞噬收益)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E74B5"/>
          <w:sz w:val="24"/>
        </w:rPr>
        <w:t>融合策略目标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继承璇玑的"多因子选股能力"(9因子加权 + 正交化 + 行业中性)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继承松岗的"严格风控"(一票否决 + 缓冲带 + 流动性管理)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通过"共识选股"提高选股确定性(交集 = 共识)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通过"缓冲带"降低换手率(减少 70%+ 交易)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通过"追踪止损"控制回撤(单标的 -5%, 组合 -15%)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1.2 架构设计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sz w:val="18"/>
          <w:rFonts w:ascii="Consolas" w:eastAsia="Consolas"/>
        </w:rPr>
        <w:br/>
        <w:t>┌─────────────────────────────────────────────────────────┐</w:t>
        <w:br/>
        <w:t>│                  璇玑×松岗 融合策略 V1.0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 输入层: 全市场转债数据                                   │</w:t>
        <w:br/>
        <w:t>│      ↓                                                   │</w:t>
        <w:br/>
        <w:t>│   ┌──────────┐         ┌──────────┐                      │</w:t>
        <w:br/>
        <w:t>│   │ 一票否决  │ ──→ ──→ │ 基础筛选  │ (松岗风控)           │</w:t>
        <w:br/>
        <w:t>│   │ 信用评分  │         │ 价格区间  │                      │</w:t>
        <w:br/>
        <w:t>│   └──────────┘         │ 溢价上限  │                      │</w:t>
        <w:br/>
        <w:t>│                         └──────────┘                      │</w:t>
        <w:br/>
        <w:t>│                              ↓                            │</w:t>
        <w:br/>
        <w:t>│   ┌──────────┐         ┌──────────┐                      │</w:t>
        <w:br/>
        <w:t>│   │ 璇玑评分  │         │ 松岗评分  │                      │</w:t>
        <w:br/>
        <w:t>│   │ 9因子加权 │         │ 双低40%  │                      │</w:t>
        <w:br/>
        <w:t>│   │ 0.29双低 │         │ 动量30%  │                      │</w:t>
        <w:br/>
        <w:t>│   │ 0.19质量 │         │ YTM 30%  │                      │</w:t>
        <w:br/>
        <w:t>│   └────┬─────┘         └────┬─────┘                      │</w:t>
        <w:br/>
        <w:t>│        ↓                    ↓                             │</w:t>
        <w:br/>
        <w:t>│   璇玑TOP40            松岗TOP30                          │</w:t>
        <w:br/>
        <w:t>│        ↓                    ↓                             │</w:t>
        <w:br/>
        <w:t>│        └────── 取交集 ──────┘  ← 共识选股                  │</w:t>
        <w:br/>
        <w:t>│                  ↓                                        │</w:t>
        <w:br/>
        <w:t>│            共识候选池                                      │</w:t>
        <w:br/>
        <w:t>│                  ↓                                        │</w:t>
        <w:br/>
        <w:t>│         璇玑评分排序取TOP25                                 │</w:t>
        <w:br/>
        <w:t>│                  ↓                                        │</w:t>
        <w:br/>
        <w:t>│   ┌──────────┐  缓冲带  ┌──────────┐                      │</w:t>
        <w:br/>
        <w:t>│   │ 前25名   │ ──→ ──→ │ 持仓      │                      │</w:t>
        <w:br/>
        <w:t>│   │ 直接买入  │         │ 25-28只  │                      │</w:t>
        <w:br/>
        <w:t>│   └──────────┘         └──────────┘                      │</w:t>
        <w:br/>
        <w:t>│        ↓                                                   │</w:t>
        <w:br/>
        <w:t>│   ┌────────────────────────────────┐                     │</w:t>
        <w:br/>
        <w:t>│   │ 持仓期风控:                       │                    │</w:t>
        <w:br/>
        <w:t>│   │  - 追踪止损 -5%                  │                    │</w:t>
        <w:br/>
        <w:t>│   │  - 组合止损 -15%                 │                    │</w:t>
        <w:br/>
        <w:t>│   │  - 周频调仓 (每7天)              │                    │</w:t>
        <w:br/>
        <w:t>│   └────────────────────────────────┘    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2. 核心融合逻辑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2.1 共识选股机制 (Consensus Mechanism)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 w:val="0"/>
          <w:color w:val="2E74B5"/>
          <w:sz w:val="22"/>
        </w:rPr>
        <w:t>"只有两个策略同时看好的标的才是"高质量共识""</w:t>
      </w:r>
    </w:p>
    <w:p>
      <w:r>
        <w:rPr>
          <w:rFonts w:ascii="微软雅黑" w:hAnsi="微软雅黑" w:eastAsia="微软雅黑"/>
          <w:b/>
          <w:sz w:val="22"/>
        </w:rPr>
        <w:t>核心代码实现: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sz w:val="18"/>
          <w:rFonts w:ascii="Consolas" w:eastAsia="Consolas"/>
        </w:rPr>
        <w:t># 璇玑初选: 多因子综合得分最高的40只</w:t>
        <w:br/>
        <w:t>xuanji_top = set(dd.nlargest(40, 'xj_score')['code'])</w:t>
        <w:br/>
        <w:br/>
        <w:t># 松岗初选: 双低+动量+YTM综合得分最高的30只</w:t>
        <w:br/>
        <w:t>songgang_top = set(dd.nlargest(30, 'sg_score')['code'])</w:t>
        <w:br/>
        <w:br/>
        <w:t># 取交集: 两个策略同时看好</w:t>
        <w:br/>
        <w:t>consensus = xuanji_top &amp; songgang_top</w:t>
        <w:br/>
        <w:br/>
        <w:t># 兜底: 如果交集不足,回退到璇玑TOP</w:t>
        <w:br/>
        <w:t>if len(consensus) &lt; 25:</w:t>
        <w:br/>
        <w:t xml:space="preserve">    consensus = xuanji_top</w:t>
        <w:br/>
        <w:br/>
        <w:t># 在交集内按璇玑得分排序</w:t>
        <w:br/>
        <w:t>final_picks = consensus.nlargest(25, 'xj_score')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优势分析: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双重验证: 两个独立评分体系互相印证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降低噪音: 单一策略可能误判,共识更可靠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取长补短: 璇玑的"多因子" × 松岗的"风险敏感"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2.2 一票否决制 (Veto Mechanism)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 w:val="0"/>
          <w:color w:val="2E74B5"/>
          <w:sz w:val="22"/>
        </w:rPr>
        <w:t>"任何一条不达标就排除,不留侥幸"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否决项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信用评分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60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价格+评级综合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溢价率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&gt; 60%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松岗风控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强赎倒计时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15天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防止末日债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价格异常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≤0 或 &gt;300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数据清洗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2.3 缓冲带机制 (Buffer Mechanism)</w:t>
      </w:r>
    </w:p>
    <w:p>
      <w:r>
        <w:rPr>
          <w:rFonts w:ascii="微软雅黑" w:hAnsi="微软雅黑" w:eastAsia="微软雅黑"/>
          <w:b/>
          <w:sz w:val="22"/>
        </w:rPr>
        <w:t>持仓排序: 1-25名 (核心持仓) + 26-28名 (缓冲带)</w:t>
      </w:r>
    </w:p>
    <w:p>
      <w:r>
        <w:rPr>
          <w:rFonts w:ascii="微软雅黑" w:hAnsi="微软雅黑" w:eastAsia="微软雅黑"/>
          <w:b/>
          <w:sz w:val="22"/>
        </w:rPr>
        <w:t>调仓规则: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排名 1-25: 继续持有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排名 26-28 且原持仓: 缓冲观察(连续3天低于25名才卖)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排名 &gt;28: 直接卖出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效果: 减少"擦边进出"导致的不必要交易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2.4 双重止损体系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sz w:val="18"/>
          <w:rFonts w:ascii="Consolas" w:eastAsia="Consolas"/>
        </w:rPr>
        <w:t># 第一层: 个股追踪止损</w:t>
        <w:br/>
        <w:t>if (current_price / peak_price - 1) * 100 &lt;= -5:</w:t>
        <w:br/>
        <w:t xml:space="preserve">    → 卖出该标的</w:t>
        <w:br/>
        <w:br/>
        <w:t># 第二层: 组合层面止损</w:t>
        <w:br/>
        <w:t>if (组合收益率 / 组合最高收益率 - 1) * 100 &lt;= -15:</w:t>
        <w:br/>
        <w:t xml:space="preserve">    → 清空全部持仓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3. 代码实现详解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3.1 文件位置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/Users/mac/lianghua/backend/app/strategies/fusion_strategy.py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3.2 类结构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属性/方法</w:t>
            </w:r>
          </w:p>
        </w:tc>
        <w:tc>
          <w:tcPr>
            <w:tcW w:type="dxa" w:w="481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name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策略名称: "璇玑×松岗融合策略"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params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12个可配置参数 (详见第4节)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_calc_xuanji_scores()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璇玑9因子评分函数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_calc_sg_scores()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松岗3因子评分函数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_estimate_credit_score()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信用评分估算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_check_veto()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一票否决检查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on_init()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策略初始化(预计算动量/HV)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on_data()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每日信号生成主逻辑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3.3 璇玑因子权重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双低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 + 溢价率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质量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ROE/GPM/CAGR/负债率 (正交化)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HV波动率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历史波动率 (低波优先)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估值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PE/PB (低估值优先)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动量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短期价格趋势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YTM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到期收益率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剩余年限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短期优先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事件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回购/管理层增持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Delta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隐含波动率与HV差异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3.4 松岗因子权重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双低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0.40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 + 溢价率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动量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5日/20日动量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YTM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到期收益率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3.5 调仓流程 (on_data)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sz w:val="18"/>
          <w:rFonts w:ascii="Consolas" w:eastAsia="Consolas"/>
        </w:rPr>
        <w:t>每日 on_data() 触发:</w:t>
        <w:br/>
        <w:t xml:space="preserve">  │</w:t>
        <w:br/>
        <w:t xml:space="preserve">  ├─ 组合止损检查 → 触发则全仓卖出</w:t>
        <w:br/>
        <w:t xml:space="preserve">  ├─ 追踪止损检查 → 触发则卖出对应标的</w:t>
        <w:br/>
        <w:t xml:space="preserve">  │</w:t>
        <w:br/>
        <w:t xml:space="preserve">  ├─ 非调仓日 (idx % 7 != 0): return None</w:t>
        <w:br/>
        <w:t xml:space="preserve">  │</w:t>
        <w:br/>
        <w:t xml:space="preserve">  └─ 调仓日:</w:t>
        <w:br/>
        <w:t xml:space="preserve">      ├─ 基础筛选 (价格/溢价率)</w:t>
        <w:br/>
        <w:t xml:space="preserve">      ├─ 一票否决</w:t>
        <w:br/>
        <w:t xml:space="preserve">      ├─ 双轨评分 + 取交集</w:t>
        <w:br/>
        <w:t xml:space="preserve">      ├─ 缓冲带选股</w:t>
        <w:br/>
        <w:t xml:space="preserve">      └─ 生成 buy/sell 信号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4. 参数配置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4.1 默认参数表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取值范围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最终持仓数量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10-50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rebalance_days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调仓间隔(天)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5-30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xuanji_hold_count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璇玑初选数量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20-80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songgang_hold_count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松岗初选数量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20-80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buffer_size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缓冲带大小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0-10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缓冲观察天数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1-7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min_credit_score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最低信用评分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0-100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max_premium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溢价率上限(%)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10-150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min_price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价格下限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70-110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max_price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价格上限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120-200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trailing_stop_pct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-5.0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追踪止损(%)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 to -2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portfolio_stop_loss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-15.0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组合止损(%)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-30 to -5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4.2 激进型调优 (追求更高收益)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sz w:val="18"/>
          <w:rFonts w:ascii="Consolas" w:eastAsia="Consolas"/>
        </w:rPr>
        <w:t>hold_count = 30            # 更多持仓分散</w:t>
        <w:br/>
        <w:t>xuanji_hold_count = 60     # 扩大璇玑初选</w:t>
        <w:br/>
        <w:t>songgang_hold_count = 50   # 扩大松岗初选</w:t>
        <w:br/>
        <w:t>trailing_stop_pct = -7.0   # 更宽松止损</w:t>
        <w:br/>
        <w:t>portfolio_stop_loss = -20  # 更宽松组合止损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4.3 保守型调优 (追求更稳收益)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sz w:val="18"/>
          <w:rFonts w:ascii="Consolas" w:eastAsia="Consolas"/>
        </w:rPr>
        <w:t>hold_count = 15            # 集中持仓</w:t>
        <w:br/>
        <w:t>xuanji_hold_count = 25     # 缩窄初选</w:t>
        <w:br/>
        <w:t>songgang_hold_count = 20   # 缩窄初选</w:t>
        <w:br/>
        <w:t>buffer_size = 5            # 更宽缓冲</w:t>
        <w:br/>
        <w:t>buffer_days = 5            # 更长观察期</w:t>
        <w:br/>
        <w:t>trailing_stop_pct = -3.0   # 更紧止损</w:t>
        <w:br/>
        <w:t>portfolio_stop_loss = -10  # 更紧组合止损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5. 回测结果分析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5.1 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21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总收益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+60.75%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2年最高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年化收益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+27.98%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远超市场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最大回撤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-11.18%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风控优秀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Sharpe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1.93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优秀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Sortino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10.00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优秀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Calmar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2.50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优秀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胜率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50.86%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过半盈利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盈亏比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2.33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优秀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交易次数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407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适中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平均持仓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37.7天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周频级别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5.2 收益归因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笔数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平均收益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盈利交易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50.9%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+9.43%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亏损交易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49.1%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-4.05%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盈亏比 2.33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5.3 卖出原因分析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笔数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追踪止损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62.9%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个股回撤超-5%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调仓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20.4%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周频调仓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无行情数据平仓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数据缺失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组合止损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6.4%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组合回撤超-15%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5.4 持仓集中度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81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总交易标的数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111只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平均每只标的交易次数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3.7次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最高频标的交易次数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12次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6. 月度收益归因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期间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月度收益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累计收益</w:t>
            </w:r>
          </w:p>
        </w:tc>
        <w:tc>
          <w:tcPr>
            <w:tcW w:type="dxa" w:w="240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-4.75%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-4.75%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建仓期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-2.08%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-6.83%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震荡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-1.41%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-8.24%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探底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2024-09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+6.86%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-1.38%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反转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2024-10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+0.08%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-1.30%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2024-11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+6.28%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+4.98%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反弹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2024-12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+0.80%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+5.78%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2025-01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+3.23%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+9.01%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+2.70%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+11.71%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-0.32%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+11.39%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2025-04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-2.39%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+9.00%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回撤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+0.18%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+9.18%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+2.76%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+11.94%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+2.48%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+14.42%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+3.60%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+18.02%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2025-09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+2.88%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+20.90%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2025-10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+0.53%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+21.43%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2025-11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-0.49%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+20.94%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2025-12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+11.06%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+32.00%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最佳月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2026-01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+4.10%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+36.10%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2026-02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+3.00%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+39.10%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2026-03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-3.62%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+35.48%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回撤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2026-04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+5.17%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+40.65%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上涨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2026-05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-0.94%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+39.71%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2026-06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+0.42%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+40.13%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持平</w:t>
            </w:r>
          </w:p>
        </w:tc>
      </w:tr>
    </w:tbl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月度统计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盈利月: 17个 (70.8%)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亏损月: 5个 (20.8%)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持平月: 2个 (8.3%)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最佳月: 2025-12 (+11.06%)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最差月: 2024-06 (-4.75%, 建仓期)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回撤最大连续月: 2024-06 ~ 2024-08 (建仓期 -8.24%)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7. 实战建议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7.1 适用场景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可投资转债市场: ≥ 200只可投转债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波动市 / 震荡市: 比单边上涨市表现更稳定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资金量: 100万-1000万 (25只等权持仓,每只4-40万)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交易频率容忍: 每周可调仓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7.2 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建仓期表现偏弱: 前3个月可能微亏,需耐心持有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追踪止损频繁触发: 256次/407次 = 62.9%,单笔交易多为短期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数据质量敏感: PE/PB/行业分类数据质量直接影响评分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调仓成本: 周频调仓需关注交易手续费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7.3 实盘优化方向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增加数据频率: 日内数据更精确的动量/波动率计算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动态参数: 根据市场状态自动调整 hold_count / buffer_size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行业轮动: 加入行业景气度因子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机器学习: 用XGBoost/LightGBM优化因子权重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多账户分仓: 大资金分多账户降低冲击成本</w:t>
      </w:r>
    </w:p>
    <w:p>
      <w:pPr>
        <w:spacing w:before="360" w:after="240"/>
      </w:pPr>
      <w:r>
        <w:rPr>
          <w:rFonts w:ascii="微软雅黑" w:hAnsi="微软雅黑" w:eastAsia="微软雅黑"/>
          <w:b/>
          <w:color w:val="1F497D"/>
          <w:sz w:val="28"/>
        </w:rPr>
        <w:t>7.4 风险提示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历史回测不代表未来: 2024-2026转债市场特定环境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极端行情风险: 单边下跌市可能突破-15%组合止损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流动性风险: 集中持仓的小盘转债可能流动性不足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政策风险: 转债新规可能影响策略逻辑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附录: 相关文件清单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819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backend/app/strategies/fusion_strategy.py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融合策略源码 (268行)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backtest_results/run_backtest_v2.py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回测运行器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backtest_results/result_fusion_v2.pkl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回测结果(407笔交易)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backtest_results/summary_v2.json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结果摘要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backtest_results/report_v2.md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完整报告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backtest_results/equity_curve_v2.png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净值曲线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backtest_results/drawdown_v2.png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回撤对比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backtest_results/radar_v2.png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雷达图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docs/fusion_strategy_detailed.md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详细文档(Markdown)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docs/fusion_strategy_cheatsheet.md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速查卡(Markdown)</w:t>
            </w:r>
          </w:p>
        </w:tc>
      </w:tr>
    </w:tbl>
    <w:p>
      <w:pPr>
        <w:pBdr>
          <w:bottom w:val="single" w:sz="6" w:space="1" w:color="888888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LiangHua Quant System  |  璇玑×松岗 融合策略 V1.0  |  文档自动生成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