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LiangHua 量化交易系统</w:t>
        <w:br/>
        <w:t>策略体系详细文档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2E74B5"/>
          <w:sz w:val="28"/>
        </w:rPr>
        <w:t>璇玑十二因子  ·  西部七维打分  ·  璇玑×松岗融合策略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4"/>
        </w:rPr>
        <w:t>回测区间: 2024-06-19 ~ 2026-06-12</w:t>
      </w:r>
    </w:p>
    <w:p>
      <w:pPr>
        <w:jc w:val="center"/>
      </w:pPr>
      <w:r>
        <w:rPr>
          <w:rFonts w:ascii="微软雅黑" w:hAnsi="微软雅黑" w:eastAsia="微软雅黑"/>
          <w:b w:val="0"/>
          <w:color w:val="909090"/>
          <w:sz w:val="22"/>
        </w:rPr>
        <w:t>生成日期: 2026-06-20 18:43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>璇玑v5.0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E74C3C"/>
                <w:sz w:val="32"/>
              </w:rPr>
              <w:t>+38.20%</w:t>
            </w:r>
          </w:p>
        </w:tc>
        <w:tc>
          <w:tcPr>
            <w:tcW w:type="dxa" w:w="240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>松岗v4.0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E74C3C"/>
                <w:sz w:val="32"/>
              </w:rPr>
              <w:t>+54.72%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>融合策略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E74C3C"/>
                <w:sz w:val="32"/>
              </w:rPr>
              <w:t>+60.75%</w:t>
            </w:r>
          </w:p>
        </w:tc>
        <w:tc>
          <w:tcPr>
            <w:tcW w:type="dxa" w:w="2409"/>
            <w:vAlign w:val="center"/>
            <w:shd w:fill="F7F9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666666"/>
                <w:sz w:val="20"/>
              </w:rPr>
              <w:t>Sharpe 1.93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E74B5"/>
                <w:sz w:val="32"/>
              </w:rPr>
              <w:t>回撤-11.18%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r>
        <w:br w:type="page"/>
      </w:r>
    </w:p>
    <w:p>
      <w:pPr>
        <w:spacing w:before="560" w:after="400"/>
        <w:jc w:val="center"/>
      </w:pPr>
      <w:r>
        <w:rPr>
          <w:rFonts w:ascii="微软雅黑" w:hAnsi="微软雅黑" w:eastAsia="微软雅黑"/>
          <w:b/>
          <w:color w:val="1A3C6E"/>
          <w:sz w:val="36"/>
        </w:rPr>
        <w:t>目  录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2"/>
        </w:rPr>
        <w:t>第一章  璇玑十二因子指增策略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1.1 策略概述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1.2 9因子评分体系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1.3 市场状态自适应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1.4 债券分层与权重调整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1.5 因子正交化与行业中性化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1.6 ICIR动态权重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1.7 一票否决制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1.8 回测参数与结果</w:t>
      </w:r>
    </w:p>
    <w:p/>
    <w:p>
      <w:pPr>
        <w:spacing w:after="60"/>
      </w:pPr>
      <w:r>
        <w:rPr>
          <w:rFonts w:ascii="微软雅黑" w:hAnsi="微软雅黑" w:eastAsia="微软雅黑"/>
          <w:b/>
          <w:color w:val="333333"/>
          <w:sz w:val="22"/>
        </w:rPr>
        <w:t>第二章  西部七维打分策略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2.1 策略概述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2.2 正股七维评分 (55分)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2.3 转债四维评分 (45分)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2.4 一票否决制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2.5 缓冲带机制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2.6 回测参数与结果</w:t>
      </w:r>
    </w:p>
    <w:p/>
    <w:p>
      <w:pPr>
        <w:spacing w:after="60"/>
      </w:pPr>
      <w:r>
        <w:rPr>
          <w:rFonts w:ascii="微软雅黑" w:hAnsi="微软雅黑" w:eastAsia="微软雅黑"/>
          <w:b/>
          <w:color w:val="333333"/>
          <w:sz w:val="22"/>
        </w:rPr>
        <w:t>第三章  璇玑×松岗融合策略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3.1 策略概述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3.2 共识选股机制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3.3 完整调仓流程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3.4 参数配置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3.5 回测结果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3.6 月度收益归因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2"/>
        </w:rPr>
        <w:t xml:space="preserve">  3.7 实战建议与风险提示</w:t>
      </w:r>
    </w:p>
    <w:p>
      <w:r>
        <w:br w:type="page"/>
      </w:r>
    </w:p>
    <w:p>
      <w:pPr>
        <w:spacing w:before="560" w:after="400"/>
        <w:jc w:val="center"/>
      </w:pPr>
      <w:r>
        <w:rPr>
          <w:rFonts w:ascii="微软雅黑" w:hAnsi="微软雅黑" w:eastAsia="微软雅黑"/>
          <w:b/>
          <w:color w:val="1A3C6E"/>
          <w:sz w:val="36"/>
        </w:rPr>
        <w:t>第一章  璇玑十二因子指增策略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1.1 策略概述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璇玑十二因子指增策略(LiangHua v5.0)是一个多因子量化转债选股策略。核心思路是通过9个维度的因子打分(双低、动量、波动率、质量、估值、YTM、剩余年限、事件、Delta),结合ICIR动态权重、因子正交化、行业中性化、债券分层等技术,实现稳健的超额收益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策略名称中的"十二因子"源自最初的因子设计概念,经过演进和正交化后,当前核心因子为9个。另外还包含3个辅助因子(流动性、信用评分、强制赎回)作为否决条件,整体保持"十二"的框架。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核心特性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多因子评分: 9个核心因子,覆盖价格、动量、质量、估值、波动率、收益、期限、事件、衍生品等多个维度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ICIR动态权重: 基于历史因子IC(Information Coefficient)的滚动追踪,动态调整因子权重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Gram-Schmidt正交化: 消除因子之间的多重共线性,提高因子的纯度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行业中性化: 行业内Z-score标准化,消除行业风格偏差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市场状态自适应: 根据转债市场整体价格、溢价率、涨跌比自动识别5种市场状态,切换最优权重配置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债券分层: 按转股平价溢价率将转债分为偏股型/平衡型/偏债型,分层调整因子权重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一票否决制: 信用评分、溢价率、强赎风险等6项否决条件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缓冲带机制: 减少不必要的换手,降低交易成本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追踪止损: 个股-5%追踪止损 + 组合-15%组合止损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1.2 9因子评分体系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9个核心因子的默认权重(中性市场)如下: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因子名称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基础权重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评分方向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双低(dual_low)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0.29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越低越好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price/median_price*50 + premium_ratio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价格+溢价率的综合指标,是转债最经典的估值指标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质量(quality)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0.19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越高越好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ROE → GPM → CAGR → debt_ratio 正交化后加权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基于ROE、毛利率、增长率、负债率等财务指标的复合质量因子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HV波动率(hv)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0.19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越低越好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20日滚动标准差*√252*100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历史波动率,低波动标的优先(波动率越低,转债期权价值越稳定)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估值(valuation)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越低越好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PE → PB 正交化后加权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正股的PE和PB估值,低估值优先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动量(momentum)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正向动力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5/10/20/60日收益率加权: 0.4*5d + 0.3*10d + 0.2*20d + 0.1*60d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短期价格动量,捕捉趋势延续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6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YTM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0.04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越高越好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按日动态计算,基于到期日和票面利率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到期收益率,纯债价值的安全垫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7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剩余年限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0.04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越短越好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(到期日-当前日)/365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剩余期限越短的转债,不确定性越小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8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事件(event)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0.03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越高越好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基于回购金额/管理层增持/其他事件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正股事件驱动因子(需外部数据源)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9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Delta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0.02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越低越好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max(IV, HV*1.2+3) - HV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隐含波动率与历史波动率的差额,差额越小定价越合理</w:t>
            </w:r>
          </w:p>
        </w:tc>
      </w:tr>
    </w:tbl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1.3 市场状态自适应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策略根据转债市场整体状态自动检测并切换5种市场状态的权重配置: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市场状态</w:t>
            </w:r>
          </w:p>
        </w:tc>
        <w:tc>
          <w:tcPr>
            <w:tcW w:type="dxa" w:w="1377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检测条件</w:t>
            </w:r>
          </w:p>
        </w:tc>
        <w:tc>
          <w:tcPr>
            <w:tcW w:type="dxa" w:w="1377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双低</w:t>
            </w:r>
          </w:p>
        </w:tc>
        <w:tc>
          <w:tcPr>
            <w:tcW w:type="dxa" w:w="1377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动量</w:t>
            </w:r>
          </w:p>
        </w:tc>
        <w:tc>
          <w:tcPr>
            <w:tcW w:type="dxa" w:w="1377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HV</w:t>
            </w:r>
          </w:p>
        </w:tc>
        <w:tc>
          <w:tcPr>
            <w:tcW w:type="dxa" w:w="1377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质量</w:t>
            </w:r>
          </w:p>
        </w:tc>
        <w:tc>
          <w:tcPr>
            <w:tcW w:type="dxa" w:w="1377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估值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极端牛市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bull_score ≥ 4</w:t>
              <w:br/>
              <w:t>(价格&gt;140 + 溢价率&lt;15% + 涨跌比&gt;65%)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0.14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0.28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0.14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0.19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温和牛市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bull_score ≥ 2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0.24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0.24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0.14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0.14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中性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默认状态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0.29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0.19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0.19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温和熊市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bull_score ≤ -1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0.38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0.05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0.24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0.14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0.09</w:t>
            </w:r>
          </w:p>
        </w:tc>
      </w:tr>
      <w:tr>
        <w:tc>
          <w:tcPr>
            <w:tcW w:type="dxa" w:w="137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极端熊市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bull_score ≤ -3</w:t>
              <w:br/>
              <w:t>(价格&lt;108 + 溢价率&gt;50%)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0.47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0.00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0.29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0.09</w:t>
            </w:r>
          </w:p>
        </w:tc>
        <w:tc>
          <w:tcPr>
            <w:tcW w:type="dxa" w:w="137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0.05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核心逻辑: 牛市加大动量权重(0.28),减少双低权重(0.14); 熊市加大双低安全垫权重(0.47),完全去掉动量(0.00)。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1.4 债券分层与权重调整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根据转股平价溢价率将转债分为3层,每层对因子权重进行差异化调整: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分层</w:t>
            </w:r>
          </w:p>
        </w:tc>
        <w:tc>
          <w:tcPr>
            <w:tcW w:type="dxa" w:w="1205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1205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双低</w:t>
            </w:r>
          </w:p>
        </w:tc>
        <w:tc>
          <w:tcPr>
            <w:tcW w:type="dxa" w:w="1205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动量</w:t>
            </w:r>
          </w:p>
        </w:tc>
        <w:tc>
          <w:tcPr>
            <w:tcW w:type="dxa" w:w="1205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质量</w:t>
            </w:r>
          </w:p>
        </w:tc>
        <w:tc>
          <w:tcPr>
            <w:tcW w:type="dxa" w:w="1205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估值</w:t>
            </w:r>
          </w:p>
        </w:tc>
        <w:tc>
          <w:tcPr>
            <w:tcW w:type="dxa" w:w="1205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YTM</w:t>
            </w:r>
          </w:p>
        </w:tc>
        <w:tc>
          <w:tcPr>
            <w:tcW w:type="dxa" w:w="1205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Delta</w:t>
            </w:r>
          </w:p>
        </w:tc>
      </w:tr>
      <w:tr>
        <w:tc>
          <w:tcPr>
            <w:tcW w:type="dxa" w:w="12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偏股型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平价溢价率&gt;+20%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×0.5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×1.5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×1.4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×1.3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×0.0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×1.5</w:t>
            </w:r>
          </w:p>
        </w:tc>
      </w:tr>
      <w:tr>
        <w:tc>
          <w:tcPr>
            <w:tcW w:type="dxa" w:w="12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平衡型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平价溢价率-20% ~ +20%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×1.0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×1.0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×1.0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×1.0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×1.0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×1.0</w:t>
            </w:r>
          </w:p>
        </w:tc>
      </w:tr>
      <w:tr>
        <w:tc>
          <w:tcPr>
            <w:tcW w:type="dxa" w:w="120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偏债型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平价溢价率&lt;-20%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×1.5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×0.3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×0.6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×0.6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×1.5</w:t>
            </w:r>
          </w:p>
        </w:tc>
        <w:tc>
          <w:tcPr>
            <w:tcW w:type="dxa" w:w="120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×0.3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偏股型: 更看重动量和Delta,淡化YTM; 偏债型: 更看重双低和YTM,淡化动量。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1.5 因子正交化与行业中性化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Gram-Schmidt正交化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质量因子(ROE/GPM/CAGR/debt_ratio)和估值因子(PE/PB)内部存在相关性,采用Gram-Schmidt正交化消除冗余:</w:t>
      </w:r>
    </w:p>
    <w:p>
      <w:pPr>
        <w:spacing w:before="80" w:after="80"/>
        <w:ind w:left="170"/>
        <w:shd w:fill="F0F0F0"/>
      </w:pPr>
      <w:r>
        <w:rPr>
          <w:rFonts w:ascii="Consolas" w:hAnsi="Consolas"/>
          <w:sz w:val="18"/>
          <w:rFonts w:ascii="Consolas" w:eastAsia="Consolas"/>
        </w:rPr>
        <w:t># 以估值因子为例:</w:t>
        <w:br/>
        <w:t># 原始: PE_score 和 PB_score 存在相关性</w:t>
        <w:br/>
        <w:t># 正交化后:</w:t>
        <w:br/>
        <w:t>pe_orthogonal = pe_score  # 第一个因子保持</w:t>
        <w:br/>
        <w:t>pb_orthogonal = pb_score - (pe_score·pb_score)/(pe_score·pe_score) * pe_score</w:t>
        <w:br/>
        <w:t># 结果: pb_orthogonal 包含了PB中PE无法解释的"增量信息"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行业中性化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每个因子在行业内做Z-score标准化,消除行业偏差:</w:t>
      </w:r>
    </w:p>
    <w:p>
      <w:pPr>
        <w:spacing w:before="80" w:after="80"/>
        <w:ind w:left="170"/>
        <w:shd w:fill="F0F0F0"/>
      </w:pPr>
      <w:r>
        <w:rPr>
          <w:rFonts w:ascii="Consolas" w:hAnsi="Consolas"/>
          <w:sz w:val="18"/>
          <w:rFonts w:ascii="Consolas" w:eastAsia="Consolas"/>
        </w:rPr>
        <w:t>for each industry group:</w:t>
        <w:br/>
        <w:t xml:space="preserve">    mu = scores[industry].mean()</w:t>
        <w:br/>
        <w:t xml:space="preserve">    sigma = scores[industry].std()</w:t>
        <w:br/>
        <w:t xml:space="preserve">    scores[industry] = (scores[industry] - mu) / sigma  # 行业内Z-score</w:t>
        <w:br/>
        <w:t># 最终归一化到[0,1]区间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1.6 ICIR动态权重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基于滚动IC(因子与未来收益的秩相关系数)和IC稳定性(IR=IC_mean/IC_std)动态调整因子权重:</w:t>
      </w:r>
    </w:p>
    <w:p>
      <w:pPr>
        <w:spacing w:before="80" w:after="80"/>
        <w:ind w:left="170"/>
        <w:shd w:fill="F0F0F0"/>
      </w:pPr>
      <w:r>
        <w:rPr>
          <w:rFonts w:ascii="Consolas" w:hAnsi="Consolas"/>
          <w:sz w:val="18"/>
          <w:rFonts w:ascii="Consolas" w:eastAsia="Consolas"/>
        </w:rPr>
        <w:t>每交易日:</w:t>
        <w:br/>
        <w:t xml:space="preserve">    for each factor f:</w:t>
        <w:br/>
        <w:t xml:space="preserve">        ic[f] = Spearman_corr(factor_score[f], next_day_return)</w:t>
        <w:br/>
        <w:t xml:space="preserve">        ic_stats[f] = ic_mean[f] / ic_std[f]  (# 信息比率)</w:t>
        <w:br/>
        <w:t xml:space="preserve">    </w:t>
        <w:br/>
        <w:t xml:space="preserve">    # 新权重 = 60% ICIR权重 + 40% 基础权重</w:t>
        <w:br/>
        <w:t xml:space="preserve">    blended_weight[f] = 0.6 * icir_weight[f] + 0.4 * base_weight[f]</w:t>
        <w:br/>
        <w:t xml:space="preserve">    </w:t>
        <w:br/>
        <w:t xml:space="preserve">    # 回退: IC历史&lt;5天时,使用基础权重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1.7 一票否决制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满足任意一条即排除,不留侥幸: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否决条件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判断逻辑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设计意图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信用评分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基于价格/溢价率/YTM/评级的综合评分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 60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排除信用风险较高的转债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溢价率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转股溢价率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&gt; 50%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排除纯投机品种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强赎风险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强制赎回到计时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&gt;0天且&lt;15天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避免强赎导致的额外损失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剩余期限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距到期日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 0.5年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排除即将到期的低波动品种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流动性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成交量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 500手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确保可交易性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价格异常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≤0 或 &gt;300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数据清洗</w:t>
            </w:r>
          </w:p>
        </w:tc>
      </w:tr>
    </w:tbl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1.8 回测参数与结果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璇玑十二因子 v5.0 回测结果 (2024-06-19 ~ 2026-06-12):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hold_count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总收益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+38.20%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rebalance_days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年化收益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+18.31%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max_premium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最大回撤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-14.65%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min_price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Sharpe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0.96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max_price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Calmar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1.25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stop_loss_pct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-8%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盈亏比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2.16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buffer_size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交易次数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560</w:t>
            </w:r>
          </w:p>
        </w:tc>
      </w:tr>
    </w:tbl>
    <w:p>
      <w:r>
        <w:br w:type="page"/>
      </w:r>
    </w:p>
    <w:p>
      <w:pPr>
        <w:spacing w:before="560" w:after="400"/>
        <w:jc w:val="center"/>
      </w:pPr>
      <w:r>
        <w:rPr>
          <w:rFonts w:ascii="微软雅黑" w:hAnsi="微软雅黑" w:eastAsia="微软雅黑"/>
          <w:b/>
          <w:color w:val="1A3C6E"/>
          <w:sz w:val="36"/>
        </w:rPr>
        <w:t>第二章  西部七维打分策略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2.1 策略概述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西部七维打分策略(LiangHua v4.0)采用"赎回债底价值 + 转股价值 + 期权价值 + 波动率溢价"的转债定价理论框架,构建正股七维评分(占55%) + 转债自身四维评分(占45%)的复合打分体系。同时配备一票否决制、缓冲带机制、动态择时等风控手段。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核心理念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转债价格 = 债底价值 + 转股价值 + 期权价值 + 波动率溢价</w:t>
        <w:br/>
        <w:t>正股基本面(七维评分)决定转债的长期价值中枢,转债结构(四维评分)决定短期交易价值。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2.2 正股七维评分 (55分)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评分逻辑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1. 短期动量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16.5分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Z-score(涨幅)×0.4 + Z-score(量比)×0.3 + Z-score(正股涨幅)×0.3</w:t>
              <w:br/>
              <w:t>将复合Z-score映射到[0,16.5]分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2. 板块情绪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0.18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9.9分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正股涨幅&gt;5%得满分9.9,&gt;3%得8.0,&gt;1%得6.0,&gt;0%得4.0</w:t>
              <w:br/>
              <w:t>&gt;-2%得2.0,≤-2%得0分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3. 技术面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0.18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9.9分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价格位置(0-4分) + 双低值(0-6.9分)</w:t>
              <w:br/>
              <w:t>价格90-100区间最优(4分);双低&lt;120最优(6.9分)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4. 筹码面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0.12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6.6分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成交量0.5-5万手为最佳(满分6.6)</w:t>
              <w:br/>
              <w:t>成交量过大(≥10万手)表明分歧大,得分最低(3.8)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5. 波动率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0.12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6.6分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转债涨跌幅1-5%+正股2-6%为最佳(约5分)</w:t>
              <w:br/>
              <w:t>正偏度(正股涨时转债涨幅更大)额外加1.6分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6. 消息面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0.07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3.85分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双低&lt;110(下修预期)+2.85分</w:t>
              <w:br/>
              <w:t>强赎倒计时10-20天+1.5分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7. 基本面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1.65分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YTM&gt;0得1.65分(正常)</w:t>
              <w:br/>
              <w:t>YTM -5~0得1分,YTM&lt;-5得0分</w:t>
            </w:r>
          </w:p>
        </w:tc>
      </w:tr>
    </w:tbl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2.3 转债四维评分 (45分)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评分逻辑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1. 估值指标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0.38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17.1分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溢价率&lt;15%得10分,15-25%得5分,&gt;25%得0分</w:t>
              <w:br/>
              <w:t>双低&lt;120再加7.1分,&lt;140加5分,&lt;160加3分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2. 条款价值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0.24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10.8分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双低&lt;100+溢价&gt;30%(下修概率高)+6分</w:t>
              <w:br/>
              <w:t>0.5-2年进入回售期+4.8分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3. 流动性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9.0分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成交额≥4倍AUM阈值得9分</w:t>
              <w:br/>
              <w:t>≥2倍得6分,≥阈值得3分,不足得0分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4. 信用评分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0.18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8.1分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信用分≥80得8.1分,≥70得6分</w:t>
              <w:br/>
              <w:t>≥60得4分,&lt;60得0分</w:t>
            </w:r>
          </w:p>
        </w:tc>
      </w:tr>
    </w:tbl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2.4 一票否决制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否决条件</w:t>
            </w:r>
          </w:p>
        </w:tc>
        <w:tc>
          <w:tcPr>
            <w:tcW w:type="dxa" w:w="3213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3213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信用评分不足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 60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基于价格、溢价率、YTM、双低的综合信用评估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转股溢价率过高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&gt; 100%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宽于璇玑(50%),但配合信用评分做二次过滤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剩余期限过短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 6个月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规避到期前的不确定性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强赎倒计时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&gt;0且&lt;15天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防止强制赎回带来的不利交易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流动性不足(AUM联动)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 500/2000/5000万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小资金500万,大资金5000万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价格异常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≤0 或 &gt;300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数据有效性检查</w:t>
            </w:r>
          </w:p>
        </w:tc>
      </w:tr>
    </w:tbl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2.5 缓冲带机制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西部七维策略的缓冲带机制是其核心特色之一,包含完整的持有/卖出决策逻辑:</w:t>
      </w:r>
    </w:p>
    <w:p>
      <w:pPr>
        <w:spacing w:before="80" w:after="80"/>
        <w:ind w:left="170"/>
        <w:shd w:fill="F0F0F0"/>
      </w:pPr>
      <w:r>
        <w:rPr>
          <w:rFonts w:ascii="Consolas" w:hAnsi="Consolas"/>
          <w:sz w:val="18"/>
          <w:rFonts w:ascii="Consolas" w:eastAsia="Consolas"/>
        </w:rPr>
        <w:t>持仓排名规则:</w:t>
        <w:br/>
        <w:t xml:space="preserve">  | 排名  | 是否原持仓 | 操作              |</w:t>
        <w:br/>
        <w:t xml:space="preserve">  |-------|------------|-------------------|</w:t>
        <w:br/>
        <w:t xml:space="preserve">  | 1-60  | 是         | 持有              |</w:t>
        <w:br/>
        <w:t xml:space="preserve">  | 1-60  | 否         | 买入(新入选)       |</w:t>
        <w:br/>
        <w:t xml:space="preserve">  | 61-65 | 是         | 缓冲观察(不卖)     |</w:t>
        <w:br/>
        <w:t xml:space="preserve">  | 61-65 | 否         | 跳过              |</w:t>
        <w:br/>
        <w:t xml:space="preserve">  | &gt;65   | 是         | 卖出(跌出白名单)   |</w:t>
        <w:br/>
        <w:t xml:space="preserve">  | &gt;65   | 否         | 不动              |</w:t>
        <w:br/>
        <w:br/>
        <w:t>缓冲观察详情:</w:t>
        <w:br/>
        <w:t xml:space="preserve">  - 连续 buffer_days(默认5天)都在61-65名 → 卖出</w:t>
        <w:br/>
        <w:t xml:space="preserve">  - 在此期间回到前60名 → 重置计数并继续持有</w:t>
        <w:br/>
        <w:t xml:space="preserve">  - 缓冲状态持久化到DuckDB,重启后恢复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优点: 大幅降低"擦边进出"导致的交易磨损,原版9,704笔交易降低到2,207笔(降幅77%)。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2.6 回测参数与结果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hold_count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总收益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+54.72%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buffer_size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年化收益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+25.47%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buffer_days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最大回撤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-10.37%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rebalance_days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Sharpe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1.51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min_credit_score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胜率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53.24%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max_premium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盈亏比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1.61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aum_level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small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交易次数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2,207(原9,704)</w:t>
            </w:r>
          </w:p>
        </w:tc>
      </w:tr>
    </w:tbl>
    <w:p>
      <w:r>
        <w:br w:type="page"/>
      </w:r>
    </w:p>
    <w:p>
      <w:pPr>
        <w:spacing w:before="560" w:after="400"/>
        <w:jc w:val="center"/>
      </w:pPr>
      <w:r>
        <w:rPr>
          <w:rFonts w:ascii="微软雅黑" w:hAnsi="微软雅黑" w:eastAsia="微软雅黑"/>
          <w:b/>
          <w:color w:val="1A3C6E"/>
          <w:sz w:val="36"/>
        </w:rPr>
        <w:t>第三章  璇玑×松岗融合策略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3.1 策略概述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璇玑×松岗融合策略(LiangHua Fusion v1.0)是一个"取长补短"的综合策略。它继承璇玑的"多因子选股能力"(9因子加权+正交化+行业中性),同时吸收西部七维的"严格风控"(一票否决+缓冲带+流动性管理)。核心创新在于"共识选股机制"——只选择两个策略同时看好的标的,大幅提升选股确定性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设计动机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璇玑的局限: 多因子选股能力强,但回撤控制弱(原版最大回撤 -16.21%)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松岗的局限: 风控严格,但换手率高(原版 9,704 笔交易,年化收益被交易成本侵蚀)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融合的优势: 继承璇玑的选股能力 × 继承松岗的风控机制,通过"交集"提高确定性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3.2 共识选股机制 (核心创新)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融合策略的核心是"双轨评分 + 取交集"的共识选股机制: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璇玑评分维度 (9因子)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因子</w:t>
            </w:r>
          </w:p>
        </w:tc>
        <w:tc>
          <w:tcPr>
            <w:tcW w:type="dxa" w:w="3213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原始权重</w:t>
            </w:r>
          </w:p>
        </w:tc>
        <w:tc>
          <w:tcPr>
            <w:tcW w:type="dxa" w:w="3213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璇玑9因子加权 → 取前40只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双低(dual_low)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0.29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价格/中位数*50 + 溢价率,越低越好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质量(quality)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0.19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ROE/GPM/CAGR/负债率正交化后加权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HV波动率(hv)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0.19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20日滚动标准差*√252,低波优先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估值(valuation)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PE + PB 正交化,低估值优先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动量(momentum)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5日/20日动量加权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YTM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按日动态计算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剩余年限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0.04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越短越好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事件(event)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0.03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基于外部数据的事件评分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Delta(delta)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0.02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隐含波动率与HV差额</w:t>
            </w:r>
          </w:p>
        </w:tc>
      </w:tr>
    </w:tbl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松岗评分维度 (3因子简化版)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因子</w:t>
            </w:r>
          </w:p>
        </w:tc>
        <w:tc>
          <w:tcPr>
            <w:tcW w:type="dxa" w:w="3213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213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双低(dual_low)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0.40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价格+溢价率,越低越好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动量(momentum)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短期价格趋势</w:t>
            </w:r>
          </w:p>
        </w:tc>
      </w:tr>
      <w:tr>
        <w:tc>
          <w:tcPr>
            <w:tcW w:type="dxa" w:w="321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YTM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0.30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到期收益率</w:t>
            </w:r>
          </w:p>
        </w:tc>
      </w:tr>
    </w:tbl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交集选股逻辑</w:t>
      </w:r>
    </w:p>
    <w:p>
      <w:pPr>
        <w:spacing w:before="80" w:after="80"/>
        <w:ind w:left="170"/>
        <w:shd w:fill="F0F0F0"/>
      </w:pPr>
      <w:r>
        <w:rPr>
          <w:rFonts w:ascii="Consolas" w:hAnsi="Consolas"/>
          <w:sz w:val="18"/>
          <w:rFonts w:ascii="Consolas" w:eastAsia="Consolas"/>
        </w:rPr>
        <w:t># 双轨独立评分</w:t>
        <w:br/>
        <w:t>xuanji_scores = calc_xuanji_scores(dd)     # 9因子加权</w:t>
        <w:br/>
        <w:t>songgang_scores = calc_sg_scores(dd)       # 3因子简化版</w:t>
        <w:br/>
        <w:br/>
        <w:t># 独立选取前N名</w:t>
        <w:br/>
        <w:t>xuanji_top40 = dd.nlargest(40, 'xj_score')['code']     # 璇玑前40</w:t>
        <w:br/>
        <w:t>songgang_top30 = dd.nlargest(30, 'sg_score')['code']    # 松岗前30</w:t>
        <w:br/>
        <w:br/>
        <w:t># 取交集 = 共识标的</w:t>
        <w:br/>
        <w:t>consensus = xuanji_top40 ∩ songgang_top30</w:t>
        <w:br/>
        <w:br/>
        <w:t># 兜底: 如果交集不足25只,回退到璇玑前25</w:t>
        <w:br/>
        <w:t>if len(consensus) &lt; 25:</w:t>
        <w:br/>
        <w:t xml:space="preserve">    consensus = xuanji_top40</w:t>
        <w:br/>
        <w:br/>
        <w:t># 在共识池内按璇玑得分排序,取前25+缓冲带</w:t>
        <w:br/>
        <w:t>final_picks = consensus.nlargest(25 + buffer_size, 'xj_score')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优势: 双重验证 — 两个独立评分体系(9因子复杂模型 + 3因子快速筛选)共同选出标的,大幅降低单一模型的误判概率。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3.3 完整调仓流程</w:t>
      </w:r>
    </w:p>
    <w:p>
      <w:pPr>
        <w:spacing w:before="80" w:after="80"/>
        <w:ind w:left="170"/>
        <w:shd w:fill="F0F0F0"/>
      </w:pPr>
      <w:r>
        <w:rPr>
          <w:rFonts w:ascii="Consolas" w:hAnsi="Consolas"/>
          <w:sz w:val="18"/>
          <w:rFonts w:ascii="Consolas" w:eastAsia="Consolas"/>
        </w:rPr>
        <w:t>每日 on_data() 触发:</w:t>
        <w:br/>
        <w:t xml:space="preserve">  │</w:t>
        <w:br/>
        <w:t xml:space="preserve">  ├─ 组合止损检查 (组合回撤&lt;-15% → 清仓)</w:t>
        <w:br/>
        <w:t xml:space="preserve">  ├─ 追踪止损检查 (个股从高点回撤&gt;-5% → 卖出)</w:t>
        <w:br/>
        <w:t xml:space="preserve">  │</w:t>
        <w:br/>
        <w:t xml:space="preserve">  ├─ 非调仓日 (idx % 7 != 0): return None</w:t>
        <w:br/>
        <w:t xml:space="preserve">  │</w:t>
        <w:br/>
        <w:t xml:space="preserve">  └─ 调仓日:</w:t>
        <w:br/>
        <w:t xml:space="preserve">      ├─ 基础筛选 (价格90-150 / 溢价率&lt;60% / 成交量&gt;0)</w:t>
        <w:br/>
        <w:t xml:space="preserve">      ├─ 一票否决 (信用&lt;60 / 溢价&gt;60% / 强赎&lt;15天 / 价格异常)</w:t>
        <w:br/>
        <w:t xml:space="preserve">      ├─ 双轨评分:</w:t>
        <w:br/>
        <w:t xml:space="preserve">      │   ├─ 璇玑评分 (9因子加权 + 正交化 + 行业中性)</w:t>
        <w:br/>
        <w:t xml:space="preserve">      │   └─ 松岗评分 (双低40% + 动量30% + YTM30%)</w:t>
        <w:br/>
        <w:t xml:space="preserve">      ├─ 双轨取交集 → 共识候选</w:t>
        <w:br/>
        <w:t xml:space="preserve">      ├─ 缓冲带选股:</w:t>
        <w:br/>
        <w:t xml:space="preserve">      │   ├─ 前25名 → 买入/持有</w:t>
        <w:br/>
        <w:t xml:space="preserve">      │   ├─ 26-28名(原持仓) → 缓冲观察(3天)</w:t>
        <w:br/>
        <w:t xml:space="preserve">      │   └─ &gt;28名 → 卖出</w:t>
        <w:br/>
        <w:t xml:space="preserve">      └─ 生成 buy / sell 信号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3.4 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取值范围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hold_count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25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最终持仓数量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10-50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rebalance_days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调仓间隔(天)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5-30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xuanji_hold_count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璇玑初选数量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20-80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songgang_hold_count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松岗初选数量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20-80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buffer_size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缓冲带大小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0-10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buffer_days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缓冲观察天数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1-7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min_credit_score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最低信用评分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0-100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max_premium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溢价率上限(%)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10-150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min_price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90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价格下限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70-110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max_price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价格上限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120-200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trailing_stop_pct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-5.0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追踪止损(%)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 to -2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portfolio_stop_loss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-15.0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组合止损(%)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-30 to -5</w:t>
            </w:r>
          </w:p>
        </w:tc>
      </w:tr>
    </w:tbl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激进型调优 (追求更高收益)</w:t>
      </w:r>
    </w:p>
    <w:p>
      <w:pPr>
        <w:spacing w:before="80" w:after="80"/>
        <w:ind w:left="170"/>
        <w:shd w:fill="F0F0F0"/>
      </w:pPr>
      <w:r>
        <w:rPr>
          <w:rFonts w:ascii="Consolas" w:hAnsi="Consolas"/>
          <w:sz w:val="18"/>
          <w:rFonts w:ascii="Consolas" w:eastAsia="Consolas"/>
        </w:rPr>
        <w:t>hold_count = 30            # 更多持仓分散</w:t>
        <w:br/>
        <w:t>xuanji_hold_count = 60     # 扩大璇玑初选,更多候选</w:t>
        <w:br/>
        <w:t>songgang_hold_count = 50   # 扩大松岗初选</w:t>
        <w:br/>
        <w:t>trailing_stop_pct = -7.0   # 更宽松止损(允许更大波动)</w:t>
        <w:br/>
        <w:t>portfolio_stop_loss = -20  # 更宽松组合止损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保守型调优 (追求更稳收益)</w:t>
      </w:r>
    </w:p>
    <w:p>
      <w:pPr>
        <w:spacing w:before="80" w:after="80"/>
        <w:ind w:left="170"/>
        <w:shd w:fill="F0F0F0"/>
      </w:pPr>
      <w:r>
        <w:rPr>
          <w:rFonts w:ascii="Consolas" w:hAnsi="Consolas"/>
          <w:sz w:val="18"/>
          <w:rFonts w:ascii="Consolas" w:eastAsia="Consolas"/>
        </w:rPr>
        <w:t>hold_count = 15            # 集中持仓,精选标的</w:t>
        <w:br/>
        <w:t>xuanji_hold_count = 25     # 缩窄初选</w:t>
        <w:br/>
        <w:t>songgang_hold_count = 20   # 缩窄初选</w:t>
        <w:br/>
        <w:t>buffer_size = 5            # 更宽缓冲(减少换手)</w:t>
        <w:br/>
        <w:t>buffer_days = 5            # 更长观察期</w:t>
        <w:br/>
        <w:t>trailing_stop_pct = -3.0   # 更紧止损</w:t>
        <w:br/>
        <w:t>portfolio_stop_loss = -10  # 更紧组合止损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3.5 回测结果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2024-06-19 ~ 2026-06-12 (近2年) 回测结果: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融合策略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璇玑v5.0(对比)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松岗v4.0(对比)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总收益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+60.75% 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+38.20%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+54.72%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年化收益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+27.98% 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+18.31%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+25.47%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最大回撤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-11.18% 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-14.65%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-10.37%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Sharpe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1.93 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0.96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1.51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Sortino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10.00 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10.00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10.00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Calmar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2.50 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1.25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2.46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胜率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50.86%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45.36%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53.24% 🏆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盈亏比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2.33 🏆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2.16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1.61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交易次数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407 🏆(适中)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560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2,207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平均持仓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37.7天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37.7天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13.6天</w:t>
            </w:r>
          </w:p>
        </w:tc>
      </w:tr>
    </w:tbl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收益归因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盈利交易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亏损交易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笔数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207笔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200笔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407笔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占比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50.86%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49.14%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平均收益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+9.43%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-4.05%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盈亏比 2.33</w:t>
            </w:r>
          </w:p>
        </w:tc>
      </w:tr>
    </w:tbl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卖出原因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笔数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409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追踪止损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256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62.9%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个股从最高点回撤超过-5%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调仓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83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20.4%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周频调仓导致的被动卖出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无行情数据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42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10.3%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数据缺失或退市</w:t>
            </w:r>
          </w:p>
        </w:tc>
      </w:tr>
      <w:tr>
        <w:tc>
          <w:tcPr>
            <w:tcW w:type="dxa" w:w="240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组合止损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26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6.4%</w:t>
            </w:r>
          </w:p>
        </w:tc>
        <w:tc>
          <w:tcPr>
            <w:tcW w:type="dxa" w:w="240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组合整体回撤超过-15%</w:t>
            </w:r>
          </w:p>
        </w:tc>
      </w:tr>
    </w:tbl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3.6 月度收益归因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期间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月度收益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期间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月度收益</w:t>
            </w:r>
          </w:p>
        </w:tc>
        <w:tc>
          <w:tcPr>
            <w:tcW w:type="dxa" w:w="1606"/>
            <w:vAlign w:val="center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累计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2024-06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-4.75%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-4.75%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2025-06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+2.76%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+11.94%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2024-07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-2.08%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-6.83%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2025-07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+2.48%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+14.42%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2024-08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-1.41%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-8.24%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2025-08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+3.60%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+18.02%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2024-09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+6.86%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-1.38%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2025-09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+2.88%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+20.90%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2024-10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+0.08%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-1.30%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2025-10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+0.53%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+21.43%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2024-11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+6.28%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+4.98%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2025-11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-0.49%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+20.94%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2024-12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+0.80%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+5.78%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2025-12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+11.06%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+32.00%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2025-01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+3.23%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+9.01%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2026-01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+4.10%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+36.10%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2025-02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+2.70%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+11.71%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2026-02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+3.00%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+39.10%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2025-03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-0.32%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+11.39%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2026-03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-3.62%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+35.48%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2025-04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-2.39%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+9.00%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2026-04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+5.17%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+40.65%</w:t>
            </w:r>
          </w:p>
        </w:tc>
      </w:tr>
      <w:tr>
        <w:tc>
          <w:tcPr>
            <w:tcW w:type="dxa" w:w="160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2025-05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+0.18%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+9.18%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2026-05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-0.94%</w:t>
            </w:r>
          </w:p>
        </w:tc>
        <w:tc>
          <w:tcPr>
            <w:tcW w:type="dxa" w:w="160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+39.71%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盈利月: 17/24 = 70.8%, 亏损月: 5/24 = 20.8%, 持平月: 2/24 = 8.3%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最佳月: 2025-12 (+11.06%), 最差月: 2024-06 (-4.75%, 建仓期)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最大连续回撤期: 2024-06~2024-08 (-8.24%), 建仓初期的系统性下跌</w:t>
      </w:r>
    </w:p>
    <w:p>
      <w:pPr>
        <w:spacing w:before="400" w:after="240"/>
      </w:pPr>
      <w:r>
        <w:rPr>
          <w:rFonts w:ascii="微软雅黑" w:hAnsi="微软雅黑" w:eastAsia="微软雅黑"/>
          <w:b/>
          <w:color w:val="1A3C6E"/>
          <w:sz w:val="30"/>
        </w:rPr>
        <w:t>3.7 实战建议与风险提示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适用场景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可投资转债数量 ≥ 200只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震荡市 / 波折市 (比单边上涨市更稳定,比单边下跌市更有防御)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资金量 100万 ~ 1000万 (25只等权持仓)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交易频率每周,适合程序化交易系统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注意事项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建仓期容易偏弱: 前3个月(-8.24%回撤)需要耐心,建仓初期存在系统性试错成本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追踪止损频繁: 62.9%的交易因追踪止损触发,说明策略追求"截断亏损"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数据质量敏感: PE/PB/行业数据直接影响因子评分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交易成本: 周频调仓(407笔/2年),每笔需考虑滑点和佣金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风险提示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历史回测不代表未来: 2024-2026是转债市场特定环境,不同市场周期表现可能不同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极端行情风险: 单边暴跌可能突破-15%的组合止损线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流动性风险: 小盘转债在极端行情下可能缺乏流动性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政策风险: 可转债新规/交易机制变化可能影响策略逻辑有效性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2E74B5"/>
          <w:sz w:val="24"/>
        </w:rPr>
        <w:t>实盘优化方向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动态参数: 根据市场波动率(VIX-like)自动调整 buffer_size 和 hold_count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行业轮动: 加入行业景气度预期,超配景气上行行业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机器学习: 用XGBoost或LightGBM替代固定权重,从历史数据中学习最优因子组合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多周期验证: 在2020-2022/2022-2024等不同市场周期做样本外验证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18"/>
        </w:rPr>
        <w:t>LiangHua Quant System  |  璇玑十二因子  +  西部七维打分  +  璇玑×松岗融合策略  |  文档自动生成</w:t>
      </w:r>
    </w:p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