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843" w:rsidRPr="00D13F2D" w:rsidRDefault="00D27843" w:rsidP="00D27843">
      <w:pPr>
        <w:pStyle w:val="NoSpacing"/>
        <w:rPr>
          <w:rFonts w:ascii="Times New Roman" w:eastAsia="Times New Roman" w:hAnsi="Times New Roman" w:cs="Times New Roman"/>
          <w:color w:val="auto"/>
        </w:rPr>
      </w:pPr>
      <w:r w:rsidRPr="00D13F2D">
        <w:rPr>
          <w:rFonts w:ascii="Times New Roman" w:hAnsi="Times New Roman"/>
          <w:b/>
          <w:bCs/>
          <w:color w:val="auto"/>
        </w:rPr>
        <w:t xml:space="preserve">Date: </w:t>
      </w:r>
      <w:r w:rsidRPr="00D13F2D">
        <w:rPr>
          <w:rFonts w:ascii="Times New Roman" w:hAnsi="Times New Roman"/>
          <w:color w:val="auto"/>
        </w:rPr>
        <w:t>3</w:t>
      </w:r>
      <w:r w:rsidRPr="00D13F2D">
        <w:rPr>
          <w:rFonts w:ascii="Times New Roman" w:hAnsi="Times New Roman"/>
          <w:color w:val="auto"/>
          <w:vertAlign w:val="superscript"/>
        </w:rPr>
        <w:t>rd</w:t>
      </w:r>
      <w:r w:rsidRPr="00D13F2D">
        <w:rPr>
          <w:rFonts w:ascii="Times New Roman" w:hAnsi="Times New Roman"/>
          <w:color w:val="auto"/>
        </w:rPr>
        <w:t xml:space="preserve"> August</w:t>
      </w:r>
      <w:r w:rsidRPr="00D13F2D">
        <w:rPr>
          <w:rFonts w:ascii="Times New Roman" w:eastAsia="Times New Roman" w:hAnsi="Times New Roman" w:cs="Times New Roman"/>
          <w:color w:val="auto"/>
        </w:rPr>
        <w:t xml:space="preserve"> 2018</w:t>
      </w:r>
    </w:p>
    <w:p w:rsidR="00D27843" w:rsidRPr="00D13F2D" w:rsidRDefault="00D27843" w:rsidP="00D27843">
      <w:pPr>
        <w:pStyle w:val="NoSpacing"/>
        <w:rPr>
          <w:rFonts w:ascii="Times New Roman" w:eastAsia="Times New Roman" w:hAnsi="Times New Roman" w:cs="Times New Roman"/>
          <w:color w:val="auto"/>
        </w:rPr>
      </w:pPr>
      <w:r w:rsidRPr="00D13F2D">
        <w:rPr>
          <w:rFonts w:ascii="Times New Roman" w:hAnsi="Times New Roman"/>
          <w:b/>
          <w:bCs/>
          <w:color w:val="auto"/>
        </w:rPr>
        <w:t>To:</w:t>
      </w:r>
      <w:r w:rsidRPr="00D13F2D">
        <w:rPr>
          <w:rFonts w:ascii="Times New Roman" w:hAnsi="Times New Roman"/>
          <w:color w:val="auto"/>
        </w:rPr>
        <w:t xml:space="preserve"> Jon Gruber, </w:t>
      </w:r>
      <w:r w:rsidRPr="00D13F2D">
        <w:rPr>
          <w:rFonts w:ascii="Times New Roman" w:hAnsi="Times New Roman"/>
          <w:bCs/>
          <w:color w:val="auto"/>
        </w:rPr>
        <w:t xml:space="preserve">Ian </w:t>
      </w:r>
      <w:proofErr w:type="spellStart"/>
      <w:r w:rsidRPr="00D13F2D">
        <w:rPr>
          <w:rFonts w:ascii="Times New Roman" w:hAnsi="Times New Roman"/>
          <w:bCs/>
          <w:color w:val="auto"/>
        </w:rPr>
        <w:t>Calaway</w:t>
      </w:r>
      <w:proofErr w:type="spellEnd"/>
      <w:r w:rsidRPr="00D13F2D">
        <w:rPr>
          <w:rFonts w:ascii="Times New Roman" w:hAnsi="Times New Roman"/>
          <w:bCs/>
          <w:color w:val="auto"/>
        </w:rPr>
        <w:t xml:space="preserve">, </w:t>
      </w:r>
      <w:proofErr w:type="gramStart"/>
      <w:r w:rsidRPr="00D13F2D">
        <w:rPr>
          <w:rFonts w:ascii="Times New Roman" w:hAnsi="Times New Roman"/>
          <w:bCs/>
          <w:color w:val="auto"/>
        </w:rPr>
        <w:t>Cora</w:t>
      </w:r>
      <w:proofErr w:type="gramEnd"/>
      <w:r w:rsidRPr="00D13F2D">
        <w:rPr>
          <w:rFonts w:ascii="Times New Roman" w:hAnsi="Times New Roman"/>
          <w:bCs/>
          <w:color w:val="auto"/>
        </w:rPr>
        <w:t xml:space="preserve"> Touchstone </w:t>
      </w:r>
    </w:p>
    <w:p w:rsidR="00D27843" w:rsidRPr="00D13F2D" w:rsidRDefault="00D27843" w:rsidP="00D27843">
      <w:pPr>
        <w:pStyle w:val="NoSpacing"/>
        <w:rPr>
          <w:rFonts w:ascii="Times New Roman" w:eastAsia="Times New Roman" w:hAnsi="Times New Roman" w:cs="Times New Roman"/>
          <w:color w:val="auto"/>
        </w:rPr>
      </w:pPr>
      <w:r w:rsidRPr="00D13F2D">
        <w:rPr>
          <w:rFonts w:ascii="Times New Roman" w:hAnsi="Times New Roman"/>
          <w:b/>
          <w:bCs/>
          <w:color w:val="auto"/>
        </w:rPr>
        <w:t>From:</w:t>
      </w:r>
      <w:r w:rsidRPr="00D13F2D">
        <w:rPr>
          <w:rFonts w:ascii="Times New Roman" w:hAnsi="Times New Roman"/>
          <w:color w:val="auto"/>
        </w:rPr>
        <w:t xml:space="preserve"> Steven Yang</w:t>
      </w:r>
    </w:p>
    <w:p w:rsidR="00D27843" w:rsidRPr="00D13F2D" w:rsidRDefault="00D27843" w:rsidP="00D27843">
      <w:pPr>
        <w:pStyle w:val="NoSpacing"/>
        <w:pBdr>
          <w:bottom w:val="single" w:sz="12" w:space="0" w:color="000000"/>
        </w:pBdr>
        <w:rPr>
          <w:rFonts w:ascii="Times New Roman" w:eastAsia="Times New Roman" w:hAnsi="Times New Roman" w:cs="Times New Roman"/>
          <w:color w:val="auto"/>
        </w:rPr>
      </w:pPr>
      <w:r w:rsidRPr="00D13F2D">
        <w:rPr>
          <w:rFonts w:ascii="Times New Roman" w:hAnsi="Times New Roman"/>
          <w:b/>
          <w:bCs/>
          <w:color w:val="auto"/>
        </w:rPr>
        <w:t xml:space="preserve">Re: </w:t>
      </w:r>
      <w:r w:rsidRPr="00D13F2D">
        <w:rPr>
          <w:rFonts w:ascii="Times New Roman" w:hAnsi="Times New Roman"/>
          <w:color w:val="auto"/>
        </w:rPr>
        <w:t xml:space="preserve">Canadian Federal R&amp;D Funding Sources: </w:t>
      </w:r>
      <w:r w:rsidR="00FC16FD" w:rsidRPr="00D13F2D">
        <w:rPr>
          <w:rFonts w:ascii="Times New Roman" w:hAnsi="Times New Roman"/>
          <w:color w:val="auto"/>
        </w:rPr>
        <w:t>Atlantic Canada Opportunity Agencies</w:t>
      </w:r>
    </w:p>
    <w:p w:rsidR="00D27843" w:rsidRPr="00D13F2D" w:rsidRDefault="00A54021" w:rsidP="00A54021">
      <w:pPr>
        <w:pStyle w:val="Body"/>
        <w:tabs>
          <w:tab w:val="left" w:pos="2528"/>
        </w:tabs>
        <w:spacing w:line="240" w:lineRule="auto"/>
        <w:rPr>
          <w:rFonts w:ascii="Times New Roman" w:hAnsi="Times New Roman"/>
          <w:b/>
          <w:bCs/>
          <w:color w:val="auto"/>
        </w:rPr>
      </w:pPr>
      <w:r w:rsidRPr="00D13F2D">
        <w:rPr>
          <w:rFonts w:ascii="Times New Roman" w:hAnsi="Times New Roman"/>
          <w:b/>
          <w:bCs/>
          <w:color w:val="auto"/>
        </w:rPr>
        <w:tab/>
      </w:r>
    </w:p>
    <w:p w:rsidR="00D27843" w:rsidRPr="00D13F2D" w:rsidRDefault="00D27843" w:rsidP="00D27843">
      <w:pPr>
        <w:pStyle w:val="Body"/>
        <w:spacing w:line="240" w:lineRule="auto"/>
        <w:rPr>
          <w:rFonts w:ascii="Times New Roman" w:hAnsi="Times New Roman"/>
          <w:b/>
          <w:bCs/>
          <w:color w:val="auto"/>
        </w:rPr>
      </w:pPr>
      <w:r w:rsidRPr="00D13F2D">
        <w:rPr>
          <w:rFonts w:ascii="Times New Roman" w:hAnsi="Times New Roman"/>
          <w:b/>
          <w:bCs/>
          <w:color w:val="auto"/>
        </w:rPr>
        <w:t xml:space="preserve">1. </w:t>
      </w:r>
      <w:r w:rsidR="0080017D" w:rsidRPr="00D13F2D">
        <w:rPr>
          <w:rFonts w:ascii="Times New Roman" w:hAnsi="Times New Roman"/>
          <w:b/>
          <w:bCs/>
          <w:color w:val="auto"/>
        </w:rPr>
        <w:t>Background</w:t>
      </w:r>
    </w:p>
    <w:p w:rsidR="00D27843" w:rsidRPr="00D13F2D" w:rsidRDefault="000B424E" w:rsidP="00D27843">
      <w:pPr>
        <w:pStyle w:val="Body"/>
        <w:spacing w:line="240" w:lineRule="auto"/>
        <w:rPr>
          <w:rFonts w:ascii="Times New Roman" w:hAnsi="Times New Roman" w:cs="Times New Roman"/>
          <w:bCs/>
          <w:color w:val="auto"/>
        </w:rPr>
      </w:pPr>
      <w:r w:rsidRPr="00D13F2D">
        <w:rPr>
          <w:rFonts w:ascii="Times New Roman" w:hAnsi="Times New Roman" w:cs="Times New Roman"/>
          <w:bCs/>
          <w:color w:val="auto"/>
        </w:rPr>
        <w:t>Atlantic Canada Opportunity Agencies (ACOA) is the Government of Canada agency responsible for helping to create opportunities for economic growth in the Atlantic Provinces by working with the people of the region – in their communities, through their institutions and with their local and provincial governments and businesses. The Atlantic Provinces of Canada include: New Brunswick, Newfoundland and Labrador, Nova Scotia, Prince Edward Island.</w:t>
      </w:r>
    </w:p>
    <w:p w:rsidR="00D27843" w:rsidRPr="00D13F2D" w:rsidRDefault="00D27843" w:rsidP="00D27843">
      <w:pPr>
        <w:pStyle w:val="Body"/>
        <w:rPr>
          <w:rFonts w:ascii="Times New Roman" w:hAnsi="Times New Roman"/>
          <w:b/>
          <w:bCs/>
          <w:color w:val="auto"/>
          <w:lang w:val="nl-NL"/>
        </w:rPr>
      </w:pPr>
      <w:r w:rsidRPr="00D13F2D">
        <w:rPr>
          <w:rFonts w:ascii="Times New Roman" w:hAnsi="Times New Roman"/>
          <w:b/>
          <w:bCs/>
          <w:color w:val="auto"/>
          <w:lang w:val="nl-NL"/>
        </w:rPr>
        <w:t xml:space="preserve">2. </w:t>
      </w:r>
      <w:r w:rsidR="00C75D93" w:rsidRPr="00D13F2D">
        <w:rPr>
          <w:rFonts w:ascii="Times New Roman" w:hAnsi="Times New Roman"/>
          <w:b/>
          <w:bCs/>
          <w:color w:val="auto"/>
          <w:lang w:val="nl-NL"/>
        </w:rPr>
        <w:t>Atlantic Canada Opportunity Agencies</w:t>
      </w:r>
      <w:r w:rsidRPr="00D13F2D">
        <w:rPr>
          <w:rFonts w:ascii="Times New Roman" w:hAnsi="Times New Roman"/>
          <w:b/>
          <w:bCs/>
          <w:color w:val="auto"/>
          <w:lang w:val="nl-NL"/>
        </w:rPr>
        <w:t xml:space="preserve"> R&amp;D Funding</w:t>
      </w:r>
    </w:p>
    <w:p w:rsidR="000B424E" w:rsidRPr="00D13F2D" w:rsidRDefault="000B424E" w:rsidP="000B424E">
      <w:pPr>
        <w:pStyle w:val="Body"/>
        <w:rPr>
          <w:rFonts w:ascii="Times New Roman" w:hAnsi="Times New Roman"/>
          <w:bCs/>
          <w:color w:val="auto"/>
          <w:lang w:val="nl-NL"/>
        </w:rPr>
      </w:pPr>
      <w:r w:rsidRPr="00D13F2D">
        <w:rPr>
          <w:rFonts w:ascii="Times New Roman" w:hAnsi="Times New Roman"/>
          <w:bCs/>
          <w:color w:val="auto"/>
          <w:lang w:val="nl-NL"/>
        </w:rPr>
        <w:t>ACOA’s program activity that contributes to R&amp;D funding is its Enterpise Development Program. Under this program, the ACOA seeks to work in partnership with Atlantic Canadian businesses, stakeholders, industry and institutions to improve the growth and productivity of Atlantic Canada’s economy. The Agency works to improve the capacity of Atlantic Canada’s rural and urban areas for economic growth through a variety of strategically focused mechanisms: assisting businesses, particularly small and medium-sized enterprises and partnering with institutions to increase the region’s research and development capacity, commercialization and productivity.</w:t>
      </w:r>
    </w:p>
    <w:p w:rsidR="006378BE" w:rsidRPr="00D13F2D" w:rsidRDefault="006378BE" w:rsidP="000B424E">
      <w:pPr>
        <w:pStyle w:val="Body"/>
        <w:rPr>
          <w:rFonts w:ascii="Times New Roman" w:hAnsi="Times New Roman"/>
          <w:bCs/>
          <w:color w:val="auto"/>
          <w:lang w:val="nl-NL"/>
        </w:rPr>
      </w:pPr>
      <w:r w:rsidRPr="00D13F2D">
        <w:rPr>
          <w:rFonts w:ascii="Times New Roman" w:hAnsi="Times New Roman"/>
          <w:bCs/>
          <w:color w:val="auto"/>
          <w:lang w:val="nl-NL"/>
        </w:rPr>
        <w:t>Under this Enterprise Development Program, the most notable funds to advance innovation are the Atlanitc Innovation Fund (AIF) and the Business Development Program (BDP). The AIF encourages partnerships among private sector firms, universities, colleges and other research institutions to develop and commercialize new or improved products and services. The BDP provides funding to innovative ideas and develop clean technology projects.</w:t>
      </w:r>
    </w:p>
    <w:p w:rsidR="0013635E" w:rsidRPr="00D13F2D" w:rsidRDefault="0013635E" w:rsidP="000B424E">
      <w:pPr>
        <w:pStyle w:val="Body"/>
        <w:rPr>
          <w:rFonts w:ascii="Times New Roman" w:hAnsi="Times New Roman"/>
          <w:bCs/>
          <w:color w:val="auto"/>
          <w:lang w:val="nl-NL"/>
        </w:rPr>
      </w:pPr>
      <w:r w:rsidRPr="00D13F2D">
        <w:rPr>
          <w:rFonts w:ascii="Times New Roman" w:hAnsi="Times New Roman"/>
          <w:bCs/>
          <w:color w:val="auto"/>
          <w:lang w:val="nl-NL"/>
        </w:rPr>
        <w:t>In 2016, QRA Corp was awarded 2.9 million CAD by the AIF. The conditionally-repayable funding will support QRA Corp in developing a commercial, industry-ready software platform that can assist engineers with the rigorous analysis and verification required for early-stage engineering designs. This platform has applications in fields such as defence and aeronautics</w:t>
      </w:r>
      <w:r w:rsidR="00766E9F" w:rsidRPr="00D13F2D">
        <w:rPr>
          <w:rStyle w:val="FootnoteReference"/>
          <w:rFonts w:ascii="Times New Roman" w:hAnsi="Times New Roman"/>
          <w:bCs/>
          <w:color w:val="auto"/>
          <w:lang w:val="nl-NL"/>
        </w:rPr>
        <w:footnoteReference w:id="1"/>
      </w:r>
      <w:r w:rsidRPr="00D13F2D">
        <w:rPr>
          <w:rFonts w:ascii="Times New Roman" w:hAnsi="Times New Roman"/>
          <w:bCs/>
          <w:color w:val="auto"/>
          <w:lang w:val="nl-NL"/>
        </w:rPr>
        <w:t>.</w:t>
      </w:r>
    </w:p>
    <w:p w:rsidR="00D27843" w:rsidRPr="00D13F2D" w:rsidRDefault="00D27843" w:rsidP="00D27843">
      <w:pPr>
        <w:pStyle w:val="Body"/>
        <w:rPr>
          <w:rFonts w:ascii="Times New Roman" w:hAnsi="Times New Roman"/>
          <w:b/>
          <w:bCs/>
          <w:color w:val="auto"/>
          <w:lang w:val="nl-NL"/>
        </w:rPr>
      </w:pPr>
      <w:r w:rsidRPr="00D13F2D">
        <w:rPr>
          <w:rFonts w:ascii="Times New Roman" w:hAnsi="Times New Roman"/>
          <w:b/>
          <w:bCs/>
          <w:color w:val="auto"/>
          <w:lang w:val="nl-NL"/>
        </w:rPr>
        <w:t>3. Interesting Features and Potential Natural Experiments</w:t>
      </w:r>
    </w:p>
    <w:p w:rsidR="00D27843" w:rsidRPr="00D13F2D" w:rsidRDefault="007572E1" w:rsidP="007572E1">
      <w:pPr>
        <w:pStyle w:val="Body"/>
        <w:rPr>
          <w:rFonts w:ascii="Times New Roman" w:hAnsi="Times New Roman"/>
          <w:bCs/>
          <w:color w:val="auto"/>
          <w:lang w:val="nl-NL"/>
        </w:rPr>
      </w:pPr>
      <w:r w:rsidRPr="00D13F2D">
        <w:rPr>
          <w:rFonts w:ascii="Times New Roman" w:hAnsi="Times New Roman" w:cs="Times New Roman"/>
          <w:bCs/>
          <w:color w:val="auto"/>
          <w:lang w:val="nl-NL"/>
        </w:rPr>
        <w:t xml:space="preserve">In 2014, </w:t>
      </w:r>
      <w:r w:rsidRPr="00D13F2D">
        <w:rPr>
          <w:rFonts w:ascii="Times New Roman" w:hAnsi="Times New Roman" w:cs="Times New Roman"/>
          <w:color w:val="auto"/>
        </w:rPr>
        <w:t>the ACOA implemented enhancements to its innovation and commercialization programming. Improvements included moving the Atlantic Innovation Fund (AIF) to a continuous intake of project proposals; increased emphasis on technology soundness for AIF projects while continuing to support breakthrough science; allowing smaller-scale AIF commercial projects; and creating a commercialization program element under the Business Development Program (BDP)</w:t>
      </w:r>
      <w:r w:rsidR="00D27843" w:rsidRPr="00D13F2D">
        <w:rPr>
          <w:rStyle w:val="FootnoteReference"/>
          <w:rFonts w:ascii="Times New Roman" w:hAnsi="Times New Roman"/>
          <w:bCs/>
          <w:color w:val="auto"/>
          <w:lang w:val="nl-NL"/>
        </w:rPr>
        <w:footnoteReference w:id="2"/>
      </w:r>
      <w:r w:rsidR="00D27843" w:rsidRPr="00D13F2D">
        <w:rPr>
          <w:rFonts w:ascii="Times New Roman" w:hAnsi="Times New Roman"/>
          <w:bCs/>
          <w:color w:val="auto"/>
          <w:lang w:val="nl-NL"/>
        </w:rPr>
        <w:t>.</w:t>
      </w:r>
      <w:r w:rsidRPr="00D13F2D">
        <w:rPr>
          <w:rFonts w:ascii="Times New Roman" w:hAnsi="Times New Roman"/>
          <w:bCs/>
          <w:color w:val="auto"/>
          <w:lang w:val="nl-NL"/>
        </w:rPr>
        <w:t xml:space="preserve"> </w:t>
      </w:r>
    </w:p>
    <w:p w:rsidR="007572E1" w:rsidRPr="00D13F2D" w:rsidRDefault="007572E1" w:rsidP="007572E1">
      <w:pPr>
        <w:pStyle w:val="Body"/>
        <w:rPr>
          <w:rFonts w:ascii="Times New Roman" w:hAnsi="Times New Roman"/>
          <w:bCs/>
          <w:color w:val="auto"/>
          <w:lang w:val="nl-NL"/>
        </w:rPr>
      </w:pPr>
      <w:r w:rsidRPr="00D13F2D">
        <w:rPr>
          <w:rFonts w:ascii="Times New Roman" w:hAnsi="Times New Roman"/>
          <w:bCs/>
          <w:color w:val="auto"/>
          <w:lang w:val="nl-NL"/>
        </w:rPr>
        <w:t xml:space="preserve">In 2018, the ACOA highlighted the Women Entrepeneurship Society, which seeks to get more women invovled in business and innovation. </w:t>
      </w:r>
    </w:p>
    <w:p w:rsidR="00D27843" w:rsidRPr="00D13F2D" w:rsidRDefault="00D27843" w:rsidP="00D27843">
      <w:pPr>
        <w:pStyle w:val="Body"/>
        <w:rPr>
          <w:rFonts w:ascii="Times New Roman" w:hAnsi="Times New Roman"/>
          <w:bCs/>
          <w:color w:val="auto"/>
          <w:lang w:val="nl-NL"/>
        </w:rPr>
        <w:sectPr w:rsidR="00D27843" w:rsidRPr="00D13F2D" w:rsidSect="00610C52">
          <w:pgSz w:w="12240" w:h="15840" w:code="1"/>
          <w:pgMar w:top="1440" w:right="1440" w:bottom="1440" w:left="1440" w:header="720" w:footer="720" w:gutter="0"/>
          <w:cols w:space="720"/>
          <w:docGrid w:linePitch="360"/>
        </w:sectPr>
      </w:pPr>
    </w:p>
    <w:p w:rsidR="00D27843" w:rsidRPr="00D13F2D" w:rsidRDefault="00D27843" w:rsidP="00D27843"/>
    <w:p w:rsidR="00D27843" w:rsidRPr="00D13F2D" w:rsidRDefault="00D27843" w:rsidP="00D27843"/>
    <w:p w:rsidR="00D27843" w:rsidRPr="00D13F2D" w:rsidRDefault="00D27843" w:rsidP="00D2784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2"/>
        <w:gridCol w:w="666"/>
        <w:gridCol w:w="666"/>
        <w:gridCol w:w="666"/>
        <w:gridCol w:w="666"/>
        <w:gridCol w:w="666"/>
        <w:gridCol w:w="666"/>
        <w:gridCol w:w="666"/>
        <w:gridCol w:w="666"/>
        <w:gridCol w:w="666"/>
        <w:gridCol w:w="666"/>
        <w:gridCol w:w="666"/>
      </w:tblGrid>
      <w:tr w:rsidR="00D13F2D" w:rsidRPr="00D13F2D" w:rsidTr="00610C52">
        <w:trPr>
          <w:trHeight w:val="582"/>
          <w:jc w:val="center"/>
        </w:trPr>
        <w:tc>
          <w:tcPr>
            <w:tcW w:w="0" w:type="auto"/>
            <w:gridSpan w:val="12"/>
            <w:tcBorders>
              <w:top w:val="single" w:sz="4" w:space="0" w:color="auto"/>
              <w:bottom w:val="single" w:sz="4" w:space="0" w:color="auto"/>
            </w:tcBorders>
            <w:vAlign w:val="center"/>
          </w:tcPr>
          <w:p w:rsidR="00D27843" w:rsidRPr="00D13F2D" w:rsidRDefault="007572E1" w:rsidP="00203D3E">
            <w:pPr>
              <w:jc w:val="center"/>
              <w:rPr>
                <w:b/>
                <w:sz w:val="20"/>
                <w:szCs w:val="20"/>
              </w:rPr>
            </w:pPr>
            <w:r w:rsidRPr="00D13F2D">
              <w:rPr>
                <w:b/>
                <w:sz w:val="20"/>
                <w:szCs w:val="20"/>
              </w:rPr>
              <w:t>ACOA</w:t>
            </w:r>
            <w:r w:rsidR="00D27843" w:rsidRPr="00D13F2D">
              <w:rPr>
                <w:b/>
                <w:sz w:val="20"/>
                <w:szCs w:val="20"/>
              </w:rPr>
              <w:t xml:space="preserve"> Annual Expenditures Towards </w:t>
            </w:r>
            <w:r w:rsidR="007E01A9" w:rsidRPr="00D13F2D">
              <w:rPr>
                <w:b/>
                <w:sz w:val="20"/>
                <w:szCs w:val="20"/>
              </w:rPr>
              <w:t>Enterprise</w:t>
            </w:r>
            <w:r w:rsidR="00D27843" w:rsidRPr="00D13F2D">
              <w:rPr>
                <w:b/>
                <w:sz w:val="20"/>
                <w:szCs w:val="20"/>
              </w:rPr>
              <w:t xml:space="preserve"> Development (in </w:t>
            </w:r>
            <w:r w:rsidR="00203D3E" w:rsidRPr="00D13F2D">
              <w:rPr>
                <w:b/>
                <w:sz w:val="20"/>
                <w:szCs w:val="20"/>
              </w:rPr>
              <w:t>millions</w:t>
            </w:r>
            <w:r w:rsidR="00D27843" w:rsidRPr="00D13F2D">
              <w:rPr>
                <w:b/>
                <w:sz w:val="20"/>
                <w:szCs w:val="20"/>
              </w:rPr>
              <w:t xml:space="preserve"> CAD)</w:t>
            </w:r>
            <w:r w:rsidR="00D27843" w:rsidRPr="00D13F2D">
              <w:rPr>
                <w:rStyle w:val="FootnoteReference"/>
                <w:b/>
                <w:sz w:val="20"/>
                <w:szCs w:val="20"/>
              </w:rPr>
              <w:footnoteReference w:id="3"/>
            </w:r>
          </w:p>
        </w:tc>
      </w:tr>
      <w:tr w:rsidR="00D13F2D" w:rsidRPr="00D13F2D" w:rsidTr="00610C52">
        <w:trPr>
          <w:trHeight w:val="582"/>
          <w:jc w:val="center"/>
        </w:trPr>
        <w:tc>
          <w:tcPr>
            <w:tcW w:w="0" w:type="auto"/>
            <w:tcBorders>
              <w:top w:val="single" w:sz="4" w:space="0" w:color="auto"/>
              <w:bottom w:val="single" w:sz="4" w:space="0" w:color="auto"/>
            </w:tcBorders>
            <w:vAlign w:val="center"/>
          </w:tcPr>
          <w:p w:rsidR="00D27843" w:rsidRPr="00D13F2D" w:rsidRDefault="00D27843" w:rsidP="00610C52">
            <w:pPr>
              <w:jc w:val="center"/>
              <w:rPr>
                <w:sz w:val="20"/>
                <w:szCs w:val="20"/>
              </w:rPr>
            </w:pPr>
          </w:p>
        </w:tc>
        <w:tc>
          <w:tcPr>
            <w:tcW w:w="0" w:type="auto"/>
            <w:tcBorders>
              <w:top w:val="single" w:sz="4" w:space="0" w:color="auto"/>
              <w:bottom w:val="single" w:sz="4" w:space="0" w:color="auto"/>
            </w:tcBorders>
            <w:vAlign w:val="center"/>
          </w:tcPr>
          <w:p w:rsidR="00D27843" w:rsidRPr="00D13F2D" w:rsidRDefault="00D27843" w:rsidP="00610C52">
            <w:pPr>
              <w:jc w:val="center"/>
              <w:rPr>
                <w:b/>
                <w:sz w:val="20"/>
                <w:szCs w:val="20"/>
              </w:rPr>
            </w:pPr>
            <w:r w:rsidRPr="00D13F2D">
              <w:rPr>
                <w:b/>
                <w:sz w:val="20"/>
                <w:szCs w:val="20"/>
              </w:rPr>
              <w:t>2006</w:t>
            </w:r>
          </w:p>
        </w:tc>
        <w:tc>
          <w:tcPr>
            <w:tcW w:w="0" w:type="auto"/>
            <w:tcBorders>
              <w:top w:val="single" w:sz="4" w:space="0" w:color="auto"/>
              <w:bottom w:val="single" w:sz="4" w:space="0" w:color="auto"/>
            </w:tcBorders>
            <w:vAlign w:val="center"/>
          </w:tcPr>
          <w:p w:rsidR="00D27843" w:rsidRPr="00D13F2D" w:rsidRDefault="00D27843" w:rsidP="00610C52">
            <w:pPr>
              <w:jc w:val="center"/>
              <w:rPr>
                <w:b/>
                <w:sz w:val="20"/>
                <w:szCs w:val="20"/>
              </w:rPr>
            </w:pPr>
            <w:r w:rsidRPr="00D13F2D">
              <w:rPr>
                <w:b/>
                <w:sz w:val="20"/>
                <w:szCs w:val="20"/>
              </w:rPr>
              <w:t>2007</w:t>
            </w:r>
          </w:p>
        </w:tc>
        <w:tc>
          <w:tcPr>
            <w:tcW w:w="0" w:type="auto"/>
            <w:tcBorders>
              <w:top w:val="single" w:sz="4" w:space="0" w:color="auto"/>
              <w:bottom w:val="single" w:sz="4" w:space="0" w:color="auto"/>
            </w:tcBorders>
            <w:vAlign w:val="center"/>
          </w:tcPr>
          <w:p w:rsidR="00D27843" w:rsidRPr="00D13F2D" w:rsidRDefault="00D27843" w:rsidP="00610C52">
            <w:pPr>
              <w:jc w:val="center"/>
              <w:rPr>
                <w:b/>
                <w:sz w:val="20"/>
                <w:szCs w:val="20"/>
              </w:rPr>
            </w:pPr>
            <w:r w:rsidRPr="00D13F2D">
              <w:rPr>
                <w:b/>
                <w:sz w:val="20"/>
                <w:szCs w:val="20"/>
              </w:rPr>
              <w:t>2008</w:t>
            </w:r>
          </w:p>
        </w:tc>
        <w:tc>
          <w:tcPr>
            <w:tcW w:w="0" w:type="auto"/>
            <w:tcBorders>
              <w:top w:val="single" w:sz="4" w:space="0" w:color="auto"/>
              <w:bottom w:val="single" w:sz="4" w:space="0" w:color="auto"/>
            </w:tcBorders>
            <w:vAlign w:val="center"/>
          </w:tcPr>
          <w:p w:rsidR="00D27843" w:rsidRPr="00D13F2D" w:rsidRDefault="00D27843" w:rsidP="00610C52">
            <w:pPr>
              <w:jc w:val="center"/>
              <w:rPr>
                <w:b/>
                <w:sz w:val="20"/>
                <w:szCs w:val="20"/>
              </w:rPr>
            </w:pPr>
            <w:r w:rsidRPr="00D13F2D">
              <w:rPr>
                <w:b/>
                <w:sz w:val="20"/>
                <w:szCs w:val="20"/>
              </w:rPr>
              <w:t>2009</w:t>
            </w:r>
          </w:p>
        </w:tc>
        <w:tc>
          <w:tcPr>
            <w:tcW w:w="0" w:type="auto"/>
            <w:tcBorders>
              <w:top w:val="single" w:sz="4" w:space="0" w:color="auto"/>
              <w:bottom w:val="single" w:sz="4" w:space="0" w:color="auto"/>
            </w:tcBorders>
            <w:vAlign w:val="center"/>
          </w:tcPr>
          <w:p w:rsidR="00D27843" w:rsidRPr="00D13F2D" w:rsidRDefault="00D27843" w:rsidP="00610C52">
            <w:pPr>
              <w:jc w:val="center"/>
              <w:rPr>
                <w:b/>
                <w:sz w:val="20"/>
                <w:szCs w:val="20"/>
              </w:rPr>
            </w:pPr>
            <w:r w:rsidRPr="00D13F2D">
              <w:rPr>
                <w:b/>
                <w:sz w:val="20"/>
                <w:szCs w:val="20"/>
              </w:rPr>
              <w:t>2010</w:t>
            </w:r>
          </w:p>
        </w:tc>
        <w:tc>
          <w:tcPr>
            <w:tcW w:w="0" w:type="auto"/>
            <w:tcBorders>
              <w:top w:val="single" w:sz="4" w:space="0" w:color="auto"/>
              <w:bottom w:val="single" w:sz="4" w:space="0" w:color="auto"/>
            </w:tcBorders>
            <w:vAlign w:val="center"/>
          </w:tcPr>
          <w:p w:rsidR="00D27843" w:rsidRPr="00D13F2D" w:rsidRDefault="00D27843" w:rsidP="00610C52">
            <w:pPr>
              <w:jc w:val="center"/>
              <w:rPr>
                <w:b/>
                <w:sz w:val="20"/>
                <w:szCs w:val="20"/>
              </w:rPr>
            </w:pPr>
            <w:r w:rsidRPr="00D13F2D">
              <w:rPr>
                <w:b/>
                <w:sz w:val="20"/>
                <w:szCs w:val="20"/>
              </w:rPr>
              <w:t>2011</w:t>
            </w:r>
          </w:p>
        </w:tc>
        <w:tc>
          <w:tcPr>
            <w:tcW w:w="0" w:type="auto"/>
            <w:tcBorders>
              <w:top w:val="single" w:sz="4" w:space="0" w:color="auto"/>
              <w:bottom w:val="single" w:sz="4" w:space="0" w:color="auto"/>
            </w:tcBorders>
            <w:vAlign w:val="center"/>
          </w:tcPr>
          <w:p w:rsidR="00D27843" w:rsidRPr="00D13F2D" w:rsidRDefault="00D27843" w:rsidP="00610C52">
            <w:pPr>
              <w:jc w:val="center"/>
              <w:rPr>
                <w:b/>
                <w:sz w:val="20"/>
                <w:szCs w:val="20"/>
              </w:rPr>
            </w:pPr>
            <w:r w:rsidRPr="00D13F2D">
              <w:rPr>
                <w:b/>
                <w:sz w:val="20"/>
                <w:szCs w:val="20"/>
              </w:rPr>
              <w:t>2012</w:t>
            </w:r>
          </w:p>
        </w:tc>
        <w:tc>
          <w:tcPr>
            <w:tcW w:w="0" w:type="auto"/>
            <w:tcBorders>
              <w:top w:val="single" w:sz="4" w:space="0" w:color="auto"/>
              <w:bottom w:val="single" w:sz="4" w:space="0" w:color="auto"/>
            </w:tcBorders>
            <w:vAlign w:val="center"/>
          </w:tcPr>
          <w:p w:rsidR="00D27843" w:rsidRPr="00D13F2D" w:rsidRDefault="00D27843" w:rsidP="00610C52">
            <w:pPr>
              <w:jc w:val="center"/>
              <w:rPr>
                <w:b/>
                <w:sz w:val="20"/>
                <w:szCs w:val="20"/>
              </w:rPr>
            </w:pPr>
            <w:r w:rsidRPr="00D13F2D">
              <w:rPr>
                <w:b/>
                <w:sz w:val="20"/>
                <w:szCs w:val="20"/>
              </w:rPr>
              <w:t>2013</w:t>
            </w:r>
          </w:p>
        </w:tc>
        <w:tc>
          <w:tcPr>
            <w:tcW w:w="0" w:type="auto"/>
            <w:tcBorders>
              <w:top w:val="single" w:sz="4" w:space="0" w:color="auto"/>
              <w:bottom w:val="single" w:sz="4" w:space="0" w:color="auto"/>
            </w:tcBorders>
            <w:vAlign w:val="center"/>
          </w:tcPr>
          <w:p w:rsidR="00D27843" w:rsidRPr="00D13F2D" w:rsidRDefault="00D27843" w:rsidP="00610C52">
            <w:pPr>
              <w:jc w:val="center"/>
              <w:rPr>
                <w:b/>
                <w:sz w:val="20"/>
                <w:szCs w:val="20"/>
              </w:rPr>
            </w:pPr>
            <w:r w:rsidRPr="00D13F2D">
              <w:rPr>
                <w:b/>
                <w:sz w:val="20"/>
                <w:szCs w:val="20"/>
              </w:rPr>
              <w:t>2014</w:t>
            </w:r>
          </w:p>
        </w:tc>
        <w:tc>
          <w:tcPr>
            <w:tcW w:w="0" w:type="auto"/>
            <w:tcBorders>
              <w:top w:val="single" w:sz="4" w:space="0" w:color="auto"/>
              <w:bottom w:val="single" w:sz="4" w:space="0" w:color="auto"/>
            </w:tcBorders>
            <w:vAlign w:val="center"/>
          </w:tcPr>
          <w:p w:rsidR="00D27843" w:rsidRPr="00D13F2D" w:rsidRDefault="00D27843" w:rsidP="00610C52">
            <w:pPr>
              <w:jc w:val="center"/>
              <w:rPr>
                <w:b/>
                <w:sz w:val="20"/>
                <w:szCs w:val="20"/>
              </w:rPr>
            </w:pPr>
            <w:r w:rsidRPr="00D13F2D">
              <w:rPr>
                <w:b/>
                <w:sz w:val="20"/>
                <w:szCs w:val="20"/>
              </w:rPr>
              <w:t>2015</w:t>
            </w:r>
          </w:p>
        </w:tc>
        <w:tc>
          <w:tcPr>
            <w:tcW w:w="0" w:type="auto"/>
            <w:tcBorders>
              <w:top w:val="single" w:sz="4" w:space="0" w:color="auto"/>
              <w:bottom w:val="single" w:sz="4" w:space="0" w:color="auto"/>
            </w:tcBorders>
            <w:vAlign w:val="center"/>
          </w:tcPr>
          <w:p w:rsidR="00D27843" w:rsidRPr="00D13F2D" w:rsidRDefault="00D27843" w:rsidP="00610C52">
            <w:pPr>
              <w:jc w:val="center"/>
              <w:rPr>
                <w:b/>
                <w:sz w:val="20"/>
                <w:szCs w:val="20"/>
              </w:rPr>
            </w:pPr>
            <w:r w:rsidRPr="00D13F2D">
              <w:rPr>
                <w:b/>
                <w:sz w:val="20"/>
                <w:szCs w:val="20"/>
              </w:rPr>
              <w:t>2016</w:t>
            </w:r>
          </w:p>
        </w:tc>
      </w:tr>
      <w:tr w:rsidR="00D13F2D" w:rsidRPr="00D13F2D" w:rsidTr="00610C52">
        <w:trPr>
          <w:trHeight w:val="299"/>
          <w:jc w:val="center"/>
        </w:trPr>
        <w:tc>
          <w:tcPr>
            <w:tcW w:w="0" w:type="auto"/>
            <w:tcBorders>
              <w:top w:val="single" w:sz="4" w:space="0" w:color="auto"/>
            </w:tcBorders>
            <w:vAlign w:val="center"/>
          </w:tcPr>
          <w:p w:rsidR="00D27843" w:rsidRPr="00D13F2D" w:rsidRDefault="00D27843" w:rsidP="00610C52">
            <w:pPr>
              <w:rPr>
                <w:b/>
                <w:sz w:val="18"/>
                <w:szCs w:val="18"/>
              </w:rPr>
            </w:pPr>
            <w:r w:rsidRPr="00D13F2D">
              <w:rPr>
                <w:b/>
                <w:sz w:val="18"/>
                <w:szCs w:val="18"/>
              </w:rPr>
              <w:t>Planned Spending</w:t>
            </w:r>
          </w:p>
        </w:tc>
        <w:tc>
          <w:tcPr>
            <w:tcW w:w="0" w:type="auto"/>
            <w:tcBorders>
              <w:top w:val="single" w:sz="4" w:space="0" w:color="auto"/>
            </w:tcBorders>
            <w:vAlign w:val="center"/>
          </w:tcPr>
          <w:p w:rsidR="00D27843" w:rsidRPr="00D13F2D" w:rsidRDefault="00203D3E" w:rsidP="00610C52">
            <w:pPr>
              <w:rPr>
                <w:sz w:val="20"/>
                <w:szCs w:val="20"/>
              </w:rPr>
            </w:pPr>
            <w:r w:rsidRPr="00D13F2D">
              <w:rPr>
                <w:sz w:val="20"/>
                <w:szCs w:val="20"/>
              </w:rPr>
              <w:t>279.6</w:t>
            </w:r>
          </w:p>
        </w:tc>
        <w:tc>
          <w:tcPr>
            <w:tcW w:w="0" w:type="auto"/>
            <w:tcBorders>
              <w:top w:val="single" w:sz="4" w:space="0" w:color="auto"/>
            </w:tcBorders>
            <w:vAlign w:val="center"/>
          </w:tcPr>
          <w:p w:rsidR="00D27843" w:rsidRPr="00D13F2D" w:rsidRDefault="00203D3E" w:rsidP="00610C52">
            <w:pPr>
              <w:jc w:val="center"/>
              <w:rPr>
                <w:sz w:val="20"/>
                <w:szCs w:val="20"/>
              </w:rPr>
            </w:pPr>
            <w:r w:rsidRPr="00D13F2D">
              <w:rPr>
                <w:sz w:val="20"/>
                <w:szCs w:val="20"/>
              </w:rPr>
              <w:t>208.6</w:t>
            </w:r>
          </w:p>
        </w:tc>
        <w:tc>
          <w:tcPr>
            <w:tcW w:w="0" w:type="auto"/>
            <w:tcBorders>
              <w:top w:val="single" w:sz="4" w:space="0" w:color="auto"/>
            </w:tcBorders>
            <w:vAlign w:val="center"/>
          </w:tcPr>
          <w:p w:rsidR="00D27843" w:rsidRPr="00D13F2D" w:rsidRDefault="00203D3E" w:rsidP="00610C52">
            <w:pPr>
              <w:jc w:val="center"/>
              <w:rPr>
                <w:sz w:val="20"/>
                <w:szCs w:val="20"/>
              </w:rPr>
            </w:pPr>
            <w:r w:rsidRPr="00D13F2D">
              <w:rPr>
                <w:sz w:val="20"/>
                <w:szCs w:val="20"/>
              </w:rPr>
              <w:t>214.2</w:t>
            </w:r>
          </w:p>
        </w:tc>
        <w:tc>
          <w:tcPr>
            <w:tcW w:w="0" w:type="auto"/>
            <w:tcBorders>
              <w:top w:val="single" w:sz="4" w:space="0" w:color="auto"/>
            </w:tcBorders>
            <w:vAlign w:val="center"/>
          </w:tcPr>
          <w:p w:rsidR="00D27843" w:rsidRPr="00D13F2D" w:rsidRDefault="00203D3E" w:rsidP="00610C52">
            <w:pPr>
              <w:jc w:val="center"/>
              <w:rPr>
                <w:sz w:val="20"/>
                <w:szCs w:val="20"/>
              </w:rPr>
            </w:pPr>
            <w:r w:rsidRPr="00D13F2D">
              <w:rPr>
                <w:sz w:val="20"/>
                <w:szCs w:val="20"/>
              </w:rPr>
              <w:t>200.7</w:t>
            </w:r>
          </w:p>
        </w:tc>
        <w:tc>
          <w:tcPr>
            <w:tcW w:w="0" w:type="auto"/>
            <w:tcBorders>
              <w:top w:val="single" w:sz="4" w:space="0" w:color="auto"/>
            </w:tcBorders>
            <w:vAlign w:val="center"/>
          </w:tcPr>
          <w:p w:rsidR="00D27843" w:rsidRPr="00D13F2D" w:rsidRDefault="00203D3E" w:rsidP="00610C52">
            <w:pPr>
              <w:jc w:val="center"/>
              <w:rPr>
                <w:sz w:val="20"/>
                <w:szCs w:val="20"/>
              </w:rPr>
            </w:pPr>
            <w:r w:rsidRPr="00D13F2D">
              <w:rPr>
                <w:sz w:val="20"/>
                <w:szCs w:val="20"/>
              </w:rPr>
              <w:t>174.3</w:t>
            </w:r>
          </w:p>
        </w:tc>
        <w:tc>
          <w:tcPr>
            <w:tcW w:w="0" w:type="auto"/>
            <w:tcBorders>
              <w:top w:val="single" w:sz="4" w:space="0" w:color="auto"/>
            </w:tcBorders>
          </w:tcPr>
          <w:p w:rsidR="00D27843" w:rsidRPr="00D13F2D" w:rsidRDefault="00203D3E" w:rsidP="00610C52">
            <w:pPr>
              <w:jc w:val="center"/>
              <w:rPr>
                <w:sz w:val="20"/>
                <w:szCs w:val="20"/>
              </w:rPr>
            </w:pPr>
            <w:r w:rsidRPr="00D13F2D">
              <w:rPr>
                <w:sz w:val="20"/>
                <w:szCs w:val="20"/>
              </w:rPr>
              <w:t>170.2</w:t>
            </w:r>
          </w:p>
        </w:tc>
        <w:tc>
          <w:tcPr>
            <w:tcW w:w="0" w:type="auto"/>
            <w:tcBorders>
              <w:top w:val="single" w:sz="4" w:space="0" w:color="auto"/>
            </w:tcBorders>
          </w:tcPr>
          <w:p w:rsidR="00D27843" w:rsidRPr="00D13F2D" w:rsidRDefault="00203D3E" w:rsidP="00610C52">
            <w:pPr>
              <w:jc w:val="center"/>
              <w:rPr>
                <w:sz w:val="20"/>
                <w:szCs w:val="20"/>
              </w:rPr>
            </w:pPr>
            <w:r w:rsidRPr="00D13F2D">
              <w:rPr>
                <w:sz w:val="20"/>
                <w:szCs w:val="20"/>
              </w:rPr>
              <w:t>175.6</w:t>
            </w:r>
          </w:p>
        </w:tc>
        <w:tc>
          <w:tcPr>
            <w:tcW w:w="0" w:type="auto"/>
            <w:tcBorders>
              <w:top w:val="single" w:sz="4" w:space="0" w:color="auto"/>
            </w:tcBorders>
          </w:tcPr>
          <w:p w:rsidR="00D27843" w:rsidRPr="00D13F2D" w:rsidRDefault="00203D3E" w:rsidP="00610C52">
            <w:pPr>
              <w:jc w:val="center"/>
              <w:rPr>
                <w:sz w:val="20"/>
                <w:szCs w:val="20"/>
              </w:rPr>
            </w:pPr>
            <w:r w:rsidRPr="00D13F2D">
              <w:rPr>
                <w:sz w:val="20"/>
                <w:szCs w:val="20"/>
              </w:rPr>
              <w:t>170.2</w:t>
            </w:r>
          </w:p>
        </w:tc>
        <w:tc>
          <w:tcPr>
            <w:tcW w:w="0" w:type="auto"/>
            <w:tcBorders>
              <w:top w:val="single" w:sz="4" w:space="0" w:color="auto"/>
            </w:tcBorders>
          </w:tcPr>
          <w:p w:rsidR="00D27843" w:rsidRPr="00D13F2D" w:rsidRDefault="00203D3E" w:rsidP="00610C52">
            <w:pPr>
              <w:jc w:val="center"/>
              <w:rPr>
                <w:sz w:val="20"/>
                <w:szCs w:val="20"/>
              </w:rPr>
            </w:pPr>
            <w:r w:rsidRPr="00D13F2D">
              <w:rPr>
                <w:sz w:val="20"/>
                <w:szCs w:val="20"/>
              </w:rPr>
              <w:t>164.6</w:t>
            </w:r>
          </w:p>
        </w:tc>
        <w:tc>
          <w:tcPr>
            <w:tcW w:w="0" w:type="auto"/>
            <w:tcBorders>
              <w:top w:val="single" w:sz="4" w:space="0" w:color="auto"/>
            </w:tcBorders>
          </w:tcPr>
          <w:p w:rsidR="00D27843" w:rsidRPr="00D13F2D" w:rsidRDefault="00203D3E" w:rsidP="00610C52">
            <w:pPr>
              <w:jc w:val="center"/>
              <w:rPr>
                <w:sz w:val="20"/>
                <w:szCs w:val="20"/>
              </w:rPr>
            </w:pPr>
            <w:r w:rsidRPr="00D13F2D">
              <w:rPr>
                <w:sz w:val="20"/>
                <w:szCs w:val="20"/>
              </w:rPr>
              <w:t>171.2</w:t>
            </w:r>
          </w:p>
        </w:tc>
        <w:tc>
          <w:tcPr>
            <w:tcW w:w="0" w:type="auto"/>
            <w:tcBorders>
              <w:top w:val="single" w:sz="4" w:space="0" w:color="auto"/>
            </w:tcBorders>
          </w:tcPr>
          <w:p w:rsidR="00D27843" w:rsidRPr="00D13F2D" w:rsidRDefault="00203D3E" w:rsidP="00610C52">
            <w:pPr>
              <w:jc w:val="center"/>
              <w:rPr>
                <w:sz w:val="20"/>
                <w:szCs w:val="20"/>
              </w:rPr>
            </w:pPr>
            <w:r w:rsidRPr="00D13F2D">
              <w:rPr>
                <w:sz w:val="20"/>
                <w:szCs w:val="20"/>
              </w:rPr>
              <w:t>172.9</w:t>
            </w:r>
          </w:p>
        </w:tc>
      </w:tr>
      <w:tr w:rsidR="00D13F2D" w:rsidRPr="00D13F2D" w:rsidTr="00610C52">
        <w:trPr>
          <w:trHeight w:val="282"/>
          <w:jc w:val="center"/>
        </w:trPr>
        <w:tc>
          <w:tcPr>
            <w:tcW w:w="0" w:type="auto"/>
            <w:vAlign w:val="center"/>
          </w:tcPr>
          <w:p w:rsidR="00D27843" w:rsidRPr="00D13F2D" w:rsidRDefault="00D27843" w:rsidP="00610C52">
            <w:pPr>
              <w:jc w:val="center"/>
              <w:rPr>
                <w:b/>
                <w:sz w:val="18"/>
                <w:szCs w:val="18"/>
              </w:rPr>
            </w:pPr>
            <w:r w:rsidRPr="00D13F2D">
              <w:rPr>
                <w:b/>
                <w:sz w:val="18"/>
                <w:szCs w:val="18"/>
              </w:rPr>
              <w:t>Actual Spending</w:t>
            </w:r>
          </w:p>
        </w:tc>
        <w:tc>
          <w:tcPr>
            <w:tcW w:w="0" w:type="auto"/>
            <w:vAlign w:val="center"/>
          </w:tcPr>
          <w:p w:rsidR="00D27843" w:rsidRPr="00D13F2D" w:rsidRDefault="00203D3E" w:rsidP="00610C52">
            <w:pPr>
              <w:rPr>
                <w:sz w:val="20"/>
                <w:szCs w:val="20"/>
              </w:rPr>
            </w:pPr>
            <w:r w:rsidRPr="00D13F2D">
              <w:rPr>
                <w:sz w:val="20"/>
                <w:szCs w:val="20"/>
              </w:rPr>
              <w:t>223.6</w:t>
            </w:r>
          </w:p>
        </w:tc>
        <w:tc>
          <w:tcPr>
            <w:tcW w:w="0" w:type="auto"/>
            <w:vAlign w:val="center"/>
          </w:tcPr>
          <w:p w:rsidR="00D27843" w:rsidRPr="00D13F2D" w:rsidRDefault="00203D3E" w:rsidP="00610C52">
            <w:pPr>
              <w:jc w:val="center"/>
              <w:rPr>
                <w:sz w:val="20"/>
                <w:szCs w:val="20"/>
              </w:rPr>
            </w:pPr>
            <w:r w:rsidRPr="00D13F2D">
              <w:rPr>
                <w:sz w:val="20"/>
                <w:szCs w:val="20"/>
              </w:rPr>
              <w:t>213.6</w:t>
            </w:r>
          </w:p>
        </w:tc>
        <w:tc>
          <w:tcPr>
            <w:tcW w:w="0" w:type="auto"/>
            <w:vAlign w:val="center"/>
          </w:tcPr>
          <w:p w:rsidR="00D27843" w:rsidRPr="00D13F2D" w:rsidRDefault="00203D3E" w:rsidP="00610C52">
            <w:pPr>
              <w:jc w:val="center"/>
              <w:rPr>
                <w:sz w:val="20"/>
                <w:szCs w:val="20"/>
              </w:rPr>
            </w:pPr>
            <w:r w:rsidRPr="00D13F2D">
              <w:rPr>
                <w:sz w:val="20"/>
                <w:szCs w:val="20"/>
              </w:rPr>
              <w:t>215</w:t>
            </w:r>
          </w:p>
        </w:tc>
        <w:tc>
          <w:tcPr>
            <w:tcW w:w="0" w:type="auto"/>
            <w:vAlign w:val="center"/>
          </w:tcPr>
          <w:p w:rsidR="00D27843" w:rsidRPr="00D13F2D" w:rsidRDefault="00203D3E" w:rsidP="00610C52">
            <w:pPr>
              <w:jc w:val="center"/>
              <w:rPr>
                <w:sz w:val="20"/>
                <w:szCs w:val="20"/>
              </w:rPr>
            </w:pPr>
            <w:r w:rsidRPr="00D13F2D">
              <w:rPr>
                <w:sz w:val="20"/>
                <w:szCs w:val="20"/>
              </w:rPr>
              <w:t>192.2</w:t>
            </w:r>
          </w:p>
        </w:tc>
        <w:tc>
          <w:tcPr>
            <w:tcW w:w="0" w:type="auto"/>
            <w:vAlign w:val="center"/>
          </w:tcPr>
          <w:p w:rsidR="00D27843" w:rsidRPr="00D13F2D" w:rsidRDefault="00203D3E" w:rsidP="00610C52">
            <w:pPr>
              <w:jc w:val="center"/>
              <w:rPr>
                <w:sz w:val="20"/>
                <w:szCs w:val="20"/>
              </w:rPr>
            </w:pPr>
            <w:r w:rsidRPr="00D13F2D">
              <w:rPr>
                <w:sz w:val="20"/>
                <w:szCs w:val="20"/>
              </w:rPr>
              <w:t>191</w:t>
            </w:r>
          </w:p>
        </w:tc>
        <w:tc>
          <w:tcPr>
            <w:tcW w:w="0" w:type="auto"/>
            <w:vAlign w:val="center"/>
          </w:tcPr>
          <w:p w:rsidR="00D27843" w:rsidRPr="00D13F2D" w:rsidRDefault="00203D3E" w:rsidP="00610C52">
            <w:pPr>
              <w:jc w:val="center"/>
              <w:rPr>
                <w:sz w:val="20"/>
                <w:szCs w:val="20"/>
              </w:rPr>
            </w:pPr>
            <w:r w:rsidRPr="00D13F2D">
              <w:rPr>
                <w:sz w:val="20"/>
                <w:szCs w:val="20"/>
              </w:rPr>
              <w:t>172.9</w:t>
            </w:r>
          </w:p>
        </w:tc>
        <w:tc>
          <w:tcPr>
            <w:tcW w:w="0" w:type="auto"/>
          </w:tcPr>
          <w:p w:rsidR="00D27843" w:rsidRPr="00D13F2D" w:rsidRDefault="00203D3E" w:rsidP="00610C52">
            <w:pPr>
              <w:jc w:val="center"/>
              <w:rPr>
                <w:sz w:val="20"/>
                <w:szCs w:val="20"/>
              </w:rPr>
            </w:pPr>
            <w:r w:rsidRPr="00D13F2D">
              <w:rPr>
                <w:sz w:val="20"/>
                <w:szCs w:val="20"/>
              </w:rPr>
              <w:t>179.9</w:t>
            </w:r>
          </w:p>
        </w:tc>
        <w:tc>
          <w:tcPr>
            <w:tcW w:w="0" w:type="auto"/>
          </w:tcPr>
          <w:p w:rsidR="00D27843" w:rsidRPr="00D13F2D" w:rsidRDefault="00203D3E" w:rsidP="00610C52">
            <w:pPr>
              <w:jc w:val="center"/>
              <w:rPr>
                <w:sz w:val="20"/>
                <w:szCs w:val="20"/>
              </w:rPr>
            </w:pPr>
            <w:r w:rsidRPr="00D13F2D">
              <w:rPr>
                <w:sz w:val="20"/>
                <w:szCs w:val="20"/>
              </w:rPr>
              <w:t>180.7</w:t>
            </w:r>
          </w:p>
        </w:tc>
        <w:tc>
          <w:tcPr>
            <w:tcW w:w="0" w:type="auto"/>
          </w:tcPr>
          <w:p w:rsidR="00D27843" w:rsidRPr="00D13F2D" w:rsidRDefault="00203D3E" w:rsidP="00610C52">
            <w:pPr>
              <w:jc w:val="center"/>
              <w:rPr>
                <w:sz w:val="20"/>
                <w:szCs w:val="20"/>
              </w:rPr>
            </w:pPr>
            <w:r w:rsidRPr="00D13F2D">
              <w:rPr>
                <w:sz w:val="20"/>
                <w:szCs w:val="20"/>
              </w:rPr>
              <w:t>173.9</w:t>
            </w:r>
          </w:p>
        </w:tc>
        <w:tc>
          <w:tcPr>
            <w:tcW w:w="0" w:type="auto"/>
          </w:tcPr>
          <w:p w:rsidR="00D27843" w:rsidRPr="00D13F2D" w:rsidRDefault="00203D3E" w:rsidP="00610C52">
            <w:pPr>
              <w:jc w:val="center"/>
              <w:rPr>
                <w:sz w:val="20"/>
                <w:szCs w:val="20"/>
              </w:rPr>
            </w:pPr>
            <w:r w:rsidRPr="00D13F2D">
              <w:rPr>
                <w:sz w:val="20"/>
                <w:szCs w:val="20"/>
              </w:rPr>
              <w:t>171.9</w:t>
            </w:r>
          </w:p>
        </w:tc>
        <w:tc>
          <w:tcPr>
            <w:tcW w:w="0" w:type="auto"/>
          </w:tcPr>
          <w:p w:rsidR="00D27843" w:rsidRPr="00D13F2D" w:rsidRDefault="00203D3E" w:rsidP="00610C52">
            <w:pPr>
              <w:jc w:val="center"/>
              <w:rPr>
                <w:sz w:val="20"/>
                <w:szCs w:val="20"/>
              </w:rPr>
            </w:pPr>
            <w:r w:rsidRPr="00D13F2D">
              <w:rPr>
                <w:sz w:val="20"/>
                <w:szCs w:val="20"/>
              </w:rPr>
              <w:t>186.2</w:t>
            </w:r>
          </w:p>
        </w:tc>
      </w:tr>
      <w:tr w:rsidR="00D13F2D" w:rsidRPr="00D13F2D" w:rsidTr="00610C52">
        <w:trPr>
          <w:trHeight w:val="282"/>
          <w:jc w:val="center"/>
        </w:trPr>
        <w:tc>
          <w:tcPr>
            <w:tcW w:w="0" w:type="auto"/>
            <w:vAlign w:val="center"/>
          </w:tcPr>
          <w:p w:rsidR="00D27843" w:rsidRPr="00D13F2D" w:rsidRDefault="00D27843" w:rsidP="00610C52">
            <w:pPr>
              <w:jc w:val="center"/>
              <w:rPr>
                <w:i/>
                <w:sz w:val="20"/>
                <w:szCs w:val="20"/>
              </w:rPr>
            </w:pPr>
          </w:p>
        </w:tc>
        <w:tc>
          <w:tcPr>
            <w:tcW w:w="0" w:type="auto"/>
            <w:vAlign w:val="center"/>
          </w:tcPr>
          <w:p w:rsidR="00D27843" w:rsidRPr="00D13F2D" w:rsidRDefault="00D27843" w:rsidP="00610C52">
            <w:pPr>
              <w:rPr>
                <w:sz w:val="20"/>
                <w:szCs w:val="20"/>
              </w:rPr>
            </w:pPr>
          </w:p>
        </w:tc>
        <w:tc>
          <w:tcPr>
            <w:tcW w:w="0" w:type="auto"/>
            <w:vAlign w:val="center"/>
          </w:tcPr>
          <w:p w:rsidR="00D27843" w:rsidRPr="00D13F2D" w:rsidRDefault="00D27843" w:rsidP="00610C52">
            <w:pPr>
              <w:jc w:val="center"/>
              <w:rPr>
                <w:sz w:val="20"/>
                <w:szCs w:val="20"/>
              </w:rPr>
            </w:pPr>
          </w:p>
        </w:tc>
        <w:tc>
          <w:tcPr>
            <w:tcW w:w="0" w:type="auto"/>
            <w:vAlign w:val="center"/>
          </w:tcPr>
          <w:p w:rsidR="00D27843" w:rsidRPr="00D13F2D" w:rsidRDefault="00D27843" w:rsidP="00610C52">
            <w:pPr>
              <w:jc w:val="center"/>
              <w:rPr>
                <w:sz w:val="20"/>
                <w:szCs w:val="20"/>
              </w:rPr>
            </w:pPr>
          </w:p>
        </w:tc>
        <w:tc>
          <w:tcPr>
            <w:tcW w:w="0" w:type="auto"/>
            <w:vAlign w:val="center"/>
          </w:tcPr>
          <w:p w:rsidR="00D27843" w:rsidRPr="00D13F2D" w:rsidRDefault="00D27843" w:rsidP="00610C52">
            <w:pPr>
              <w:jc w:val="center"/>
              <w:rPr>
                <w:sz w:val="20"/>
                <w:szCs w:val="20"/>
              </w:rPr>
            </w:pPr>
          </w:p>
        </w:tc>
        <w:tc>
          <w:tcPr>
            <w:tcW w:w="0" w:type="auto"/>
            <w:vAlign w:val="center"/>
          </w:tcPr>
          <w:p w:rsidR="00D27843" w:rsidRPr="00D13F2D" w:rsidRDefault="00D27843" w:rsidP="00610C52">
            <w:pPr>
              <w:jc w:val="center"/>
              <w:rPr>
                <w:sz w:val="20"/>
                <w:szCs w:val="20"/>
              </w:rPr>
            </w:pPr>
          </w:p>
        </w:tc>
        <w:tc>
          <w:tcPr>
            <w:tcW w:w="0" w:type="auto"/>
            <w:vAlign w:val="center"/>
          </w:tcPr>
          <w:p w:rsidR="00D27843" w:rsidRPr="00D13F2D" w:rsidRDefault="00D27843" w:rsidP="00610C52">
            <w:pPr>
              <w:jc w:val="center"/>
              <w:rPr>
                <w:sz w:val="20"/>
                <w:szCs w:val="20"/>
              </w:rPr>
            </w:pPr>
          </w:p>
        </w:tc>
        <w:tc>
          <w:tcPr>
            <w:tcW w:w="0" w:type="auto"/>
          </w:tcPr>
          <w:p w:rsidR="00D27843" w:rsidRPr="00D13F2D" w:rsidRDefault="00D27843" w:rsidP="00610C52">
            <w:pPr>
              <w:jc w:val="center"/>
              <w:rPr>
                <w:sz w:val="20"/>
                <w:szCs w:val="20"/>
              </w:rPr>
            </w:pPr>
          </w:p>
        </w:tc>
        <w:tc>
          <w:tcPr>
            <w:tcW w:w="0" w:type="auto"/>
          </w:tcPr>
          <w:p w:rsidR="00D27843" w:rsidRPr="00D13F2D" w:rsidRDefault="00D27843" w:rsidP="00610C52">
            <w:pPr>
              <w:jc w:val="center"/>
              <w:rPr>
                <w:sz w:val="20"/>
                <w:szCs w:val="20"/>
              </w:rPr>
            </w:pPr>
          </w:p>
        </w:tc>
        <w:tc>
          <w:tcPr>
            <w:tcW w:w="0" w:type="auto"/>
          </w:tcPr>
          <w:p w:rsidR="00D27843" w:rsidRPr="00D13F2D" w:rsidRDefault="00D27843" w:rsidP="00610C52">
            <w:pPr>
              <w:jc w:val="center"/>
              <w:rPr>
                <w:sz w:val="20"/>
                <w:szCs w:val="20"/>
              </w:rPr>
            </w:pPr>
          </w:p>
        </w:tc>
        <w:tc>
          <w:tcPr>
            <w:tcW w:w="0" w:type="auto"/>
          </w:tcPr>
          <w:p w:rsidR="00D27843" w:rsidRPr="00D13F2D" w:rsidRDefault="00D27843" w:rsidP="00610C52">
            <w:pPr>
              <w:jc w:val="center"/>
              <w:rPr>
                <w:sz w:val="20"/>
                <w:szCs w:val="20"/>
              </w:rPr>
            </w:pPr>
          </w:p>
        </w:tc>
        <w:tc>
          <w:tcPr>
            <w:tcW w:w="0" w:type="auto"/>
          </w:tcPr>
          <w:p w:rsidR="00D27843" w:rsidRPr="00D13F2D" w:rsidRDefault="00D27843" w:rsidP="00610C52">
            <w:pPr>
              <w:jc w:val="center"/>
              <w:rPr>
                <w:sz w:val="20"/>
                <w:szCs w:val="20"/>
              </w:rPr>
            </w:pPr>
          </w:p>
        </w:tc>
      </w:tr>
      <w:tr w:rsidR="00D13F2D" w:rsidRPr="00D13F2D" w:rsidTr="00610C52">
        <w:trPr>
          <w:trHeight w:val="282"/>
          <w:jc w:val="center"/>
        </w:trPr>
        <w:tc>
          <w:tcPr>
            <w:tcW w:w="0" w:type="auto"/>
            <w:vAlign w:val="center"/>
          </w:tcPr>
          <w:p w:rsidR="00D27843" w:rsidRPr="00D13F2D" w:rsidRDefault="00D27843" w:rsidP="00610C52">
            <w:pPr>
              <w:jc w:val="center"/>
              <w:rPr>
                <w:sz w:val="20"/>
                <w:szCs w:val="20"/>
              </w:rPr>
            </w:pPr>
          </w:p>
        </w:tc>
        <w:tc>
          <w:tcPr>
            <w:tcW w:w="0" w:type="auto"/>
            <w:vAlign w:val="center"/>
          </w:tcPr>
          <w:p w:rsidR="00D27843" w:rsidRPr="00D13F2D" w:rsidRDefault="00D27843" w:rsidP="00610C52">
            <w:pPr>
              <w:rPr>
                <w:sz w:val="20"/>
                <w:szCs w:val="20"/>
              </w:rPr>
            </w:pPr>
          </w:p>
        </w:tc>
        <w:tc>
          <w:tcPr>
            <w:tcW w:w="0" w:type="auto"/>
            <w:vAlign w:val="center"/>
          </w:tcPr>
          <w:p w:rsidR="00D27843" w:rsidRPr="00D13F2D" w:rsidRDefault="00D27843" w:rsidP="00610C52">
            <w:pPr>
              <w:jc w:val="center"/>
              <w:rPr>
                <w:sz w:val="20"/>
                <w:szCs w:val="20"/>
              </w:rPr>
            </w:pPr>
          </w:p>
        </w:tc>
        <w:tc>
          <w:tcPr>
            <w:tcW w:w="0" w:type="auto"/>
            <w:vAlign w:val="center"/>
          </w:tcPr>
          <w:p w:rsidR="00D27843" w:rsidRPr="00D13F2D" w:rsidRDefault="00D27843" w:rsidP="00610C52">
            <w:pPr>
              <w:jc w:val="center"/>
              <w:rPr>
                <w:sz w:val="20"/>
                <w:szCs w:val="20"/>
              </w:rPr>
            </w:pPr>
          </w:p>
        </w:tc>
        <w:tc>
          <w:tcPr>
            <w:tcW w:w="0" w:type="auto"/>
            <w:vAlign w:val="center"/>
          </w:tcPr>
          <w:p w:rsidR="00D27843" w:rsidRPr="00D13F2D" w:rsidRDefault="00D27843" w:rsidP="00610C52">
            <w:pPr>
              <w:jc w:val="center"/>
              <w:rPr>
                <w:sz w:val="20"/>
                <w:szCs w:val="20"/>
              </w:rPr>
            </w:pPr>
          </w:p>
        </w:tc>
        <w:tc>
          <w:tcPr>
            <w:tcW w:w="0" w:type="auto"/>
            <w:vAlign w:val="center"/>
          </w:tcPr>
          <w:p w:rsidR="00D27843" w:rsidRPr="00D13F2D" w:rsidRDefault="00D27843" w:rsidP="00610C52">
            <w:pPr>
              <w:jc w:val="center"/>
              <w:rPr>
                <w:sz w:val="20"/>
                <w:szCs w:val="20"/>
              </w:rPr>
            </w:pPr>
          </w:p>
        </w:tc>
        <w:tc>
          <w:tcPr>
            <w:tcW w:w="0" w:type="auto"/>
            <w:vAlign w:val="center"/>
          </w:tcPr>
          <w:p w:rsidR="00D27843" w:rsidRPr="00D13F2D" w:rsidRDefault="00D27843" w:rsidP="00610C52">
            <w:pPr>
              <w:jc w:val="center"/>
              <w:rPr>
                <w:sz w:val="20"/>
                <w:szCs w:val="20"/>
              </w:rPr>
            </w:pPr>
          </w:p>
        </w:tc>
        <w:tc>
          <w:tcPr>
            <w:tcW w:w="0" w:type="auto"/>
          </w:tcPr>
          <w:p w:rsidR="00D27843" w:rsidRPr="00D13F2D" w:rsidRDefault="00D27843" w:rsidP="00610C52">
            <w:pPr>
              <w:jc w:val="center"/>
              <w:rPr>
                <w:sz w:val="20"/>
                <w:szCs w:val="20"/>
              </w:rPr>
            </w:pPr>
          </w:p>
        </w:tc>
        <w:tc>
          <w:tcPr>
            <w:tcW w:w="0" w:type="auto"/>
          </w:tcPr>
          <w:p w:rsidR="00D27843" w:rsidRPr="00D13F2D" w:rsidRDefault="00D27843" w:rsidP="00610C52">
            <w:pPr>
              <w:jc w:val="center"/>
              <w:rPr>
                <w:sz w:val="20"/>
                <w:szCs w:val="20"/>
              </w:rPr>
            </w:pPr>
          </w:p>
        </w:tc>
        <w:tc>
          <w:tcPr>
            <w:tcW w:w="0" w:type="auto"/>
          </w:tcPr>
          <w:p w:rsidR="00D27843" w:rsidRPr="00D13F2D" w:rsidRDefault="00D27843" w:rsidP="00610C52">
            <w:pPr>
              <w:jc w:val="center"/>
              <w:rPr>
                <w:sz w:val="20"/>
                <w:szCs w:val="20"/>
              </w:rPr>
            </w:pPr>
          </w:p>
        </w:tc>
        <w:tc>
          <w:tcPr>
            <w:tcW w:w="0" w:type="auto"/>
          </w:tcPr>
          <w:p w:rsidR="00D27843" w:rsidRPr="00D13F2D" w:rsidRDefault="00D27843" w:rsidP="00610C52">
            <w:pPr>
              <w:jc w:val="center"/>
              <w:rPr>
                <w:sz w:val="20"/>
                <w:szCs w:val="20"/>
              </w:rPr>
            </w:pPr>
          </w:p>
        </w:tc>
        <w:tc>
          <w:tcPr>
            <w:tcW w:w="0" w:type="auto"/>
          </w:tcPr>
          <w:p w:rsidR="00D27843" w:rsidRPr="00D13F2D" w:rsidRDefault="00D27843" w:rsidP="00610C52">
            <w:pPr>
              <w:jc w:val="center"/>
              <w:rPr>
                <w:sz w:val="20"/>
                <w:szCs w:val="20"/>
              </w:rPr>
            </w:pPr>
          </w:p>
        </w:tc>
      </w:tr>
      <w:tr w:rsidR="00D13F2D" w:rsidRPr="00D13F2D" w:rsidTr="00610C52">
        <w:trPr>
          <w:trHeight w:val="299"/>
          <w:jc w:val="center"/>
        </w:trPr>
        <w:tc>
          <w:tcPr>
            <w:tcW w:w="0" w:type="auto"/>
            <w:tcBorders>
              <w:bottom w:val="single" w:sz="4" w:space="0" w:color="auto"/>
            </w:tcBorders>
            <w:vAlign w:val="center"/>
          </w:tcPr>
          <w:p w:rsidR="00D27843" w:rsidRPr="00D13F2D" w:rsidRDefault="00D27843" w:rsidP="00610C52">
            <w:pPr>
              <w:jc w:val="center"/>
              <w:rPr>
                <w:i/>
                <w:sz w:val="20"/>
                <w:szCs w:val="20"/>
              </w:rPr>
            </w:pPr>
          </w:p>
        </w:tc>
        <w:tc>
          <w:tcPr>
            <w:tcW w:w="0" w:type="auto"/>
            <w:tcBorders>
              <w:bottom w:val="single" w:sz="4" w:space="0" w:color="auto"/>
            </w:tcBorders>
            <w:vAlign w:val="center"/>
          </w:tcPr>
          <w:p w:rsidR="00D27843" w:rsidRPr="00D13F2D" w:rsidRDefault="00D27843" w:rsidP="00610C52">
            <w:pPr>
              <w:rPr>
                <w:sz w:val="20"/>
                <w:szCs w:val="20"/>
              </w:rPr>
            </w:pPr>
          </w:p>
        </w:tc>
        <w:tc>
          <w:tcPr>
            <w:tcW w:w="0" w:type="auto"/>
            <w:tcBorders>
              <w:bottom w:val="single" w:sz="4" w:space="0" w:color="auto"/>
            </w:tcBorders>
            <w:vAlign w:val="center"/>
          </w:tcPr>
          <w:p w:rsidR="00D27843" w:rsidRPr="00D13F2D" w:rsidRDefault="00D27843" w:rsidP="00610C52">
            <w:pPr>
              <w:jc w:val="center"/>
              <w:rPr>
                <w:sz w:val="20"/>
                <w:szCs w:val="20"/>
              </w:rPr>
            </w:pPr>
          </w:p>
        </w:tc>
        <w:tc>
          <w:tcPr>
            <w:tcW w:w="0" w:type="auto"/>
            <w:tcBorders>
              <w:bottom w:val="single" w:sz="4" w:space="0" w:color="auto"/>
            </w:tcBorders>
            <w:vAlign w:val="center"/>
          </w:tcPr>
          <w:p w:rsidR="00D27843" w:rsidRPr="00D13F2D" w:rsidRDefault="00D27843" w:rsidP="00610C52">
            <w:pPr>
              <w:jc w:val="center"/>
              <w:rPr>
                <w:sz w:val="20"/>
                <w:szCs w:val="20"/>
              </w:rPr>
            </w:pPr>
          </w:p>
        </w:tc>
        <w:tc>
          <w:tcPr>
            <w:tcW w:w="0" w:type="auto"/>
            <w:tcBorders>
              <w:bottom w:val="single" w:sz="4" w:space="0" w:color="auto"/>
            </w:tcBorders>
            <w:vAlign w:val="center"/>
          </w:tcPr>
          <w:p w:rsidR="00D27843" w:rsidRPr="00D13F2D" w:rsidRDefault="00D27843" w:rsidP="00610C52">
            <w:pPr>
              <w:jc w:val="center"/>
              <w:rPr>
                <w:sz w:val="20"/>
                <w:szCs w:val="20"/>
              </w:rPr>
            </w:pPr>
          </w:p>
        </w:tc>
        <w:tc>
          <w:tcPr>
            <w:tcW w:w="0" w:type="auto"/>
            <w:tcBorders>
              <w:bottom w:val="single" w:sz="4" w:space="0" w:color="auto"/>
            </w:tcBorders>
            <w:vAlign w:val="center"/>
          </w:tcPr>
          <w:p w:rsidR="00D27843" w:rsidRPr="00D13F2D" w:rsidRDefault="00D27843" w:rsidP="00610C52">
            <w:pPr>
              <w:jc w:val="center"/>
              <w:rPr>
                <w:sz w:val="20"/>
                <w:szCs w:val="20"/>
              </w:rPr>
            </w:pPr>
          </w:p>
        </w:tc>
        <w:tc>
          <w:tcPr>
            <w:tcW w:w="0" w:type="auto"/>
            <w:tcBorders>
              <w:bottom w:val="single" w:sz="4" w:space="0" w:color="auto"/>
            </w:tcBorders>
            <w:vAlign w:val="center"/>
          </w:tcPr>
          <w:p w:rsidR="00D27843" w:rsidRPr="00D13F2D" w:rsidRDefault="00D27843" w:rsidP="00610C52">
            <w:pPr>
              <w:jc w:val="center"/>
              <w:rPr>
                <w:sz w:val="20"/>
                <w:szCs w:val="20"/>
              </w:rPr>
            </w:pPr>
          </w:p>
        </w:tc>
        <w:tc>
          <w:tcPr>
            <w:tcW w:w="0" w:type="auto"/>
            <w:tcBorders>
              <w:bottom w:val="single" w:sz="4" w:space="0" w:color="auto"/>
            </w:tcBorders>
          </w:tcPr>
          <w:p w:rsidR="00D27843" w:rsidRPr="00D13F2D" w:rsidRDefault="00D27843" w:rsidP="00610C52">
            <w:pPr>
              <w:jc w:val="center"/>
              <w:rPr>
                <w:sz w:val="20"/>
                <w:szCs w:val="20"/>
              </w:rPr>
            </w:pPr>
          </w:p>
        </w:tc>
        <w:tc>
          <w:tcPr>
            <w:tcW w:w="0" w:type="auto"/>
            <w:tcBorders>
              <w:bottom w:val="single" w:sz="4" w:space="0" w:color="auto"/>
            </w:tcBorders>
          </w:tcPr>
          <w:p w:rsidR="00D27843" w:rsidRPr="00D13F2D" w:rsidRDefault="00D27843" w:rsidP="00610C52">
            <w:pPr>
              <w:jc w:val="center"/>
              <w:rPr>
                <w:sz w:val="20"/>
                <w:szCs w:val="20"/>
              </w:rPr>
            </w:pPr>
          </w:p>
        </w:tc>
        <w:tc>
          <w:tcPr>
            <w:tcW w:w="0" w:type="auto"/>
            <w:tcBorders>
              <w:bottom w:val="single" w:sz="4" w:space="0" w:color="auto"/>
            </w:tcBorders>
          </w:tcPr>
          <w:p w:rsidR="00D27843" w:rsidRPr="00D13F2D" w:rsidRDefault="00D27843" w:rsidP="00610C52">
            <w:pPr>
              <w:jc w:val="center"/>
              <w:rPr>
                <w:sz w:val="20"/>
                <w:szCs w:val="20"/>
              </w:rPr>
            </w:pPr>
          </w:p>
        </w:tc>
        <w:tc>
          <w:tcPr>
            <w:tcW w:w="0" w:type="auto"/>
            <w:tcBorders>
              <w:bottom w:val="single" w:sz="4" w:space="0" w:color="auto"/>
            </w:tcBorders>
          </w:tcPr>
          <w:p w:rsidR="00D27843" w:rsidRPr="00D13F2D" w:rsidRDefault="00D27843" w:rsidP="00610C52">
            <w:pPr>
              <w:jc w:val="center"/>
              <w:rPr>
                <w:sz w:val="20"/>
                <w:szCs w:val="20"/>
              </w:rPr>
            </w:pPr>
          </w:p>
        </w:tc>
        <w:tc>
          <w:tcPr>
            <w:tcW w:w="0" w:type="auto"/>
            <w:tcBorders>
              <w:bottom w:val="single" w:sz="4" w:space="0" w:color="auto"/>
            </w:tcBorders>
          </w:tcPr>
          <w:p w:rsidR="00D27843" w:rsidRPr="00D13F2D" w:rsidRDefault="00D27843" w:rsidP="00610C52">
            <w:pPr>
              <w:jc w:val="center"/>
              <w:rPr>
                <w:sz w:val="20"/>
                <w:szCs w:val="20"/>
              </w:rPr>
            </w:pPr>
          </w:p>
        </w:tc>
      </w:tr>
    </w:tbl>
    <w:p w:rsidR="00D27843" w:rsidRDefault="00BB395D" w:rsidP="00D27843">
      <w:pPr>
        <w:rPr>
          <w:sz w:val="22"/>
          <w:szCs w:val="22"/>
        </w:rPr>
      </w:pPr>
      <w:r>
        <w:rPr>
          <w:noProof/>
        </w:rPr>
        <w:drawing>
          <wp:anchor distT="0" distB="0" distL="114300" distR="114300" simplePos="0" relativeHeight="251658240" behindDoc="1" locked="0" layoutInCell="1" allowOverlap="1">
            <wp:simplePos x="0" y="0"/>
            <wp:positionH relativeFrom="column">
              <wp:posOffset>1524000</wp:posOffset>
            </wp:positionH>
            <wp:positionV relativeFrom="paragraph">
              <wp:posOffset>151130</wp:posOffset>
            </wp:positionV>
            <wp:extent cx="5143500" cy="3074670"/>
            <wp:effectExtent l="0" t="0" r="0" b="1143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rsidR="00BB395D" w:rsidRDefault="00BB395D" w:rsidP="00D27843">
      <w:pPr>
        <w:rPr>
          <w:sz w:val="22"/>
          <w:szCs w:val="22"/>
        </w:rPr>
      </w:pPr>
    </w:p>
    <w:p w:rsidR="00610C52" w:rsidRDefault="00610C52" w:rsidP="00D27843">
      <w:pPr>
        <w:rPr>
          <w:sz w:val="22"/>
          <w:szCs w:val="22"/>
        </w:rPr>
      </w:pPr>
      <w:bookmarkStart w:id="0" w:name="_GoBack"/>
      <w:bookmarkEnd w:id="0"/>
    </w:p>
    <w:p w:rsidR="00610C52" w:rsidRDefault="00610C52" w:rsidP="00D27843">
      <w:pPr>
        <w:rPr>
          <w:sz w:val="22"/>
          <w:szCs w:val="22"/>
        </w:rPr>
      </w:pPr>
    </w:p>
    <w:sectPr w:rsidR="00610C52" w:rsidSect="0007502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F82" w:rsidRDefault="00054F82" w:rsidP="00D27843">
      <w:r>
        <w:separator/>
      </w:r>
    </w:p>
  </w:endnote>
  <w:endnote w:type="continuationSeparator" w:id="0">
    <w:p w:rsidR="00054F82" w:rsidRDefault="00054F82" w:rsidP="00D27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F82" w:rsidRDefault="00054F82" w:rsidP="00D27843">
      <w:r>
        <w:separator/>
      </w:r>
    </w:p>
  </w:footnote>
  <w:footnote w:type="continuationSeparator" w:id="0">
    <w:p w:rsidR="00054F82" w:rsidRDefault="00054F82" w:rsidP="00D27843">
      <w:r>
        <w:continuationSeparator/>
      </w:r>
    </w:p>
  </w:footnote>
  <w:footnote w:id="1">
    <w:p w:rsidR="00610C52" w:rsidRDefault="00610C52">
      <w:pPr>
        <w:pStyle w:val="FootnoteText"/>
      </w:pPr>
      <w:r>
        <w:rPr>
          <w:rStyle w:val="FootnoteReference"/>
        </w:rPr>
        <w:footnoteRef/>
      </w:r>
      <w:r>
        <w:t xml:space="preserve"> </w:t>
      </w:r>
      <w:hyperlink r:id="rId1" w:history="1">
        <w:r w:rsidRPr="009E102E">
          <w:rPr>
            <w:rStyle w:val="Hyperlink"/>
          </w:rPr>
          <w:t>https://qracorp.com/atlantic-innovation-fund/</w:t>
        </w:r>
      </w:hyperlink>
      <w:r>
        <w:t xml:space="preserve"> </w:t>
      </w:r>
    </w:p>
  </w:footnote>
  <w:footnote w:id="2">
    <w:p w:rsidR="00610C52" w:rsidRDefault="00610C52" w:rsidP="00D27843">
      <w:pPr>
        <w:pStyle w:val="FootnoteText"/>
      </w:pPr>
      <w:r>
        <w:rPr>
          <w:rStyle w:val="FootnoteReference"/>
        </w:rPr>
        <w:footnoteRef/>
      </w:r>
      <w:r>
        <w:t xml:space="preserve"> </w:t>
      </w:r>
      <w:hyperlink r:id="rId2" w:history="1">
        <w:r w:rsidRPr="009E102E">
          <w:rPr>
            <w:rStyle w:val="Hyperlink"/>
          </w:rPr>
          <w:t>http://www.acoa-apeca.gc.ca/eng/publications/ParliamentaryReports/Documents/2015%20DPR%20-%20MAIN%20DOCUMENT_EN%20v234%20for%20web%20PDF.pdf</w:t>
        </w:r>
      </w:hyperlink>
      <w:r>
        <w:t xml:space="preserve"> </w:t>
      </w:r>
    </w:p>
  </w:footnote>
  <w:footnote w:id="3">
    <w:p w:rsidR="00610C52" w:rsidRDefault="00610C52" w:rsidP="00D27843">
      <w:pPr>
        <w:pStyle w:val="FootnoteText"/>
      </w:pPr>
      <w:r>
        <w:rPr>
          <w:rStyle w:val="FootnoteReference"/>
        </w:rPr>
        <w:footnoteRef/>
      </w:r>
      <w:r>
        <w:t xml:space="preserve"> </w:t>
      </w:r>
      <w:hyperlink r:id="rId3" w:history="1">
        <w:r w:rsidRPr="008B33FF">
          <w:rPr>
            <w:rStyle w:val="Hyperlink"/>
            <w:sz w:val="22"/>
            <w:szCs w:val="22"/>
          </w:rPr>
          <w:t>https://www.canada.ca/en/treasury-board-secretariat/services/departmental-performance-reports.html</w:t>
        </w:r>
      </w:hyperlink>
      <w:r>
        <w:rPr>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843"/>
    <w:rsid w:val="00054F82"/>
    <w:rsid w:val="00075021"/>
    <w:rsid w:val="000B424E"/>
    <w:rsid w:val="000E5FE4"/>
    <w:rsid w:val="0013635E"/>
    <w:rsid w:val="00203D3E"/>
    <w:rsid w:val="00610C52"/>
    <w:rsid w:val="006378BE"/>
    <w:rsid w:val="00665297"/>
    <w:rsid w:val="006B6728"/>
    <w:rsid w:val="00741F9A"/>
    <w:rsid w:val="007572E1"/>
    <w:rsid w:val="00766E9F"/>
    <w:rsid w:val="007E01A9"/>
    <w:rsid w:val="0080017D"/>
    <w:rsid w:val="00A54021"/>
    <w:rsid w:val="00BB395D"/>
    <w:rsid w:val="00C75D93"/>
    <w:rsid w:val="00D13F2D"/>
    <w:rsid w:val="00D27843"/>
    <w:rsid w:val="00DE502D"/>
    <w:rsid w:val="00F479DD"/>
    <w:rsid w:val="00FC1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6C86F-6390-475F-B63E-9827D338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2784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7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rsid w:val="00D27843"/>
    <w:pPr>
      <w:pBdr>
        <w:top w:val="nil"/>
        <w:left w:val="nil"/>
        <w:bottom w:val="nil"/>
        <w:right w:val="nil"/>
        <w:between w:val="nil"/>
        <w:bar w:val="nil"/>
      </w:pBdr>
      <w:spacing w:after="0" w:line="240" w:lineRule="auto"/>
    </w:pPr>
    <w:rPr>
      <w:rFonts w:ascii="Calibri" w:eastAsia="Calibri" w:hAnsi="Calibri" w:cs="Calibri"/>
      <w:color w:val="000000"/>
      <w:u w:color="000000"/>
      <w:bdr w:val="nil"/>
    </w:rPr>
  </w:style>
  <w:style w:type="paragraph" w:customStyle="1" w:styleId="Body">
    <w:name w:val="Body"/>
    <w:rsid w:val="00D27843"/>
    <w:pPr>
      <w:pBdr>
        <w:top w:val="nil"/>
        <w:left w:val="nil"/>
        <w:bottom w:val="nil"/>
        <w:right w:val="nil"/>
        <w:between w:val="nil"/>
        <w:bar w:val="nil"/>
      </w:pBdr>
    </w:pPr>
    <w:rPr>
      <w:rFonts w:ascii="Calibri" w:eastAsia="Calibri" w:hAnsi="Calibri" w:cs="Calibri"/>
      <w:color w:val="000000"/>
      <w:u w:color="000000"/>
      <w:bdr w:val="nil"/>
    </w:rPr>
  </w:style>
  <w:style w:type="paragraph" w:styleId="FootnoteText">
    <w:name w:val="footnote text"/>
    <w:basedOn w:val="Normal"/>
    <w:link w:val="FootnoteTextChar"/>
    <w:uiPriority w:val="99"/>
    <w:semiHidden/>
    <w:unhideWhenUsed/>
    <w:rsid w:val="00D27843"/>
    <w:rPr>
      <w:sz w:val="20"/>
      <w:szCs w:val="20"/>
    </w:rPr>
  </w:style>
  <w:style w:type="character" w:customStyle="1" w:styleId="FootnoteTextChar">
    <w:name w:val="Footnote Text Char"/>
    <w:basedOn w:val="DefaultParagraphFont"/>
    <w:link w:val="FootnoteText"/>
    <w:uiPriority w:val="99"/>
    <w:semiHidden/>
    <w:rsid w:val="00D27843"/>
    <w:rPr>
      <w:rFonts w:ascii="Times New Roman" w:eastAsia="Arial Unicode MS" w:hAnsi="Times New Roman" w:cs="Times New Roman"/>
      <w:sz w:val="20"/>
      <w:szCs w:val="20"/>
      <w:bdr w:val="nil"/>
    </w:rPr>
  </w:style>
  <w:style w:type="character" w:styleId="FootnoteReference">
    <w:name w:val="footnote reference"/>
    <w:basedOn w:val="DefaultParagraphFont"/>
    <w:uiPriority w:val="99"/>
    <w:semiHidden/>
    <w:unhideWhenUsed/>
    <w:rsid w:val="00D27843"/>
    <w:rPr>
      <w:vertAlign w:val="superscript"/>
    </w:rPr>
  </w:style>
  <w:style w:type="character" w:styleId="Hyperlink">
    <w:name w:val="Hyperlink"/>
    <w:basedOn w:val="DefaultParagraphFont"/>
    <w:uiPriority w:val="99"/>
    <w:unhideWhenUsed/>
    <w:rsid w:val="00D27843"/>
    <w:rPr>
      <w:color w:val="0563C1" w:themeColor="hyperlink"/>
      <w:u w:val="single"/>
    </w:rPr>
  </w:style>
  <w:style w:type="paragraph" w:styleId="BalloonText">
    <w:name w:val="Balloon Text"/>
    <w:basedOn w:val="Normal"/>
    <w:link w:val="BalloonTextChar"/>
    <w:uiPriority w:val="99"/>
    <w:semiHidden/>
    <w:unhideWhenUsed/>
    <w:rsid w:val="00610C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C52"/>
    <w:rPr>
      <w:rFonts w:ascii="Segoe UI" w:eastAsia="Arial Unicode MS" w:hAnsi="Segoe UI" w:cs="Segoe UI"/>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73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canada.ca/en/treasury-board-secretariat/services/departmental-performance-reports.html" TargetMode="External"/><Relationship Id="rId2" Type="http://schemas.openxmlformats.org/officeDocument/2006/relationships/hyperlink" Target="http://www.acoa-apeca.gc.ca/eng/publications/ParliamentaryReports/Documents/2015%20DPR%20-%20MAIN%20DOCUMENT_EN%20v234%20for%20web%20PDF.pdf" TargetMode="External"/><Relationship Id="rId1" Type="http://schemas.openxmlformats.org/officeDocument/2006/relationships/hyperlink" Target="https://qracorp.com/atlantic-innovation-fund/"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ven%20Yang\Desktop\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ACOA Enterpise</a:t>
            </a:r>
            <a:r>
              <a:rPr lang="en-US" baseline="0"/>
              <a:t> Development Planned vs. Actual Spending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Planned </c:v>
                </c:pt>
              </c:strCache>
            </c:strRef>
          </c:tx>
          <c:spPr>
            <a:ln w="28575" cap="rnd">
              <a:solidFill>
                <a:schemeClr val="accent1"/>
              </a:solidFill>
              <a:round/>
            </a:ln>
            <a:effectLst/>
          </c:spPr>
          <c:marker>
            <c:symbol val="none"/>
          </c:marker>
          <c:cat>
            <c:numRef>
              <c:f>Sheet1!$B$1:$L$1</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Sheet1!$B$2:$L$2</c:f>
              <c:numCache>
                <c:formatCode>General</c:formatCode>
                <c:ptCount val="11"/>
                <c:pt idx="0">
                  <c:v>279.60000000000002</c:v>
                </c:pt>
                <c:pt idx="1">
                  <c:v>208.6</c:v>
                </c:pt>
                <c:pt idx="2">
                  <c:v>214.2</c:v>
                </c:pt>
                <c:pt idx="3">
                  <c:v>200.7</c:v>
                </c:pt>
                <c:pt idx="4">
                  <c:v>174.3</c:v>
                </c:pt>
                <c:pt idx="5">
                  <c:v>170.2</c:v>
                </c:pt>
                <c:pt idx="6">
                  <c:v>175.6</c:v>
                </c:pt>
                <c:pt idx="7">
                  <c:v>170.2</c:v>
                </c:pt>
                <c:pt idx="8">
                  <c:v>164.6</c:v>
                </c:pt>
                <c:pt idx="9">
                  <c:v>171.2</c:v>
                </c:pt>
                <c:pt idx="10">
                  <c:v>172.9</c:v>
                </c:pt>
              </c:numCache>
            </c:numRef>
          </c:val>
          <c:smooth val="0"/>
        </c:ser>
        <c:ser>
          <c:idx val="1"/>
          <c:order val="1"/>
          <c:tx>
            <c:strRef>
              <c:f>Sheet1!$A$3</c:f>
              <c:strCache>
                <c:ptCount val="1"/>
                <c:pt idx="0">
                  <c:v>Actual</c:v>
                </c:pt>
              </c:strCache>
            </c:strRef>
          </c:tx>
          <c:spPr>
            <a:ln w="28575" cap="rnd">
              <a:solidFill>
                <a:schemeClr val="accent2"/>
              </a:solidFill>
              <a:round/>
            </a:ln>
            <a:effectLst/>
          </c:spPr>
          <c:marker>
            <c:symbol val="none"/>
          </c:marker>
          <c:cat>
            <c:numRef>
              <c:f>Sheet1!$B$1:$L$1</c:f>
              <c:numCache>
                <c:formatCode>General</c:formatCode>
                <c:ptCount val="11"/>
                <c:pt idx="0">
                  <c:v>2006</c:v>
                </c:pt>
                <c:pt idx="1">
                  <c:v>2007</c:v>
                </c:pt>
                <c:pt idx="2">
                  <c:v>2008</c:v>
                </c:pt>
                <c:pt idx="3">
                  <c:v>2009</c:v>
                </c:pt>
                <c:pt idx="4">
                  <c:v>2010</c:v>
                </c:pt>
                <c:pt idx="5">
                  <c:v>2011</c:v>
                </c:pt>
                <c:pt idx="6">
                  <c:v>2012</c:v>
                </c:pt>
                <c:pt idx="7">
                  <c:v>2013</c:v>
                </c:pt>
                <c:pt idx="8">
                  <c:v>2014</c:v>
                </c:pt>
                <c:pt idx="9">
                  <c:v>2015</c:v>
                </c:pt>
                <c:pt idx="10">
                  <c:v>2016</c:v>
                </c:pt>
              </c:numCache>
            </c:numRef>
          </c:cat>
          <c:val>
            <c:numRef>
              <c:f>Sheet1!$B$3:$L$3</c:f>
              <c:numCache>
                <c:formatCode>General</c:formatCode>
                <c:ptCount val="11"/>
                <c:pt idx="0">
                  <c:v>223.6</c:v>
                </c:pt>
                <c:pt idx="1">
                  <c:v>213.6</c:v>
                </c:pt>
                <c:pt idx="2">
                  <c:v>215</c:v>
                </c:pt>
                <c:pt idx="3">
                  <c:v>192.2</c:v>
                </c:pt>
                <c:pt idx="4">
                  <c:v>191</c:v>
                </c:pt>
                <c:pt idx="5">
                  <c:v>172.9</c:v>
                </c:pt>
                <c:pt idx="6">
                  <c:v>179.9</c:v>
                </c:pt>
                <c:pt idx="7">
                  <c:v>180.7</c:v>
                </c:pt>
                <c:pt idx="8">
                  <c:v>173.9</c:v>
                </c:pt>
                <c:pt idx="9">
                  <c:v>171.9</c:v>
                </c:pt>
                <c:pt idx="10">
                  <c:v>186.2</c:v>
                </c:pt>
              </c:numCache>
            </c:numRef>
          </c:val>
          <c:smooth val="0"/>
        </c:ser>
        <c:dLbls>
          <c:showLegendKey val="0"/>
          <c:showVal val="0"/>
          <c:showCatName val="0"/>
          <c:showSerName val="0"/>
          <c:showPercent val="0"/>
          <c:showBubbleSize val="0"/>
        </c:dLbls>
        <c:smooth val="0"/>
        <c:axId val="576720744"/>
        <c:axId val="576722312"/>
      </c:lineChart>
      <c:catAx>
        <c:axId val="576720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722312"/>
        <c:crosses val="autoZero"/>
        <c:auto val="1"/>
        <c:lblAlgn val="ctr"/>
        <c:lblOffset val="100"/>
        <c:noMultiLvlLbl val="0"/>
      </c:catAx>
      <c:valAx>
        <c:axId val="576722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Spending (millions CAD)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720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C3EEB-CA21-489C-B2C2-674738065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Yang</dc:creator>
  <cp:keywords/>
  <dc:description/>
  <cp:lastModifiedBy>Steven Yang</cp:lastModifiedBy>
  <cp:revision>18</cp:revision>
  <cp:lastPrinted>2018-08-08T18:34:00Z</cp:lastPrinted>
  <dcterms:created xsi:type="dcterms:W3CDTF">2018-08-03T18:03:00Z</dcterms:created>
  <dcterms:modified xsi:type="dcterms:W3CDTF">2018-08-08T18:50:00Z</dcterms:modified>
</cp:coreProperties>
</file>