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2A7" w:rsidRPr="00AA0633" w:rsidRDefault="006222A7" w:rsidP="006222A7">
      <w:pPr>
        <w:pStyle w:val="NoSpacing"/>
        <w:rPr>
          <w:rFonts w:ascii="Times New Roman" w:eastAsia="Times New Roman" w:hAnsi="Times New Roman" w:cs="Times New Roman"/>
          <w:color w:val="auto"/>
        </w:rPr>
      </w:pPr>
      <w:r w:rsidRPr="00AA0633">
        <w:rPr>
          <w:rFonts w:ascii="Times New Roman" w:hAnsi="Times New Roman"/>
          <w:b/>
          <w:bCs/>
          <w:color w:val="auto"/>
        </w:rPr>
        <w:t xml:space="preserve">Date: </w:t>
      </w:r>
      <w:r w:rsidRPr="00AA0633">
        <w:rPr>
          <w:rFonts w:ascii="Times New Roman" w:hAnsi="Times New Roman"/>
          <w:color w:val="auto"/>
        </w:rPr>
        <w:t>6</w:t>
      </w:r>
      <w:r w:rsidRPr="00AA0633">
        <w:rPr>
          <w:rFonts w:ascii="Times New Roman" w:hAnsi="Times New Roman"/>
          <w:color w:val="auto"/>
          <w:vertAlign w:val="superscript"/>
        </w:rPr>
        <w:t>th</w:t>
      </w:r>
      <w:r w:rsidR="002C6CC1" w:rsidRPr="00AA0633">
        <w:rPr>
          <w:rFonts w:ascii="Times New Roman" w:hAnsi="Times New Roman"/>
          <w:color w:val="auto"/>
        </w:rPr>
        <w:t xml:space="preserve"> </w:t>
      </w:r>
      <w:r w:rsidRPr="00AA0633">
        <w:rPr>
          <w:rFonts w:ascii="Times New Roman" w:hAnsi="Times New Roman"/>
          <w:color w:val="auto"/>
        </w:rPr>
        <w:t>August</w:t>
      </w:r>
      <w:r w:rsidRPr="00AA0633">
        <w:rPr>
          <w:rFonts w:ascii="Times New Roman" w:eastAsia="Times New Roman" w:hAnsi="Times New Roman" w:cs="Times New Roman"/>
          <w:color w:val="auto"/>
        </w:rPr>
        <w:t xml:space="preserve"> 2018</w:t>
      </w:r>
    </w:p>
    <w:p w:rsidR="006222A7" w:rsidRPr="00AA0633" w:rsidRDefault="006222A7" w:rsidP="006222A7">
      <w:pPr>
        <w:pStyle w:val="NoSpacing"/>
        <w:rPr>
          <w:rFonts w:ascii="Times New Roman" w:eastAsia="Times New Roman" w:hAnsi="Times New Roman" w:cs="Times New Roman"/>
          <w:color w:val="auto"/>
        </w:rPr>
      </w:pPr>
      <w:r w:rsidRPr="00AA0633">
        <w:rPr>
          <w:rFonts w:ascii="Times New Roman" w:hAnsi="Times New Roman"/>
          <w:b/>
          <w:bCs/>
          <w:color w:val="auto"/>
        </w:rPr>
        <w:t>To:</w:t>
      </w:r>
      <w:r w:rsidRPr="00AA0633">
        <w:rPr>
          <w:rFonts w:ascii="Times New Roman" w:hAnsi="Times New Roman"/>
          <w:color w:val="auto"/>
        </w:rPr>
        <w:t xml:space="preserve"> Jon Gruber, </w:t>
      </w:r>
      <w:r w:rsidRPr="00AA0633">
        <w:rPr>
          <w:rFonts w:ascii="Times New Roman" w:hAnsi="Times New Roman"/>
          <w:bCs/>
          <w:color w:val="auto"/>
        </w:rPr>
        <w:t xml:space="preserve">Ian </w:t>
      </w:r>
      <w:proofErr w:type="spellStart"/>
      <w:r w:rsidRPr="00AA0633">
        <w:rPr>
          <w:rFonts w:ascii="Times New Roman" w:hAnsi="Times New Roman"/>
          <w:bCs/>
          <w:color w:val="auto"/>
        </w:rPr>
        <w:t>Calaway</w:t>
      </w:r>
      <w:proofErr w:type="spellEnd"/>
      <w:r w:rsidRPr="00AA0633">
        <w:rPr>
          <w:rFonts w:ascii="Times New Roman" w:hAnsi="Times New Roman"/>
          <w:bCs/>
          <w:color w:val="auto"/>
        </w:rPr>
        <w:t xml:space="preserve">, </w:t>
      </w:r>
      <w:proofErr w:type="gramStart"/>
      <w:r w:rsidRPr="00AA0633">
        <w:rPr>
          <w:rFonts w:ascii="Times New Roman" w:hAnsi="Times New Roman"/>
          <w:bCs/>
          <w:color w:val="auto"/>
        </w:rPr>
        <w:t>Cora</w:t>
      </w:r>
      <w:proofErr w:type="gramEnd"/>
      <w:r w:rsidRPr="00AA0633">
        <w:rPr>
          <w:rFonts w:ascii="Times New Roman" w:hAnsi="Times New Roman"/>
          <w:bCs/>
          <w:color w:val="auto"/>
        </w:rPr>
        <w:t xml:space="preserve"> Touchstone </w:t>
      </w:r>
    </w:p>
    <w:p w:rsidR="006222A7" w:rsidRPr="00AA0633" w:rsidRDefault="006222A7" w:rsidP="006222A7">
      <w:pPr>
        <w:pStyle w:val="NoSpacing"/>
        <w:rPr>
          <w:rFonts w:ascii="Times New Roman" w:eastAsia="Times New Roman" w:hAnsi="Times New Roman" w:cs="Times New Roman"/>
          <w:color w:val="auto"/>
        </w:rPr>
      </w:pPr>
      <w:r w:rsidRPr="00AA0633">
        <w:rPr>
          <w:rFonts w:ascii="Times New Roman" w:hAnsi="Times New Roman"/>
          <w:b/>
          <w:bCs/>
          <w:color w:val="auto"/>
        </w:rPr>
        <w:t>From:</w:t>
      </w:r>
      <w:r w:rsidRPr="00AA0633">
        <w:rPr>
          <w:rFonts w:ascii="Times New Roman" w:hAnsi="Times New Roman"/>
          <w:color w:val="auto"/>
        </w:rPr>
        <w:t xml:space="preserve"> Steven Yang</w:t>
      </w:r>
    </w:p>
    <w:p w:rsidR="006222A7" w:rsidRPr="00AA0633" w:rsidRDefault="006222A7" w:rsidP="006222A7">
      <w:pPr>
        <w:pStyle w:val="NoSpacing"/>
        <w:pBdr>
          <w:bottom w:val="single" w:sz="12" w:space="0" w:color="000000"/>
        </w:pBdr>
        <w:rPr>
          <w:rFonts w:ascii="Times New Roman" w:eastAsia="Times New Roman" w:hAnsi="Times New Roman" w:cs="Times New Roman"/>
          <w:color w:val="auto"/>
        </w:rPr>
      </w:pPr>
      <w:r w:rsidRPr="00AA0633">
        <w:rPr>
          <w:rFonts w:ascii="Times New Roman" w:hAnsi="Times New Roman"/>
          <w:b/>
          <w:bCs/>
          <w:color w:val="auto"/>
        </w:rPr>
        <w:t xml:space="preserve">Re: </w:t>
      </w:r>
      <w:r w:rsidRPr="00AA0633">
        <w:rPr>
          <w:rFonts w:ascii="Times New Roman" w:hAnsi="Times New Roman"/>
          <w:color w:val="auto"/>
        </w:rPr>
        <w:t>Canadian Federal R&amp;D Funding Sources: Canada Economic Development for Quebec Regions</w:t>
      </w:r>
    </w:p>
    <w:p w:rsidR="006222A7" w:rsidRPr="00AA0633" w:rsidRDefault="006222A7" w:rsidP="006222A7">
      <w:pPr>
        <w:pStyle w:val="Body"/>
        <w:spacing w:line="240" w:lineRule="auto"/>
        <w:rPr>
          <w:rFonts w:ascii="Times New Roman" w:hAnsi="Times New Roman"/>
          <w:b/>
          <w:bCs/>
          <w:color w:val="auto"/>
        </w:rPr>
      </w:pPr>
    </w:p>
    <w:p w:rsidR="006222A7" w:rsidRPr="00AA0633" w:rsidRDefault="006222A7" w:rsidP="006222A7">
      <w:pPr>
        <w:pStyle w:val="Body"/>
        <w:spacing w:line="240" w:lineRule="auto"/>
        <w:rPr>
          <w:rFonts w:ascii="Times New Roman" w:hAnsi="Times New Roman"/>
          <w:b/>
          <w:bCs/>
          <w:color w:val="auto"/>
        </w:rPr>
      </w:pPr>
      <w:r w:rsidRPr="00AA0633">
        <w:rPr>
          <w:rFonts w:ascii="Times New Roman" w:hAnsi="Times New Roman"/>
          <w:b/>
          <w:bCs/>
          <w:color w:val="auto"/>
        </w:rPr>
        <w:t>1. Background</w:t>
      </w:r>
    </w:p>
    <w:p w:rsidR="006222A7" w:rsidRPr="00AA0633" w:rsidRDefault="00EB6340" w:rsidP="00EB6340">
      <w:pPr>
        <w:pStyle w:val="Body"/>
        <w:rPr>
          <w:rFonts w:ascii="Times New Roman" w:hAnsi="Times New Roman" w:cs="Times New Roman"/>
          <w:bCs/>
          <w:color w:val="auto"/>
        </w:rPr>
      </w:pPr>
      <w:r w:rsidRPr="00AA0633">
        <w:rPr>
          <w:rFonts w:ascii="Times New Roman" w:hAnsi="Times New Roman" w:cs="Times New Roman"/>
          <w:bCs/>
          <w:color w:val="auto"/>
        </w:rPr>
        <w:t>The Canada Economic Development for Quebec Regions (CED) is a Canadian Federal agency that has the responsibility of promoting economic expansion in Quebec by promoting small or medium-sized enterprises. Under its Act, which came into effect on October 5, 2005, the object of the Agency is to promote the long-term economic development of the regions of Quebec by giving special attention to those where slow economic growth is prevalent or opportunities for productive employment are inadequate.</w:t>
      </w:r>
    </w:p>
    <w:p w:rsidR="006222A7" w:rsidRPr="00AA0633" w:rsidRDefault="006222A7" w:rsidP="006222A7">
      <w:pPr>
        <w:pStyle w:val="Body"/>
        <w:rPr>
          <w:rFonts w:ascii="Times New Roman" w:hAnsi="Times New Roman"/>
          <w:b/>
          <w:bCs/>
          <w:color w:val="auto"/>
          <w:lang w:val="nl-NL"/>
        </w:rPr>
      </w:pPr>
      <w:r w:rsidRPr="00AA0633">
        <w:rPr>
          <w:rFonts w:ascii="Times New Roman" w:hAnsi="Times New Roman"/>
          <w:b/>
          <w:bCs/>
          <w:color w:val="auto"/>
          <w:lang w:val="nl-NL"/>
        </w:rPr>
        <w:t xml:space="preserve">2. </w:t>
      </w:r>
      <w:r w:rsidR="009B0C09" w:rsidRPr="00AA0633">
        <w:rPr>
          <w:rFonts w:ascii="Times New Roman" w:hAnsi="Times New Roman"/>
          <w:b/>
          <w:bCs/>
          <w:color w:val="auto"/>
          <w:lang w:val="nl-NL"/>
        </w:rPr>
        <w:t>Canada Economic Development for Quebec Regions</w:t>
      </w:r>
      <w:r w:rsidRPr="00AA0633">
        <w:rPr>
          <w:rFonts w:ascii="Times New Roman" w:hAnsi="Times New Roman"/>
          <w:b/>
          <w:bCs/>
          <w:color w:val="auto"/>
          <w:lang w:val="nl-NL"/>
        </w:rPr>
        <w:t xml:space="preserve"> R&amp;D Funding</w:t>
      </w:r>
    </w:p>
    <w:p w:rsidR="006222A7" w:rsidRPr="00AA0633" w:rsidRDefault="005E3D9D" w:rsidP="005E3D9D">
      <w:pPr>
        <w:pStyle w:val="Body"/>
        <w:rPr>
          <w:rFonts w:ascii="Times New Roman" w:hAnsi="Times New Roman"/>
          <w:bCs/>
          <w:color w:val="auto"/>
          <w:lang w:val="nl-NL"/>
        </w:rPr>
      </w:pPr>
      <w:r w:rsidRPr="00AA0633">
        <w:rPr>
          <w:rFonts w:ascii="Times New Roman" w:hAnsi="Times New Roman"/>
          <w:bCs/>
          <w:color w:val="auto"/>
          <w:lang w:val="nl-NL"/>
        </w:rPr>
        <w:t>CED’s key program in supporting innovation and the development of SME’s is its Enterpise Development Program</w:t>
      </w:r>
      <w:r w:rsidR="006222A7" w:rsidRPr="00AA0633">
        <w:rPr>
          <w:rFonts w:ascii="Times New Roman" w:hAnsi="Times New Roman"/>
          <w:bCs/>
          <w:color w:val="auto"/>
          <w:lang w:val="nl-NL"/>
        </w:rPr>
        <w:t>.</w:t>
      </w:r>
      <w:r w:rsidRPr="00AA0633">
        <w:rPr>
          <w:rFonts w:ascii="Times New Roman" w:hAnsi="Times New Roman"/>
          <w:bCs/>
          <w:color w:val="auto"/>
          <w:lang w:val="nl-NL"/>
        </w:rPr>
        <w:t xml:space="preserve"> This program is designed to support the development of Quebec businesses throughout their life cycle. Businesses—particularly SMEs—drive economic development and are known for generating significant economic activity and for creating jobs in communities. CED contributes to the renewal of the Quebec business pool by supporting business succession and the emergence of new businesses. It also helps to enhance the competitiveness of existing businesses and to support their sustainability by improving their performance through the development of their production, innovation, marketing and export capabilities. In this program, CED mainly targets businesses directly or through NPOs that support them. It promotes business development through its grants and contributions program: the Quebec Economic Development Program (QEDP).</w:t>
      </w:r>
    </w:p>
    <w:p w:rsidR="00D15B5B" w:rsidRPr="00AA0633" w:rsidRDefault="00D15B5B" w:rsidP="005E3D9D">
      <w:pPr>
        <w:pStyle w:val="Body"/>
        <w:rPr>
          <w:rFonts w:ascii="Times New Roman" w:hAnsi="Times New Roman"/>
          <w:bCs/>
          <w:color w:val="auto"/>
          <w:lang w:val="nl-NL"/>
        </w:rPr>
      </w:pPr>
      <w:r w:rsidRPr="00AA0633">
        <w:rPr>
          <w:rFonts w:ascii="Times New Roman" w:hAnsi="Times New Roman"/>
          <w:bCs/>
          <w:color w:val="auto"/>
          <w:lang w:val="nl-NL"/>
        </w:rPr>
        <w:t xml:space="preserve">An example of an enterpise the recieved assistance from CED is Neopharm Labs. </w:t>
      </w:r>
      <w:r w:rsidR="006172C3" w:rsidRPr="00AA0633">
        <w:rPr>
          <w:rFonts w:ascii="Times New Roman" w:hAnsi="Times New Roman"/>
          <w:bCs/>
          <w:color w:val="auto"/>
          <w:lang w:val="nl-NL"/>
        </w:rPr>
        <w:t xml:space="preserve">In 2017, </w:t>
      </w:r>
      <w:r w:rsidRPr="00AA0633">
        <w:rPr>
          <w:rFonts w:ascii="Times New Roman" w:hAnsi="Times New Roman"/>
          <w:bCs/>
          <w:color w:val="auto"/>
          <w:lang w:val="nl-NL"/>
        </w:rPr>
        <w:t>Neopharm Labs recieved 750,000 dollars from CED, which will go towards the acquisition of a laboratory information management system (LIMS) that will increase the number of analyses conducted by the business, while offering commercial clients the option to monitor the analyses remotely. Neopharm Labs is an analytical testing laboratory that specializes in the analysis of pharmaceuticals and nutraceuticals.</w:t>
      </w:r>
      <w:r w:rsidRPr="00AA0633">
        <w:rPr>
          <w:rStyle w:val="FootnoteReference"/>
          <w:rFonts w:ascii="Times New Roman" w:hAnsi="Times New Roman"/>
          <w:bCs/>
          <w:color w:val="auto"/>
          <w:lang w:val="nl-NL"/>
        </w:rPr>
        <w:footnoteReference w:id="1"/>
      </w:r>
    </w:p>
    <w:p w:rsidR="006222A7" w:rsidRPr="00AA0633" w:rsidRDefault="006222A7" w:rsidP="006222A7">
      <w:pPr>
        <w:pStyle w:val="Body"/>
        <w:rPr>
          <w:rFonts w:ascii="Times New Roman" w:hAnsi="Times New Roman"/>
          <w:b/>
          <w:bCs/>
          <w:color w:val="auto"/>
          <w:lang w:val="nl-NL"/>
        </w:rPr>
      </w:pPr>
      <w:r w:rsidRPr="00AA0633">
        <w:rPr>
          <w:rFonts w:ascii="Times New Roman" w:hAnsi="Times New Roman"/>
          <w:b/>
          <w:bCs/>
          <w:color w:val="auto"/>
          <w:lang w:val="nl-NL"/>
        </w:rPr>
        <w:t>3. Interesting Features and Potential Natural Experiments</w:t>
      </w:r>
    </w:p>
    <w:p w:rsidR="006222A7" w:rsidRPr="00AA0633" w:rsidRDefault="00334EC6" w:rsidP="006222A7">
      <w:pPr>
        <w:pStyle w:val="Body"/>
        <w:rPr>
          <w:rFonts w:ascii="Times New Roman" w:hAnsi="Times New Roman"/>
          <w:bCs/>
          <w:color w:val="auto"/>
          <w:lang w:val="nl-NL"/>
        </w:rPr>
      </w:pPr>
      <w:r w:rsidRPr="00AA0633">
        <w:rPr>
          <w:rFonts w:ascii="Times New Roman" w:hAnsi="Times New Roman"/>
          <w:bCs/>
          <w:color w:val="auto"/>
          <w:lang w:val="nl-NL"/>
        </w:rPr>
        <w:t>In 2008, CED decided to make the terms and conditions of its Community Diversification program more flexible late in FY 2008-2009 (e.g. changes in eligible levels of assistance, costs and promoters).This change helped broaden the targeted clientele and eligible activities and expenditures so as to cater more closely to enterprises’ and communities’ needs. In that way, CED could achieve its goal even during the economic crisis of 2008.</w:t>
      </w:r>
    </w:p>
    <w:p w:rsidR="006634B8" w:rsidRPr="00AA0633" w:rsidRDefault="005A5D68" w:rsidP="005A5D68">
      <w:pPr>
        <w:pStyle w:val="Body"/>
        <w:rPr>
          <w:rFonts w:ascii="Times New Roman" w:hAnsi="Times New Roman"/>
          <w:bCs/>
          <w:color w:val="auto"/>
          <w:lang w:val="nl-NL"/>
        </w:rPr>
        <w:sectPr w:rsidR="006634B8" w:rsidRPr="00AA0633" w:rsidSect="009225E4">
          <w:pgSz w:w="12240" w:h="15840" w:code="1"/>
          <w:pgMar w:top="1440" w:right="1440" w:bottom="1440" w:left="1440" w:header="720" w:footer="720" w:gutter="0"/>
          <w:cols w:space="720"/>
          <w:docGrid w:linePitch="360"/>
        </w:sectPr>
      </w:pPr>
      <w:r w:rsidRPr="00AA0633">
        <w:rPr>
          <w:rFonts w:ascii="Times New Roman" w:hAnsi="Times New Roman"/>
          <w:bCs/>
          <w:color w:val="auto"/>
          <w:lang w:val="nl-NL"/>
        </w:rPr>
        <w:t>In 2015, CED supported start-up projects, and considers that it contributes to the renewal of the pool of enterprises in Quebec in 2015–16</w:t>
      </w:r>
      <w:r w:rsidR="006634B8" w:rsidRPr="00AA0633">
        <w:rPr>
          <w:rFonts w:ascii="Times New Roman" w:hAnsi="Times New Roman"/>
          <w:bCs/>
          <w:color w:val="auto"/>
          <w:lang w:val="nl-NL"/>
        </w:rPr>
        <w:t>.</w:t>
      </w:r>
      <w:r w:rsidRPr="00AA0633">
        <w:rPr>
          <w:rFonts w:ascii="Times New Roman" w:hAnsi="Times New Roman"/>
          <w:bCs/>
          <w:color w:val="auto"/>
          <w:lang w:val="nl-NL"/>
        </w:rPr>
        <w:t xml:space="preserve"> The reason for this was the aging entrepeneur population in Quebec and the resulting declining entrepeneur numbers.</w:t>
      </w:r>
      <w:r w:rsidR="00D54D52" w:rsidRPr="00AA0633">
        <w:rPr>
          <w:rStyle w:val="FootnoteReference"/>
          <w:rFonts w:ascii="Times New Roman" w:hAnsi="Times New Roman"/>
          <w:bCs/>
          <w:color w:val="auto"/>
          <w:lang w:val="nl-NL"/>
        </w:rPr>
        <w:footnoteReference w:id="2"/>
      </w:r>
    </w:p>
    <w:p w:rsidR="006222A7" w:rsidRPr="00AA0633" w:rsidRDefault="006222A7" w:rsidP="006222A7"/>
    <w:p w:rsidR="006222A7" w:rsidRPr="00AA0633" w:rsidRDefault="006222A7" w:rsidP="006222A7"/>
    <w:p w:rsidR="006222A7" w:rsidRPr="00AA0633" w:rsidRDefault="006222A7" w:rsidP="006222A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2"/>
        <w:gridCol w:w="666"/>
        <w:gridCol w:w="666"/>
        <w:gridCol w:w="666"/>
        <w:gridCol w:w="666"/>
        <w:gridCol w:w="666"/>
        <w:gridCol w:w="666"/>
        <w:gridCol w:w="666"/>
        <w:gridCol w:w="666"/>
        <w:gridCol w:w="666"/>
        <w:gridCol w:w="666"/>
        <w:gridCol w:w="666"/>
      </w:tblGrid>
      <w:tr w:rsidR="00AA0633" w:rsidRPr="00AA0633" w:rsidTr="0084479B">
        <w:trPr>
          <w:trHeight w:val="582"/>
          <w:jc w:val="center"/>
        </w:trPr>
        <w:tc>
          <w:tcPr>
            <w:tcW w:w="0" w:type="auto"/>
            <w:gridSpan w:val="12"/>
            <w:tcBorders>
              <w:top w:val="single" w:sz="4" w:space="0" w:color="auto"/>
              <w:bottom w:val="single" w:sz="4" w:space="0" w:color="auto"/>
            </w:tcBorders>
            <w:vAlign w:val="center"/>
          </w:tcPr>
          <w:p w:rsidR="006222A7" w:rsidRPr="00AA0633" w:rsidRDefault="009A6B94" w:rsidP="0084479B">
            <w:pPr>
              <w:jc w:val="center"/>
              <w:rPr>
                <w:b/>
                <w:sz w:val="20"/>
                <w:szCs w:val="20"/>
              </w:rPr>
            </w:pPr>
            <w:r w:rsidRPr="00AA0633">
              <w:rPr>
                <w:b/>
                <w:sz w:val="20"/>
                <w:szCs w:val="20"/>
              </w:rPr>
              <w:t>CED</w:t>
            </w:r>
            <w:r w:rsidR="006222A7" w:rsidRPr="00AA0633">
              <w:rPr>
                <w:b/>
                <w:sz w:val="20"/>
                <w:szCs w:val="20"/>
              </w:rPr>
              <w:t xml:space="preserve"> Annual Expenditures Towards Enterprise Development (in millions CAD)</w:t>
            </w:r>
            <w:r w:rsidR="006222A7" w:rsidRPr="00AA0633">
              <w:rPr>
                <w:rStyle w:val="FootnoteReference"/>
                <w:b/>
                <w:sz w:val="20"/>
                <w:szCs w:val="20"/>
              </w:rPr>
              <w:footnoteReference w:id="3"/>
            </w:r>
          </w:p>
        </w:tc>
      </w:tr>
      <w:tr w:rsidR="00AA0633" w:rsidRPr="00AA0633" w:rsidTr="0084479B">
        <w:trPr>
          <w:trHeight w:val="582"/>
          <w:jc w:val="center"/>
        </w:trPr>
        <w:tc>
          <w:tcPr>
            <w:tcW w:w="0" w:type="auto"/>
            <w:tcBorders>
              <w:top w:val="single" w:sz="4" w:space="0" w:color="auto"/>
              <w:bottom w:val="single" w:sz="4" w:space="0" w:color="auto"/>
            </w:tcBorders>
            <w:vAlign w:val="center"/>
          </w:tcPr>
          <w:p w:rsidR="006222A7" w:rsidRPr="00AA0633" w:rsidRDefault="006222A7" w:rsidP="0084479B">
            <w:pPr>
              <w:jc w:val="center"/>
              <w:rPr>
                <w:sz w:val="20"/>
                <w:szCs w:val="20"/>
              </w:rPr>
            </w:pPr>
          </w:p>
        </w:tc>
        <w:tc>
          <w:tcPr>
            <w:tcW w:w="0" w:type="auto"/>
            <w:tcBorders>
              <w:top w:val="single" w:sz="4" w:space="0" w:color="auto"/>
              <w:bottom w:val="single" w:sz="4" w:space="0" w:color="auto"/>
            </w:tcBorders>
            <w:vAlign w:val="center"/>
          </w:tcPr>
          <w:p w:rsidR="006222A7" w:rsidRPr="00AA0633" w:rsidRDefault="006222A7" w:rsidP="0084479B">
            <w:pPr>
              <w:jc w:val="center"/>
              <w:rPr>
                <w:b/>
                <w:sz w:val="20"/>
                <w:szCs w:val="20"/>
              </w:rPr>
            </w:pPr>
            <w:r w:rsidRPr="00AA0633">
              <w:rPr>
                <w:b/>
                <w:sz w:val="20"/>
                <w:szCs w:val="20"/>
              </w:rPr>
              <w:t>2006</w:t>
            </w:r>
          </w:p>
        </w:tc>
        <w:tc>
          <w:tcPr>
            <w:tcW w:w="0" w:type="auto"/>
            <w:tcBorders>
              <w:top w:val="single" w:sz="4" w:space="0" w:color="auto"/>
              <w:bottom w:val="single" w:sz="4" w:space="0" w:color="auto"/>
            </w:tcBorders>
            <w:vAlign w:val="center"/>
          </w:tcPr>
          <w:p w:rsidR="006222A7" w:rsidRPr="00AA0633" w:rsidRDefault="006222A7" w:rsidP="0084479B">
            <w:pPr>
              <w:jc w:val="center"/>
              <w:rPr>
                <w:b/>
                <w:sz w:val="20"/>
                <w:szCs w:val="20"/>
              </w:rPr>
            </w:pPr>
            <w:r w:rsidRPr="00AA0633">
              <w:rPr>
                <w:b/>
                <w:sz w:val="20"/>
                <w:szCs w:val="20"/>
              </w:rPr>
              <w:t>2007</w:t>
            </w:r>
          </w:p>
        </w:tc>
        <w:tc>
          <w:tcPr>
            <w:tcW w:w="0" w:type="auto"/>
            <w:tcBorders>
              <w:top w:val="single" w:sz="4" w:space="0" w:color="auto"/>
              <w:bottom w:val="single" w:sz="4" w:space="0" w:color="auto"/>
            </w:tcBorders>
            <w:vAlign w:val="center"/>
          </w:tcPr>
          <w:p w:rsidR="006222A7" w:rsidRPr="00AA0633" w:rsidRDefault="006222A7" w:rsidP="0084479B">
            <w:pPr>
              <w:jc w:val="center"/>
              <w:rPr>
                <w:b/>
                <w:sz w:val="20"/>
                <w:szCs w:val="20"/>
              </w:rPr>
            </w:pPr>
            <w:r w:rsidRPr="00AA0633">
              <w:rPr>
                <w:b/>
                <w:sz w:val="20"/>
                <w:szCs w:val="20"/>
              </w:rPr>
              <w:t>2008</w:t>
            </w:r>
          </w:p>
        </w:tc>
        <w:tc>
          <w:tcPr>
            <w:tcW w:w="0" w:type="auto"/>
            <w:tcBorders>
              <w:top w:val="single" w:sz="4" w:space="0" w:color="auto"/>
              <w:bottom w:val="single" w:sz="4" w:space="0" w:color="auto"/>
            </w:tcBorders>
            <w:vAlign w:val="center"/>
          </w:tcPr>
          <w:p w:rsidR="006222A7" w:rsidRPr="00AA0633" w:rsidRDefault="006222A7" w:rsidP="0084479B">
            <w:pPr>
              <w:jc w:val="center"/>
              <w:rPr>
                <w:b/>
                <w:sz w:val="20"/>
                <w:szCs w:val="20"/>
              </w:rPr>
            </w:pPr>
            <w:r w:rsidRPr="00AA0633">
              <w:rPr>
                <w:b/>
                <w:sz w:val="20"/>
                <w:szCs w:val="20"/>
              </w:rPr>
              <w:t>2009</w:t>
            </w:r>
          </w:p>
        </w:tc>
        <w:tc>
          <w:tcPr>
            <w:tcW w:w="0" w:type="auto"/>
            <w:tcBorders>
              <w:top w:val="single" w:sz="4" w:space="0" w:color="auto"/>
              <w:bottom w:val="single" w:sz="4" w:space="0" w:color="auto"/>
            </w:tcBorders>
            <w:vAlign w:val="center"/>
          </w:tcPr>
          <w:p w:rsidR="006222A7" w:rsidRPr="00AA0633" w:rsidRDefault="006222A7" w:rsidP="0084479B">
            <w:pPr>
              <w:jc w:val="center"/>
              <w:rPr>
                <w:b/>
                <w:sz w:val="20"/>
                <w:szCs w:val="20"/>
              </w:rPr>
            </w:pPr>
            <w:r w:rsidRPr="00AA0633">
              <w:rPr>
                <w:b/>
                <w:sz w:val="20"/>
                <w:szCs w:val="20"/>
              </w:rPr>
              <w:t>2010</w:t>
            </w:r>
          </w:p>
        </w:tc>
        <w:tc>
          <w:tcPr>
            <w:tcW w:w="0" w:type="auto"/>
            <w:tcBorders>
              <w:top w:val="single" w:sz="4" w:space="0" w:color="auto"/>
              <w:bottom w:val="single" w:sz="4" w:space="0" w:color="auto"/>
            </w:tcBorders>
            <w:vAlign w:val="center"/>
          </w:tcPr>
          <w:p w:rsidR="006222A7" w:rsidRPr="00AA0633" w:rsidRDefault="006222A7" w:rsidP="0084479B">
            <w:pPr>
              <w:jc w:val="center"/>
              <w:rPr>
                <w:b/>
                <w:sz w:val="20"/>
                <w:szCs w:val="20"/>
              </w:rPr>
            </w:pPr>
            <w:r w:rsidRPr="00AA0633">
              <w:rPr>
                <w:b/>
                <w:sz w:val="20"/>
                <w:szCs w:val="20"/>
              </w:rPr>
              <w:t>2011</w:t>
            </w:r>
          </w:p>
        </w:tc>
        <w:tc>
          <w:tcPr>
            <w:tcW w:w="0" w:type="auto"/>
            <w:tcBorders>
              <w:top w:val="single" w:sz="4" w:space="0" w:color="auto"/>
              <w:bottom w:val="single" w:sz="4" w:space="0" w:color="auto"/>
            </w:tcBorders>
            <w:vAlign w:val="center"/>
          </w:tcPr>
          <w:p w:rsidR="006222A7" w:rsidRPr="00AA0633" w:rsidRDefault="006222A7" w:rsidP="0084479B">
            <w:pPr>
              <w:jc w:val="center"/>
              <w:rPr>
                <w:b/>
                <w:sz w:val="20"/>
                <w:szCs w:val="20"/>
              </w:rPr>
            </w:pPr>
            <w:r w:rsidRPr="00AA0633">
              <w:rPr>
                <w:b/>
                <w:sz w:val="20"/>
                <w:szCs w:val="20"/>
              </w:rPr>
              <w:t>2012</w:t>
            </w:r>
          </w:p>
        </w:tc>
        <w:tc>
          <w:tcPr>
            <w:tcW w:w="0" w:type="auto"/>
            <w:tcBorders>
              <w:top w:val="single" w:sz="4" w:space="0" w:color="auto"/>
              <w:bottom w:val="single" w:sz="4" w:space="0" w:color="auto"/>
            </w:tcBorders>
            <w:vAlign w:val="center"/>
          </w:tcPr>
          <w:p w:rsidR="006222A7" w:rsidRPr="00AA0633" w:rsidRDefault="006222A7" w:rsidP="0084479B">
            <w:pPr>
              <w:jc w:val="center"/>
              <w:rPr>
                <w:b/>
                <w:sz w:val="20"/>
                <w:szCs w:val="20"/>
              </w:rPr>
            </w:pPr>
            <w:r w:rsidRPr="00AA0633">
              <w:rPr>
                <w:b/>
                <w:sz w:val="20"/>
                <w:szCs w:val="20"/>
              </w:rPr>
              <w:t>2013</w:t>
            </w:r>
          </w:p>
        </w:tc>
        <w:tc>
          <w:tcPr>
            <w:tcW w:w="0" w:type="auto"/>
            <w:tcBorders>
              <w:top w:val="single" w:sz="4" w:space="0" w:color="auto"/>
              <w:bottom w:val="single" w:sz="4" w:space="0" w:color="auto"/>
            </w:tcBorders>
            <w:vAlign w:val="center"/>
          </w:tcPr>
          <w:p w:rsidR="006222A7" w:rsidRPr="00AA0633" w:rsidRDefault="006222A7" w:rsidP="0084479B">
            <w:pPr>
              <w:jc w:val="center"/>
              <w:rPr>
                <w:b/>
                <w:sz w:val="20"/>
                <w:szCs w:val="20"/>
              </w:rPr>
            </w:pPr>
            <w:r w:rsidRPr="00AA0633">
              <w:rPr>
                <w:b/>
                <w:sz w:val="20"/>
                <w:szCs w:val="20"/>
              </w:rPr>
              <w:t>2014</w:t>
            </w:r>
          </w:p>
        </w:tc>
        <w:tc>
          <w:tcPr>
            <w:tcW w:w="0" w:type="auto"/>
            <w:tcBorders>
              <w:top w:val="single" w:sz="4" w:space="0" w:color="auto"/>
              <w:bottom w:val="single" w:sz="4" w:space="0" w:color="auto"/>
            </w:tcBorders>
            <w:vAlign w:val="center"/>
          </w:tcPr>
          <w:p w:rsidR="006222A7" w:rsidRPr="00AA0633" w:rsidRDefault="006222A7" w:rsidP="0084479B">
            <w:pPr>
              <w:jc w:val="center"/>
              <w:rPr>
                <w:b/>
                <w:sz w:val="20"/>
                <w:szCs w:val="20"/>
              </w:rPr>
            </w:pPr>
            <w:r w:rsidRPr="00AA0633">
              <w:rPr>
                <w:b/>
                <w:sz w:val="20"/>
                <w:szCs w:val="20"/>
              </w:rPr>
              <w:t>2015</w:t>
            </w:r>
          </w:p>
        </w:tc>
        <w:tc>
          <w:tcPr>
            <w:tcW w:w="0" w:type="auto"/>
            <w:tcBorders>
              <w:top w:val="single" w:sz="4" w:space="0" w:color="auto"/>
              <w:bottom w:val="single" w:sz="4" w:space="0" w:color="auto"/>
            </w:tcBorders>
            <w:vAlign w:val="center"/>
          </w:tcPr>
          <w:p w:rsidR="006222A7" w:rsidRPr="00AA0633" w:rsidRDefault="006222A7" w:rsidP="0084479B">
            <w:pPr>
              <w:jc w:val="center"/>
              <w:rPr>
                <w:b/>
                <w:sz w:val="20"/>
                <w:szCs w:val="20"/>
              </w:rPr>
            </w:pPr>
            <w:r w:rsidRPr="00AA0633">
              <w:rPr>
                <w:b/>
                <w:sz w:val="20"/>
                <w:szCs w:val="20"/>
              </w:rPr>
              <w:t>2016</w:t>
            </w:r>
          </w:p>
        </w:tc>
      </w:tr>
      <w:tr w:rsidR="00AA0633" w:rsidRPr="00AA0633" w:rsidTr="0084479B">
        <w:trPr>
          <w:trHeight w:val="299"/>
          <w:jc w:val="center"/>
        </w:trPr>
        <w:tc>
          <w:tcPr>
            <w:tcW w:w="0" w:type="auto"/>
            <w:tcBorders>
              <w:top w:val="single" w:sz="4" w:space="0" w:color="auto"/>
            </w:tcBorders>
            <w:vAlign w:val="center"/>
          </w:tcPr>
          <w:p w:rsidR="006222A7" w:rsidRPr="00AA0633" w:rsidRDefault="006222A7" w:rsidP="0084479B">
            <w:pPr>
              <w:rPr>
                <w:b/>
                <w:sz w:val="18"/>
                <w:szCs w:val="18"/>
              </w:rPr>
            </w:pPr>
            <w:r w:rsidRPr="00AA0633">
              <w:rPr>
                <w:b/>
                <w:sz w:val="18"/>
                <w:szCs w:val="18"/>
              </w:rPr>
              <w:t>Planned Spending</w:t>
            </w:r>
          </w:p>
        </w:tc>
        <w:tc>
          <w:tcPr>
            <w:tcW w:w="0" w:type="auto"/>
            <w:tcBorders>
              <w:top w:val="single" w:sz="4" w:space="0" w:color="auto"/>
            </w:tcBorders>
            <w:vAlign w:val="center"/>
          </w:tcPr>
          <w:p w:rsidR="006222A7" w:rsidRPr="00AA0633" w:rsidRDefault="009A6B94" w:rsidP="0084479B">
            <w:pPr>
              <w:rPr>
                <w:sz w:val="20"/>
                <w:szCs w:val="20"/>
              </w:rPr>
            </w:pPr>
            <w:r w:rsidRPr="00AA0633">
              <w:rPr>
                <w:sz w:val="20"/>
                <w:szCs w:val="20"/>
              </w:rPr>
              <w:t>117.8</w:t>
            </w:r>
          </w:p>
        </w:tc>
        <w:tc>
          <w:tcPr>
            <w:tcW w:w="0" w:type="auto"/>
            <w:tcBorders>
              <w:top w:val="single" w:sz="4" w:space="0" w:color="auto"/>
            </w:tcBorders>
            <w:vAlign w:val="center"/>
          </w:tcPr>
          <w:p w:rsidR="006222A7" w:rsidRPr="00AA0633" w:rsidRDefault="009A6B94" w:rsidP="0084479B">
            <w:pPr>
              <w:jc w:val="center"/>
              <w:rPr>
                <w:sz w:val="20"/>
                <w:szCs w:val="20"/>
              </w:rPr>
            </w:pPr>
            <w:r w:rsidRPr="00AA0633">
              <w:rPr>
                <w:sz w:val="20"/>
                <w:szCs w:val="20"/>
              </w:rPr>
              <w:t>119.1</w:t>
            </w:r>
          </w:p>
        </w:tc>
        <w:tc>
          <w:tcPr>
            <w:tcW w:w="0" w:type="auto"/>
            <w:tcBorders>
              <w:top w:val="single" w:sz="4" w:space="0" w:color="auto"/>
            </w:tcBorders>
            <w:vAlign w:val="center"/>
          </w:tcPr>
          <w:p w:rsidR="006222A7" w:rsidRPr="00AA0633" w:rsidRDefault="009A6B94" w:rsidP="0084479B">
            <w:pPr>
              <w:jc w:val="center"/>
              <w:rPr>
                <w:sz w:val="20"/>
                <w:szCs w:val="20"/>
              </w:rPr>
            </w:pPr>
            <w:r w:rsidRPr="00AA0633">
              <w:rPr>
                <w:sz w:val="20"/>
                <w:szCs w:val="20"/>
              </w:rPr>
              <w:t>126.8</w:t>
            </w:r>
          </w:p>
        </w:tc>
        <w:tc>
          <w:tcPr>
            <w:tcW w:w="0" w:type="auto"/>
            <w:tcBorders>
              <w:top w:val="single" w:sz="4" w:space="0" w:color="auto"/>
            </w:tcBorders>
            <w:vAlign w:val="center"/>
          </w:tcPr>
          <w:p w:rsidR="006222A7" w:rsidRPr="00AA0633" w:rsidRDefault="009A6B94" w:rsidP="0084479B">
            <w:pPr>
              <w:jc w:val="center"/>
              <w:rPr>
                <w:sz w:val="20"/>
                <w:szCs w:val="20"/>
              </w:rPr>
            </w:pPr>
            <w:r w:rsidRPr="00AA0633">
              <w:rPr>
                <w:sz w:val="20"/>
                <w:szCs w:val="20"/>
              </w:rPr>
              <w:t>94.8</w:t>
            </w:r>
          </w:p>
        </w:tc>
        <w:tc>
          <w:tcPr>
            <w:tcW w:w="0" w:type="auto"/>
            <w:tcBorders>
              <w:top w:val="single" w:sz="4" w:space="0" w:color="auto"/>
            </w:tcBorders>
            <w:vAlign w:val="center"/>
          </w:tcPr>
          <w:p w:rsidR="006222A7" w:rsidRPr="00AA0633" w:rsidRDefault="009A6B94" w:rsidP="0084479B">
            <w:pPr>
              <w:jc w:val="center"/>
              <w:rPr>
                <w:sz w:val="20"/>
                <w:szCs w:val="20"/>
              </w:rPr>
            </w:pPr>
            <w:r w:rsidRPr="00AA0633">
              <w:rPr>
                <w:sz w:val="20"/>
                <w:szCs w:val="20"/>
              </w:rPr>
              <w:t>107.3</w:t>
            </w:r>
          </w:p>
        </w:tc>
        <w:tc>
          <w:tcPr>
            <w:tcW w:w="0" w:type="auto"/>
            <w:tcBorders>
              <w:top w:val="single" w:sz="4" w:space="0" w:color="auto"/>
            </w:tcBorders>
          </w:tcPr>
          <w:p w:rsidR="006222A7" w:rsidRPr="00AA0633" w:rsidRDefault="009A6B94" w:rsidP="0084479B">
            <w:pPr>
              <w:jc w:val="center"/>
              <w:rPr>
                <w:sz w:val="20"/>
                <w:szCs w:val="20"/>
              </w:rPr>
            </w:pPr>
            <w:r w:rsidRPr="00AA0633">
              <w:rPr>
                <w:sz w:val="20"/>
                <w:szCs w:val="20"/>
              </w:rPr>
              <w:t>116.4</w:t>
            </w:r>
          </w:p>
        </w:tc>
        <w:tc>
          <w:tcPr>
            <w:tcW w:w="0" w:type="auto"/>
            <w:tcBorders>
              <w:top w:val="single" w:sz="4" w:space="0" w:color="auto"/>
            </w:tcBorders>
          </w:tcPr>
          <w:p w:rsidR="006222A7" w:rsidRPr="00AA0633" w:rsidRDefault="009A6B94" w:rsidP="0084479B">
            <w:pPr>
              <w:jc w:val="center"/>
              <w:rPr>
                <w:sz w:val="20"/>
                <w:szCs w:val="20"/>
              </w:rPr>
            </w:pPr>
            <w:r w:rsidRPr="00AA0633">
              <w:rPr>
                <w:sz w:val="20"/>
                <w:szCs w:val="20"/>
              </w:rPr>
              <w:t>147.7</w:t>
            </w:r>
          </w:p>
        </w:tc>
        <w:tc>
          <w:tcPr>
            <w:tcW w:w="0" w:type="auto"/>
            <w:tcBorders>
              <w:top w:val="single" w:sz="4" w:space="0" w:color="auto"/>
            </w:tcBorders>
          </w:tcPr>
          <w:p w:rsidR="006222A7" w:rsidRPr="00AA0633" w:rsidRDefault="009A6B94" w:rsidP="0084479B">
            <w:pPr>
              <w:jc w:val="center"/>
              <w:rPr>
                <w:sz w:val="20"/>
                <w:szCs w:val="20"/>
              </w:rPr>
            </w:pPr>
            <w:r w:rsidRPr="00AA0633">
              <w:rPr>
                <w:sz w:val="20"/>
                <w:szCs w:val="20"/>
              </w:rPr>
              <w:t>152.5</w:t>
            </w:r>
          </w:p>
        </w:tc>
        <w:tc>
          <w:tcPr>
            <w:tcW w:w="0" w:type="auto"/>
            <w:tcBorders>
              <w:top w:val="single" w:sz="4" w:space="0" w:color="auto"/>
            </w:tcBorders>
          </w:tcPr>
          <w:p w:rsidR="006222A7" w:rsidRPr="00AA0633" w:rsidRDefault="009A6B94" w:rsidP="0084479B">
            <w:pPr>
              <w:jc w:val="center"/>
              <w:rPr>
                <w:sz w:val="20"/>
                <w:szCs w:val="20"/>
              </w:rPr>
            </w:pPr>
            <w:r w:rsidRPr="00AA0633">
              <w:rPr>
                <w:sz w:val="20"/>
                <w:szCs w:val="20"/>
              </w:rPr>
              <w:t>146.6</w:t>
            </w:r>
          </w:p>
        </w:tc>
        <w:tc>
          <w:tcPr>
            <w:tcW w:w="0" w:type="auto"/>
            <w:tcBorders>
              <w:top w:val="single" w:sz="4" w:space="0" w:color="auto"/>
            </w:tcBorders>
          </w:tcPr>
          <w:p w:rsidR="006222A7" w:rsidRPr="00AA0633" w:rsidRDefault="009A6B94" w:rsidP="0084479B">
            <w:pPr>
              <w:jc w:val="center"/>
              <w:rPr>
                <w:sz w:val="20"/>
                <w:szCs w:val="20"/>
              </w:rPr>
            </w:pPr>
            <w:r w:rsidRPr="00AA0633">
              <w:rPr>
                <w:sz w:val="20"/>
                <w:szCs w:val="20"/>
              </w:rPr>
              <w:t>151.1</w:t>
            </w:r>
          </w:p>
        </w:tc>
        <w:tc>
          <w:tcPr>
            <w:tcW w:w="0" w:type="auto"/>
            <w:tcBorders>
              <w:top w:val="single" w:sz="4" w:space="0" w:color="auto"/>
            </w:tcBorders>
          </w:tcPr>
          <w:p w:rsidR="006222A7" w:rsidRPr="00AA0633" w:rsidRDefault="009A6B94" w:rsidP="0084479B">
            <w:pPr>
              <w:jc w:val="center"/>
              <w:rPr>
                <w:sz w:val="20"/>
                <w:szCs w:val="20"/>
              </w:rPr>
            </w:pPr>
            <w:r w:rsidRPr="00AA0633">
              <w:rPr>
                <w:sz w:val="20"/>
                <w:szCs w:val="20"/>
              </w:rPr>
              <w:t>158.8</w:t>
            </w:r>
          </w:p>
        </w:tc>
      </w:tr>
      <w:tr w:rsidR="00AA0633" w:rsidRPr="00AA0633" w:rsidTr="0084479B">
        <w:trPr>
          <w:trHeight w:val="282"/>
          <w:jc w:val="center"/>
        </w:trPr>
        <w:tc>
          <w:tcPr>
            <w:tcW w:w="0" w:type="auto"/>
            <w:vAlign w:val="center"/>
          </w:tcPr>
          <w:p w:rsidR="006222A7" w:rsidRPr="00AA0633" w:rsidRDefault="006222A7" w:rsidP="0084479B">
            <w:pPr>
              <w:jc w:val="center"/>
              <w:rPr>
                <w:b/>
                <w:sz w:val="18"/>
                <w:szCs w:val="18"/>
              </w:rPr>
            </w:pPr>
            <w:r w:rsidRPr="00AA0633">
              <w:rPr>
                <w:b/>
                <w:sz w:val="18"/>
                <w:szCs w:val="18"/>
              </w:rPr>
              <w:t>Actual Spending</w:t>
            </w:r>
          </w:p>
        </w:tc>
        <w:tc>
          <w:tcPr>
            <w:tcW w:w="0" w:type="auto"/>
            <w:vAlign w:val="center"/>
          </w:tcPr>
          <w:p w:rsidR="006222A7" w:rsidRPr="00AA0633" w:rsidRDefault="009A6B94" w:rsidP="0084479B">
            <w:pPr>
              <w:rPr>
                <w:sz w:val="20"/>
                <w:szCs w:val="20"/>
              </w:rPr>
            </w:pPr>
            <w:r w:rsidRPr="00AA0633">
              <w:rPr>
                <w:sz w:val="20"/>
                <w:szCs w:val="20"/>
              </w:rPr>
              <w:t>107.3</w:t>
            </w:r>
          </w:p>
        </w:tc>
        <w:tc>
          <w:tcPr>
            <w:tcW w:w="0" w:type="auto"/>
            <w:vAlign w:val="center"/>
          </w:tcPr>
          <w:p w:rsidR="006222A7" w:rsidRPr="00AA0633" w:rsidRDefault="009A6B94" w:rsidP="0084479B">
            <w:pPr>
              <w:jc w:val="center"/>
              <w:rPr>
                <w:sz w:val="20"/>
                <w:szCs w:val="20"/>
              </w:rPr>
            </w:pPr>
            <w:r w:rsidRPr="00AA0633">
              <w:rPr>
                <w:sz w:val="20"/>
                <w:szCs w:val="20"/>
              </w:rPr>
              <w:t>114.5</w:t>
            </w:r>
          </w:p>
        </w:tc>
        <w:tc>
          <w:tcPr>
            <w:tcW w:w="0" w:type="auto"/>
            <w:vAlign w:val="center"/>
          </w:tcPr>
          <w:p w:rsidR="006222A7" w:rsidRPr="00AA0633" w:rsidRDefault="009A6B94" w:rsidP="0084479B">
            <w:pPr>
              <w:jc w:val="center"/>
              <w:rPr>
                <w:sz w:val="20"/>
                <w:szCs w:val="20"/>
              </w:rPr>
            </w:pPr>
            <w:r w:rsidRPr="00AA0633">
              <w:rPr>
                <w:sz w:val="20"/>
                <w:szCs w:val="20"/>
              </w:rPr>
              <w:t>93.5</w:t>
            </w:r>
          </w:p>
        </w:tc>
        <w:tc>
          <w:tcPr>
            <w:tcW w:w="0" w:type="auto"/>
            <w:vAlign w:val="center"/>
          </w:tcPr>
          <w:p w:rsidR="006222A7" w:rsidRPr="00AA0633" w:rsidRDefault="009A6B94" w:rsidP="0084479B">
            <w:pPr>
              <w:jc w:val="center"/>
              <w:rPr>
                <w:sz w:val="20"/>
                <w:szCs w:val="20"/>
              </w:rPr>
            </w:pPr>
            <w:r w:rsidRPr="00AA0633">
              <w:rPr>
                <w:sz w:val="20"/>
                <w:szCs w:val="20"/>
              </w:rPr>
              <w:t>107.4</w:t>
            </w:r>
          </w:p>
        </w:tc>
        <w:tc>
          <w:tcPr>
            <w:tcW w:w="0" w:type="auto"/>
            <w:vAlign w:val="center"/>
          </w:tcPr>
          <w:p w:rsidR="006222A7" w:rsidRPr="00AA0633" w:rsidRDefault="009A6B94" w:rsidP="0084479B">
            <w:pPr>
              <w:jc w:val="center"/>
              <w:rPr>
                <w:sz w:val="20"/>
                <w:szCs w:val="20"/>
              </w:rPr>
            </w:pPr>
            <w:r w:rsidRPr="00AA0633">
              <w:rPr>
                <w:sz w:val="20"/>
                <w:szCs w:val="20"/>
              </w:rPr>
              <w:t>125.8</w:t>
            </w:r>
          </w:p>
        </w:tc>
        <w:tc>
          <w:tcPr>
            <w:tcW w:w="0" w:type="auto"/>
            <w:vAlign w:val="center"/>
          </w:tcPr>
          <w:p w:rsidR="006222A7" w:rsidRPr="00AA0633" w:rsidRDefault="009A6B94" w:rsidP="0084479B">
            <w:pPr>
              <w:jc w:val="center"/>
              <w:rPr>
                <w:sz w:val="20"/>
                <w:szCs w:val="20"/>
              </w:rPr>
            </w:pPr>
            <w:r w:rsidRPr="00AA0633">
              <w:rPr>
                <w:sz w:val="20"/>
                <w:szCs w:val="20"/>
              </w:rPr>
              <w:t>130</w:t>
            </w:r>
          </w:p>
        </w:tc>
        <w:tc>
          <w:tcPr>
            <w:tcW w:w="0" w:type="auto"/>
          </w:tcPr>
          <w:p w:rsidR="006222A7" w:rsidRPr="00AA0633" w:rsidRDefault="009A6B94" w:rsidP="0084479B">
            <w:pPr>
              <w:jc w:val="center"/>
              <w:rPr>
                <w:sz w:val="20"/>
                <w:szCs w:val="20"/>
              </w:rPr>
            </w:pPr>
            <w:r w:rsidRPr="00AA0633">
              <w:rPr>
                <w:sz w:val="20"/>
                <w:szCs w:val="20"/>
              </w:rPr>
              <w:t>130.5</w:t>
            </w:r>
          </w:p>
        </w:tc>
        <w:tc>
          <w:tcPr>
            <w:tcW w:w="0" w:type="auto"/>
          </w:tcPr>
          <w:p w:rsidR="006222A7" w:rsidRPr="00AA0633" w:rsidRDefault="009A6B94" w:rsidP="0084479B">
            <w:pPr>
              <w:jc w:val="center"/>
              <w:rPr>
                <w:sz w:val="20"/>
                <w:szCs w:val="20"/>
              </w:rPr>
            </w:pPr>
            <w:r w:rsidRPr="00AA0633">
              <w:rPr>
                <w:sz w:val="20"/>
                <w:szCs w:val="20"/>
              </w:rPr>
              <w:t>147.6</w:t>
            </w:r>
          </w:p>
        </w:tc>
        <w:tc>
          <w:tcPr>
            <w:tcW w:w="0" w:type="auto"/>
          </w:tcPr>
          <w:p w:rsidR="006222A7" w:rsidRPr="00AA0633" w:rsidRDefault="009A6B94" w:rsidP="0084479B">
            <w:pPr>
              <w:jc w:val="center"/>
              <w:rPr>
                <w:sz w:val="20"/>
                <w:szCs w:val="20"/>
              </w:rPr>
            </w:pPr>
            <w:r w:rsidRPr="00AA0633">
              <w:rPr>
                <w:sz w:val="20"/>
                <w:szCs w:val="20"/>
              </w:rPr>
              <w:t>146.5</w:t>
            </w:r>
          </w:p>
        </w:tc>
        <w:tc>
          <w:tcPr>
            <w:tcW w:w="0" w:type="auto"/>
          </w:tcPr>
          <w:p w:rsidR="006222A7" w:rsidRPr="00AA0633" w:rsidRDefault="009A6B94" w:rsidP="0084479B">
            <w:pPr>
              <w:jc w:val="center"/>
              <w:rPr>
                <w:sz w:val="20"/>
                <w:szCs w:val="20"/>
              </w:rPr>
            </w:pPr>
            <w:r w:rsidRPr="00AA0633">
              <w:rPr>
                <w:sz w:val="20"/>
                <w:szCs w:val="20"/>
              </w:rPr>
              <w:t>147.5</w:t>
            </w:r>
          </w:p>
        </w:tc>
        <w:tc>
          <w:tcPr>
            <w:tcW w:w="0" w:type="auto"/>
          </w:tcPr>
          <w:p w:rsidR="006222A7" w:rsidRPr="00AA0633" w:rsidRDefault="009A6B94" w:rsidP="0084479B">
            <w:pPr>
              <w:jc w:val="center"/>
              <w:rPr>
                <w:sz w:val="20"/>
                <w:szCs w:val="20"/>
              </w:rPr>
            </w:pPr>
            <w:r w:rsidRPr="00AA0633">
              <w:rPr>
                <w:sz w:val="20"/>
                <w:szCs w:val="20"/>
              </w:rPr>
              <w:t>176.3</w:t>
            </w:r>
          </w:p>
        </w:tc>
      </w:tr>
      <w:tr w:rsidR="00AA0633" w:rsidRPr="00AA0633" w:rsidTr="0084479B">
        <w:trPr>
          <w:trHeight w:val="282"/>
          <w:jc w:val="center"/>
        </w:trPr>
        <w:tc>
          <w:tcPr>
            <w:tcW w:w="0" w:type="auto"/>
            <w:vAlign w:val="center"/>
          </w:tcPr>
          <w:p w:rsidR="006222A7" w:rsidRPr="00AA0633" w:rsidRDefault="006222A7" w:rsidP="0084479B">
            <w:pPr>
              <w:jc w:val="center"/>
              <w:rPr>
                <w:i/>
                <w:sz w:val="20"/>
                <w:szCs w:val="20"/>
              </w:rPr>
            </w:pPr>
          </w:p>
        </w:tc>
        <w:tc>
          <w:tcPr>
            <w:tcW w:w="0" w:type="auto"/>
            <w:vAlign w:val="center"/>
          </w:tcPr>
          <w:p w:rsidR="006222A7" w:rsidRPr="00AA0633" w:rsidRDefault="006222A7" w:rsidP="0084479B">
            <w:pPr>
              <w:rPr>
                <w:sz w:val="20"/>
                <w:szCs w:val="20"/>
              </w:rPr>
            </w:pPr>
          </w:p>
        </w:tc>
        <w:tc>
          <w:tcPr>
            <w:tcW w:w="0" w:type="auto"/>
            <w:vAlign w:val="center"/>
          </w:tcPr>
          <w:p w:rsidR="006222A7" w:rsidRPr="00AA0633" w:rsidRDefault="006222A7" w:rsidP="0084479B">
            <w:pPr>
              <w:jc w:val="center"/>
              <w:rPr>
                <w:sz w:val="20"/>
                <w:szCs w:val="20"/>
              </w:rPr>
            </w:pPr>
          </w:p>
        </w:tc>
        <w:tc>
          <w:tcPr>
            <w:tcW w:w="0" w:type="auto"/>
            <w:vAlign w:val="center"/>
          </w:tcPr>
          <w:p w:rsidR="006222A7" w:rsidRPr="00AA0633" w:rsidRDefault="006222A7" w:rsidP="0084479B">
            <w:pPr>
              <w:jc w:val="center"/>
              <w:rPr>
                <w:sz w:val="20"/>
                <w:szCs w:val="20"/>
              </w:rPr>
            </w:pPr>
          </w:p>
        </w:tc>
        <w:tc>
          <w:tcPr>
            <w:tcW w:w="0" w:type="auto"/>
            <w:vAlign w:val="center"/>
          </w:tcPr>
          <w:p w:rsidR="006222A7" w:rsidRPr="00AA0633" w:rsidRDefault="006222A7" w:rsidP="0084479B">
            <w:pPr>
              <w:jc w:val="center"/>
              <w:rPr>
                <w:sz w:val="20"/>
                <w:szCs w:val="20"/>
              </w:rPr>
            </w:pPr>
          </w:p>
        </w:tc>
        <w:tc>
          <w:tcPr>
            <w:tcW w:w="0" w:type="auto"/>
            <w:vAlign w:val="center"/>
          </w:tcPr>
          <w:p w:rsidR="006222A7" w:rsidRPr="00AA0633" w:rsidRDefault="006222A7" w:rsidP="0084479B">
            <w:pPr>
              <w:jc w:val="center"/>
              <w:rPr>
                <w:sz w:val="20"/>
                <w:szCs w:val="20"/>
              </w:rPr>
            </w:pPr>
          </w:p>
        </w:tc>
        <w:tc>
          <w:tcPr>
            <w:tcW w:w="0" w:type="auto"/>
            <w:vAlign w:val="center"/>
          </w:tcPr>
          <w:p w:rsidR="006222A7" w:rsidRPr="00AA0633" w:rsidRDefault="006222A7" w:rsidP="0084479B">
            <w:pPr>
              <w:jc w:val="center"/>
              <w:rPr>
                <w:sz w:val="20"/>
                <w:szCs w:val="20"/>
              </w:rPr>
            </w:pPr>
          </w:p>
        </w:tc>
        <w:tc>
          <w:tcPr>
            <w:tcW w:w="0" w:type="auto"/>
          </w:tcPr>
          <w:p w:rsidR="006222A7" w:rsidRPr="00AA0633" w:rsidRDefault="006222A7" w:rsidP="0084479B">
            <w:pPr>
              <w:jc w:val="center"/>
              <w:rPr>
                <w:sz w:val="20"/>
                <w:szCs w:val="20"/>
              </w:rPr>
            </w:pPr>
          </w:p>
        </w:tc>
        <w:tc>
          <w:tcPr>
            <w:tcW w:w="0" w:type="auto"/>
          </w:tcPr>
          <w:p w:rsidR="006222A7" w:rsidRPr="00AA0633" w:rsidRDefault="006222A7" w:rsidP="0084479B">
            <w:pPr>
              <w:jc w:val="center"/>
              <w:rPr>
                <w:sz w:val="20"/>
                <w:szCs w:val="20"/>
              </w:rPr>
            </w:pPr>
          </w:p>
        </w:tc>
        <w:tc>
          <w:tcPr>
            <w:tcW w:w="0" w:type="auto"/>
          </w:tcPr>
          <w:p w:rsidR="006222A7" w:rsidRPr="00AA0633" w:rsidRDefault="006222A7" w:rsidP="0084479B">
            <w:pPr>
              <w:jc w:val="center"/>
              <w:rPr>
                <w:sz w:val="20"/>
                <w:szCs w:val="20"/>
              </w:rPr>
            </w:pPr>
          </w:p>
        </w:tc>
        <w:tc>
          <w:tcPr>
            <w:tcW w:w="0" w:type="auto"/>
          </w:tcPr>
          <w:p w:rsidR="006222A7" w:rsidRPr="00AA0633" w:rsidRDefault="006222A7" w:rsidP="0084479B">
            <w:pPr>
              <w:jc w:val="center"/>
              <w:rPr>
                <w:sz w:val="20"/>
                <w:szCs w:val="20"/>
              </w:rPr>
            </w:pPr>
          </w:p>
        </w:tc>
        <w:tc>
          <w:tcPr>
            <w:tcW w:w="0" w:type="auto"/>
          </w:tcPr>
          <w:p w:rsidR="006222A7" w:rsidRPr="00AA0633" w:rsidRDefault="006222A7" w:rsidP="0084479B">
            <w:pPr>
              <w:jc w:val="center"/>
              <w:rPr>
                <w:sz w:val="20"/>
                <w:szCs w:val="20"/>
              </w:rPr>
            </w:pPr>
          </w:p>
        </w:tc>
      </w:tr>
      <w:tr w:rsidR="00AA0633" w:rsidRPr="00AA0633" w:rsidTr="0084479B">
        <w:trPr>
          <w:trHeight w:val="282"/>
          <w:jc w:val="center"/>
        </w:trPr>
        <w:tc>
          <w:tcPr>
            <w:tcW w:w="0" w:type="auto"/>
            <w:vAlign w:val="center"/>
          </w:tcPr>
          <w:p w:rsidR="006222A7" w:rsidRPr="00AA0633" w:rsidRDefault="006222A7" w:rsidP="0084479B">
            <w:pPr>
              <w:jc w:val="center"/>
              <w:rPr>
                <w:sz w:val="20"/>
                <w:szCs w:val="20"/>
              </w:rPr>
            </w:pPr>
          </w:p>
        </w:tc>
        <w:tc>
          <w:tcPr>
            <w:tcW w:w="0" w:type="auto"/>
            <w:vAlign w:val="center"/>
          </w:tcPr>
          <w:p w:rsidR="006222A7" w:rsidRPr="00AA0633" w:rsidRDefault="006222A7" w:rsidP="0084479B">
            <w:pPr>
              <w:rPr>
                <w:sz w:val="20"/>
                <w:szCs w:val="20"/>
              </w:rPr>
            </w:pPr>
          </w:p>
        </w:tc>
        <w:tc>
          <w:tcPr>
            <w:tcW w:w="0" w:type="auto"/>
            <w:vAlign w:val="center"/>
          </w:tcPr>
          <w:p w:rsidR="006222A7" w:rsidRPr="00AA0633" w:rsidRDefault="006222A7" w:rsidP="0084479B">
            <w:pPr>
              <w:jc w:val="center"/>
              <w:rPr>
                <w:sz w:val="20"/>
                <w:szCs w:val="20"/>
              </w:rPr>
            </w:pPr>
          </w:p>
        </w:tc>
        <w:tc>
          <w:tcPr>
            <w:tcW w:w="0" w:type="auto"/>
            <w:vAlign w:val="center"/>
          </w:tcPr>
          <w:p w:rsidR="006222A7" w:rsidRPr="00AA0633" w:rsidRDefault="006222A7" w:rsidP="0084479B">
            <w:pPr>
              <w:jc w:val="center"/>
              <w:rPr>
                <w:sz w:val="20"/>
                <w:szCs w:val="20"/>
              </w:rPr>
            </w:pPr>
          </w:p>
        </w:tc>
        <w:tc>
          <w:tcPr>
            <w:tcW w:w="0" w:type="auto"/>
            <w:vAlign w:val="center"/>
          </w:tcPr>
          <w:p w:rsidR="006222A7" w:rsidRPr="00AA0633" w:rsidRDefault="006222A7" w:rsidP="0084479B">
            <w:pPr>
              <w:jc w:val="center"/>
              <w:rPr>
                <w:sz w:val="20"/>
                <w:szCs w:val="20"/>
              </w:rPr>
            </w:pPr>
          </w:p>
        </w:tc>
        <w:tc>
          <w:tcPr>
            <w:tcW w:w="0" w:type="auto"/>
            <w:vAlign w:val="center"/>
          </w:tcPr>
          <w:p w:rsidR="006222A7" w:rsidRPr="00AA0633" w:rsidRDefault="006222A7" w:rsidP="0084479B">
            <w:pPr>
              <w:jc w:val="center"/>
              <w:rPr>
                <w:sz w:val="20"/>
                <w:szCs w:val="20"/>
              </w:rPr>
            </w:pPr>
          </w:p>
        </w:tc>
        <w:tc>
          <w:tcPr>
            <w:tcW w:w="0" w:type="auto"/>
            <w:vAlign w:val="center"/>
          </w:tcPr>
          <w:p w:rsidR="006222A7" w:rsidRPr="00AA0633" w:rsidRDefault="006222A7" w:rsidP="0084479B">
            <w:pPr>
              <w:jc w:val="center"/>
              <w:rPr>
                <w:sz w:val="20"/>
                <w:szCs w:val="20"/>
              </w:rPr>
            </w:pPr>
          </w:p>
        </w:tc>
        <w:tc>
          <w:tcPr>
            <w:tcW w:w="0" w:type="auto"/>
          </w:tcPr>
          <w:p w:rsidR="006222A7" w:rsidRPr="00AA0633" w:rsidRDefault="006222A7" w:rsidP="0084479B">
            <w:pPr>
              <w:jc w:val="center"/>
              <w:rPr>
                <w:sz w:val="20"/>
                <w:szCs w:val="20"/>
              </w:rPr>
            </w:pPr>
          </w:p>
        </w:tc>
        <w:tc>
          <w:tcPr>
            <w:tcW w:w="0" w:type="auto"/>
          </w:tcPr>
          <w:p w:rsidR="006222A7" w:rsidRPr="00AA0633" w:rsidRDefault="006222A7" w:rsidP="0084479B">
            <w:pPr>
              <w:jc w:val="center"/>
              <w:rPr>
                <w:sz w:val="20"/>
                <w:szCs w:val="20"/>
              </w:rPr>
            </w:pPr>
          </w:p>
        </w:tc>
        <w:tc>
          <w:tcPr>
            <w:tcW w:w="0" w:type="auto"/>
          </w:tcPr>
          <w:p w:rsidR="006222A7" w:rsidRPr="00AA0633" w:rsidRDefault="006222A7" w:rsidP="0084479B">
            <w:pPr>
              <w:jc w:val="center"/>
              <w:rPr>
                <w:sz w:val="20"/>
                <w:szCs w:val="20"/>
              </w:rPr>
            </w:pPr>
          </w:p>
        </w:tc>
        <w:tc>
          <w:tcPr>
            <w:tcW w:w="0" w:type="auto"/>
          </w:tcPr>
          <w:p w:rsidR="006222A7" w:rsidRPr="00AA0633" w:rsidRDefault="006222A7" w:rsidP="0084479B">
            <w:pPr>
              <w:jc w:val="center"/>
              <w:rPr>
                <w:sz w:val="20"/>
                <w:szCs w:val="20"/>
              </w:rPr>
            </w:pPr>
          </w:p>
        </w:tc>
        <w:tc>
          <w:tcPr>
            <w:tcW w:w="0" w:type="auto"/>
          </w:tcPr>
          <w:p w:rsidR="006222A7" w:rsidRPr="00AA0633" w:rsidRDefault="006222A7" w:rsidP="0084479B">
            <w:pPr>
              <w:jc w:val="center"/>
              <w:rPr>
                <w:sz w:val="20"/>
                <w:szCs w:val="20"/>
              </w:rPr>
            </w:pPr>
          </w:p>
        </w:tc>
      </w:tr>
      <w:tr w:rsidR="00AA0633" w:rsidRPr="00AA0633" w:rsidTr="0084479B">
        <w:trPr>
          <w:trHeight w:val="299"/>
          <w:jc w:val="center"/>
        </w:trPr>
        <w:tc>
          <w:tcPr>
            <w:tcW w:w="0" w:type="auto"/>
            <w:tcBorders>
              <w:bottom w:val="single" w:sz="4" w:space="0" w:color="auto"/>
            </w:tcBorders>
            <w:vAlign w:val="center"/>
          </w:tcPr>
          <w:p w:rsidR="006222A7" w:rsidRPr="00AA0633" w:rsidRDefault="006222A7" w:rsidP="0084479B">
            <w:pPr>
              <w:jc w:val="center"/>
              <w:rPr>
                <w:i/>
                <w:sz w:val="20"/>
                <w:szCs w:val="20"/>
              </w:rPr>
            </w:pPr>
          </w:p>
        </w:tc>
        <w:tc>
          <w:tcPr>
            <w:tcW w:w="0" w:type="auto"/>
            <w:tcBorders>
              <w:bottom w:val="single" w:sz="4" w:space="0" w:color="auto"/>
            </w:tcBorders>
            <w:vAlign w:val="center"/>
          </w:tcPr>
          <w:p w:rsidR="006222A7" w:rsidRPr="00AA0633" w:rsidRDefault="006222A7" w:rsidP="0084479B">
            <w:pPr>
              <w:rPr>
                <w:sz w:val="20"/>
                <w:szCs w:val="20"/>
              </w:rPr>
            </w:pPr>
          </w:p>
        </w:tc>
        <w:tc>
          <w:tcPr>
            <w:tcW w:w="0" w:type="auto"/>
            <w:tcBorders>
              <w:bottom w:val="single" w:sz="4" w:space="0" w:color="auto"/>
            </w:tcBorders>
            <w:vAlign w:val="center"/>
          </w:tcPr>
          <w:p w:rsidR="006222A7" w:rsidRPr="00AA0633" w:rsidRDefault="006222A7" w:rsidP="0084479B">
            <w:pPr>
              <w:jc w:val="center"/>
              <w:rPr>
                <w:sz w:val="20"/>
                <w:szCs w:val="20"/>
              </w:rPr>
            </w:pPr>
          </w:p>
        </w:tc>
        <w:tc>
          <w:tcPr>
            <w:tcW w:w="0" w:type="auto"/>
            <w:tcBorders>
              <w:bottom w:val="single" w:sz="4" w:space="0" w:color="auto"/>
            </w:tcBorders>
            <w:vAlign w:val="center"/>
          </w:tcPr>
          <w:p w:rsidR="006222A7" w:rsidRPr="00AA0633" w:rsidRDefault="006222A7" w:rsidP="0084479B">
            <w:pPr>
              <w:jc w:val="center"/>
              <w:rPr>
                <w:sz w:val="20"/>
                <w:szCs w:val="20"/>
              </w:rPr>
            </w:pPr>
          </w:p>
        </w:tc>
        <w:tc>
          <w:tcPr>
            <w:tcW w:w="0" w:type="auto"/>
            <w:tcBorders>
              <w:bottom w:val="single" w:sz="4" w:space="0" w:color="auto"/>
            </w:tcBorders>
            <w:vAlign w:val="center"/>
          </w:tcPr>
          <w:p w:rsidR="006222A7" w:rsidRPr="00AA0633" w:rsidRDefault="006222A7" w:rsidP="0084479B">
            <w:pPr>
              <w:jc w:val="center"/>
              <w:rPr>
                <w:sz w:val="20"/>
                <w:szCs w:val="20"/>
              </w:rPr>
            </w:pPr>
          </w:p>
        </w:tc>
        <w:tc>
          <w:tcPr>
            <w:tcW w:w="0" w:type="auto"/>
            <w:tcBorders>
              <w:bottom w:val="single" w:sz="4" w:space="0" w:color="auto"/>
            </w:tcBorders>
            <w:vAlign w:val="center"/>
          </w:tcPr>
          <w:p w:rsidR="006222A7" w:rsidRPr="00AA0633" w:rsidRDefault="006222A7" w:rsidP="0084479B">
            <w:pPr>
              <w:jc w:val="center"/>
              <w:rPr>
                <w:sz w:val="20"/>
                <w:szCs w:val="20"/>
              </w:rPr>
            </w:pPr>
          </w:p>
        </w:tc>
        <w:tc>
          <w:tcPr>
            <w:tcW w:w="0" w:type="auto"/>
            <w:tcBorders>
              <w:bottom w:val="single" w:sz="4" w:space="0" w:color="auto"/>
            </w:tcBorders>
            <w:vAlign w:val="center"/>
          </w:tcPr>
          <w:p w:rsidR="006222A7" w:rsidRPr="00AA0633" w:rsidRDefault="006222A7" w:rsidP="0084479B">
            <w:pPr>
              <w:jc w:val="center"/>
              <w:rPr>
                <w:sz w:val="20"/>
                <w:szCs w:val="20"/>
              </w:rPr>
            </w:pPr>
          </w:p>
        </w:tc>
        <w:tc>
          <w:tcPr>
            <w:tcW w:w="0" w:type="auto"/>
            <w:tcBorders>
              <w:bottom w:val="single" w:sz="4" w:space="0" w:color="auto"/>
            </w:tcBorders>
          </w:tcPr>
          <w:p w:rsidR="006222A7" w:rsidRPr="00AA0633" w:rsidRDefault="006222A7" w:rsidP="0084479B">
            <w:pPr>
              <w:jc w:val="center"/>
              <w:rPr>
                <w:sz w:val="20"/>
                <w:szCs w:val="20"/>
              </w:rPr>
            </w:pPr>
          </w:p>
        </w:tc>
        <w:tc>
          <w:tcPr>
            <w:tcW w:w="0" w:type="auto"/>
            <w:tcBorders>
              <w:bottom w:val="single" w:sz="4" w:space="0" w:color="auto"/>
            </w:tcBorders>
          </w:tcPr>
          <w:p w:rsidR="006222A7" w:rsidRPr="00AA0633" w:rsidRDefault="006222A7" w:rsidP="0084479B">
            <w:pPr>
              <w:jc w:val="center"/>
              <w:rPr>
                <w:sz w:val="20"/>
                <w:szCs w:val="20"/>
              </w:rPr>
            </w:pPr>
          </w:p>
        </w:tc>
        <w:tc>
          <w:tcPr>
            <w:tcW w:w="0" w:type="auto"/>
            <w:tcBorders>
              <w:bottom w:val="single" w:sz="4" w:space="0" w:color="auto"/>
            </w:tcBorders>
          </w:tcPr>
          <w:p w:rsidR="006222A7" w:rsidRPr="00AA0633" w:rsidRDefault="006222A7" w:rsidP="0084479B">
            <w:pPr>
              <w:jc w:val="center"/>
              <w:rPr>
                <w:sz w:val="20"/>
                <w:szCs w:val="20"/>
              </w:rPr>
            </w:pPr>
          </w:p>
        </w:tc>
        <w:tc>
          <w:tcPr>
            <w:tcW w:w="0" w:type="auto"/>
            <w:tcBorders>
              <w:bottom w:val="single" w:sz="4" w:space="0" w:color="auto"/>
            </w:tcBorders>
          </w:tcPr>
          <w:p w:rsidR="006222A7" w:rsidRPr="00AA0633" w:rsidRDefault="006222A7" w:rsidP="0084479B">
            <w:pPr>
              <w:jc w:val="center"/>
              <w:rPr>
                <w:sz w:val="20"/>
                <w:szCs w:val="20"/>
              </w:rPr>
            </w:pPr>
          </w:p>
        </w:tc>
        <w:tc>
          <w:tcPr>
            <w:tcW w:w="0" w:type="auto"/>
            <w:tcBorders>
              <w:bottom w:val="single" w:sz="4" w:space="0" w:color="auto"/>
            </w:tcBorders>
          </w:tcPr>
          <w:p w:rsidR="006222A7" w:rsidRPr="00AA0633" w:rsidRDefault="006222A7" w:rsidP="0084479B">
            <w:pPr>
              <w:jc w:val="center"/>
              <w:rPr>
                <w:sz w:val="20"/>
                <w:szCs w:val="20"/>
              </w:rPr>
            </w:pPr>
          </w:p>
        </w:tc>
      </w:tr>
    </w:tbl>
    <w:p w:rsidR="005F24A1" w:rsidRDefault="005F24A1"/>
    <w:p w:rsidR="005F24A1" w:rsidRDefault="005F24A1"/>
    <w:p w:rsidR="005F24A1" w:rsidRDefault="005F24A1"/>
    <w:p w:rsidR="005F24A1" w:rsidRDefault="005F24A1"/>
    <w:p w:rsidR="005F24A1" w:rsidRDefault="005F24A1"/>
    <w:p w:rsidR="005F24A1" w:rsidRDefault="005F24A1"/>
    <w:p w:rsidR="005F24A1" w:rsidRDefault="005F24A1"/>
    <w:p w:rsidR="005F24A1" w:rsidRDefault="005F24A1"/>
    <w:p w:rsidR="005F24A1" w:rsidRDefault="005F24A1"/>
    <w:p w:rsidR="005F24A1" w:rsidRDefault="005F24A1"/>
    <w:p w:rsidR="005F24A1" w:rsidRDefault="005F24A1"/>
    <w:p w:rsidR="005F24A1" w:rsidRDefault="005F24A1"/>
    <w:p w:rsidR="005F24A1" w:rsidRDefault="005F24A1"/>
    <w:p w:rsidR="005F24A1" w:rsidRDefault="005F24A1"/>
    <w:p w:rsidR="005F24A1" w:rsidRDefault="005F24A1"/>
    <w:p w:rsidR="005F24A1" w:rsidRDefault="005F24A1"/>
    <w:p w:rsidR="005F24A1" w:rsidRDefault="005F24A1"/>
    <w:p w:rsidR="005F24A1" w:rsidRDefault="005F24A1"/>
    <w:p w:rsidR="005F24A1" w:rsidRDefault="005F24A1"/>
    <w:p w:rsidR="005F24A1" w:rsidRDefault="005F24A1">
      <w:bookmarkStart w:id="0" w:name="_GoBack"/>
      <w:r>
        <w:rPr>
          <w:noProof/>
        </w:rPr>
        <w:lastRenderedPageBreak/>
        <w:drawing>
          <wp:anchor distT="0" distB="0" distL="114300" distR="114300" simplePos="0" relativeHeight="251658240" behindDoc="1" locked="0" layoutInCell="1" allowOverlap="1">
            <wp:simplePos x="0" y="0"/>
            <wp:positionH relativeFrom="column">
              <wp:posOffset>451313</wp:posOffset>
            </wp:positionH>
            <wp:positionV relativeFrom="paragraph">
              <wp:posOffset>156979</wp:posOffset>
            </wp:positionV>
            <wp:extent cx="6502836" cy="4289438"/>
            <wp:effectExtent l="0" t="0" r="12700" b="1587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bookmarkEnd w:id="0"/>
    </w:p>
    <w:p w:rsidR="005F24A1" w:rsidRDefault="005F24A1"/>
    <w:p w:rsidR="005F24A1" w:rsidRDefault="005F24A1"/>
    <w:p w:rsidR="005F24A1" w:rsidRDefault="005F24A1"/>
    <w:p w:rsidR="005F24A1" w:rsidRDefault="005F24A1"/>
    <w:p w:rsidR="005F24A1" w:rsidRDefault="005F24A1"/>
    <w:p w:rsidR="005F24A1" w:rsidRDefault="005F24A1"/>
    <w:p w:rsidR="009A6B94" w:rsidRDefault="009A6B94"/>
    <w:sectPr w:rsidR="009A6B94" w:rsidSect="009A6B9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541" w:rsidRDefault="00820541" w:rsidP="006222A7">
      <w:r>
        <w:separator/>
      </w:r>
    </w:p>
  </w:endnote>
  <w:endnote w:type="continuationSeparator" w:id="0">
    <w:p w:rsidR="00820541" w:rsidRDefault="00820541" w:rsidP="00622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541" w:rsidRDefault="00820541" w:rsidP="006222A7">
      <w:r>
        <w:separator/>
      </w:r>
    </w:p>
  </w:footnote>
  <w:footnote w:type="continuationSeparator" w:id="0">
    <w:p w:rsidR="00820541" w:rsidRDefault="00820541" w:rsidP="006222A7">
      <w:r>
        <w:continuationSeparator/>
      </w:r>
    </w:p>
  </w:footnote>
  <w:footnote w:id="1">
    <w:p w:rsidR="00D15B5B" w:rsidRDefault="00D15B5B">
      <w:pPr>
        <w:pStyle w:val="FootnoteText"/>
      </w:pPr>
      <w:r>
        <w:rPr>
          <w:rStyle w:val="FootnoteReference"/>
        </w:rPr>
        <w:footnoteRef/>
      </w:r>
      <w:r>
        <w:t xml:space="preserve"> </w:t>
      </w:r>
      <w:hyperlink r:id="rId1" w:history="1">
        <w:r w:rsidRPr="00F35035">
          <w:rPr>
            <w:rStyle w:val="Hyperlink"/>
          </w:rPr>
          <w:t>https://markets.businessinsider.com/news/stocks/neopharm-labs-pursues-its-growth-strategy-1008441737</w:t>
        </w:r>
      </w:hyperlink>
      <w:r>
        <w:t xml:space="preserve"> </w:t>
      </w:r>
    </w:p>
  </w:footnote>
  <w:footnote w:id="2">
    <w:p w:rsidR="00D54D52" w:rsidRDefault="00D54D52">
      <w:pPr>
        <w:pStyle w:val="FootnoteText"/>
      </w:pPr>
      <w:r>
        <w:rPr>
          <w:rStyle w:val="FootnoteReference"/>
        </w:rPr>
        <w:footnoteRef/>
      </w:r>
      <w:r>
        <w:t xml:space="preserve"> </w:t>
      </w:r>
      <w:hyperlink r:id="rId2" w:history="1">
        <w:r w:rsidRPr="00F35035">
          <w:rPr>
            <w:rStyle w:val="Hyperlink"/>
          </w:rPr>
          <w:t>http://www.dec-ced.gc.ca/docs/dpr-2015-2016-eng.pdf</w:t>
        </w:r>
      </w:hyperlink>
      <w:r>
        <w:t xml:space="preserve"> </w:t>
      </w:r>
    </w:p>
  </w:footnote>
  <w:footnote w:id="3">
    <w:p w:rsidR="006222A7" w:rsidRDefault="006222A7" w:rsidP="006222A7">
      <w:pPr>
        <w:pStyle w:val="FootnoteText"/>
      </w:pPr>
      <w:r>
        <w:rPr>
          <w:rStyle w:val="FootnoteReference"/>
        </w:rPr>
        <w:footnoteRef/>
      </w:r>
      <w:r>
        <w:t xml:space="preserve"> </w:t>
      </w:r>
      <w:hyperlink r:id="rId3" w:history="1">
        <w:r w:rsidRPr="008B33FF">
          <w:rPr>
            <w:rStyle w:val="Hyperlink"/>
            <w:sz w:val="22"/>
            <w:szCs w:val="22"/>
          </w:rPr>
          <w:t>https://www.canada.ca/en/treasury-board-secretariat/services/departmental-performance-reports.html</w:t>
        </w:r>
      </w:hyperlink>
      <w:r>
        <w:rPr>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A7"/>
    <w:rsid w:val="00076363"/>
    <w:rsid w:val="002242D3"/>
    <w:rsid w:val="002C6CC1"/>
    <w:rsid w:val="00334EC6"/>
    <w:rsid w:val="005A5D68"/>
    <w:rsid w:val="005E3D9D"/>
    <w:rsid w:val="005F24A1"/>
    <w:rsid w:val="006172C3"/>
    <w:rsid w:val="006222A7"/>
    <w:rsid w:val="006634B8"/>
    <w:rsid w:val="00685FA7"/>
    <w:rsid w:val="00820541"/>
    <w:rsid w:val="00857777"/>
    <w:rsid w:val="009A6B94"/>
    <w:rsid w:val="009B0C09"/>
    <w:rsid w:val="00AA0633"/>
    <w:rsid w:val="00BE60C4"/>
    <w:rsid w:val="00D15B5B"/>
    <w:rsid w:val="00D54D52"/>
    <w:rsid w:val="00E0640B"/>
    <w:rsid w:val="00EB6340"/>
    <w:rsid w:val="00ED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2A924-0D85-4F06-AAA2-12006A9D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222A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rsid w:val="006222A7"/>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paragraph" w:customStyle="1" w:styleId="Body">
    <w:name w:val="Body"/>
    <w:rsid w:val="006222A7"/>
    <w:pPr>
      <w:pBdr>
        <w:top w:val="nil"/>
        <w:left w:val="nil"/>
        <w:bottom w:val="nil"/>
        <w:right w:val="nil"/>
        <w:between w:val="nil"/>
        <w:bar w:val="nil"/>
      </w:pBdr>
    </w:pPr>
    <w:rPr>
      <w:rFonts w:ascii="Calibri" w:eastAsia="Calibri" w:hAnsi="Calibri" w:cs="Calibri"/>
      <w:color w:val="000000"/>
      <w:u w:color="000000"/>
      <w:bdr w:val="nil"/>
    </w:rPr>
  </w:style>
  <w:style w:type="paragraph" w:styleId="FootnoteText">
    <w:name w:val="footnote text"/>
    <w:basedOn w:val="Normal"/>
    <w:link w:val="FootnoteTextChar"/>
    <w:uiPriority w:val="99"/>
    <w:semiHidden/>
    <w:unhideWhenUsed/>
    <w:rsid w:val="006222A7"/>
    <w:rPr>
      <w:sz w:val="20"/>
      <w:szCs w:val="20"/>
    </w:rPr>
  </w:style>
  <w:style w:type="character" w:customStyle="1" w:styleId="FootnoteTextChar">
    <w:name w:val="Footnote Text Char"/>
    <w:basedOn w:val="DefaultParagraphFont"/>
    <w:link w:val="FootnoteText"/>
    <w:uiPriority w:val="99"/>
    <w:semiHidden/>
    <w:rsid w:val="006222A7"/>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6222A7"/>
    <w:rPr>
      <w:vertAlign w:val="superscript"/>
    </w:rPr>
  </w:style>
  <w:style w:type="character" w:styleId="Hyperlink">
    <w:name w:val="Hyperlink"/>
    <w:basedOn w:val="DefaultParagraphFont"/>
    <w:uiPriority w:val="99"/>
    <w:unhideWhenUsed/>
    <w:rsid w:val="006222A7"/>
    <w:rPr>
      <w:color w:val="0563C1" w:themeColor="hyperlink"/>
      <w:u w:val="single"/>
    </w:rPr>
  </w:style>
  <w:style w:type="paragraph" w:styleId="BalloonText">
    <w:name w:val="Balloon Text"/>
    <w:basedOn w:val="Normal"/>
    <w:link w:val="BalloonTextChar"/>
    <w:uiPriority w:val="99"/>
    <w:semiHidden/>
    <w:unhideWhenUsed/>
    <w:rsid w:val="005F24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4A1"/>
    <w:rPr>
      <w:rFonts w:ascii="Segoe UI" w:eastAsia="Arial Unicode MS" w:hAnsi="Segoe UI" w:cs="Segoe UI"/>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121160">
      <w:bodyDiv w:val="1"/>
      <w:marLeft w:val="0"/>
      <w:marRight w:val="0"/>
      <w:marTop w:val="0"/>
      <w:marBottom w:val="0"/>
      <w:divBdr>
        <w:top w:val="none" w:sz="0" w:space="0" w:color="auto"/>
        <w:left w:val="none" w:sz="0" w:space="0" w:color="auto"/>
        <w:bottom w:val="none" w:sz="0" w:space="0" w:color="auto"/>
        <w:right w:val="none" w:sz="0" w:space="0" w:color="auto"/>
      </w:divBdr>
    </w:div>
    <w:div w:id="1218933097">
      <w:bodyDiv w:val="1"/>
      <w:marLeft w:val="0"/>
      <w:marRight w:val="0"/>
      <w:marTop w:val="0"/>
      <w:marBottom w:val="0"/>
      <w:divBdr>
        <w:top w:val="none" w:sz="0" w:space="0" w:color="auto"/>
        <w:left w:val="none" w:sz="0" w:space="0" w:color="auto"/>
        <w:bottom w:val="none" w:sz="0" w:space="0" w:color="auto"/>
        <w:right w:val="none" w:sz="0" w:space="0" w:color="auto"/>
      </w:divBdr>
    </w:div>
    <w:div w:id="177709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anada.ca/en/treasury-board-secretariat/services/departmental-performance-reports.html" TargetMode="External"/><Relationship Id="rId2" Type="http://schemas.openxmlformats.org/officeDocument/2006/relationships/hyperlink" Target="http://www.dec-ced.gc.ca/docs/dpr-2015-2016-eng.pdf" TargetMode="External"/><Relationship Id="rId1" Type="http://schemas.openxmlformats.org/officeDocument/2006/relationships/hyperlink" Target="https://markets.businessinsider.com/news/stocks/neopharm-labs-pursues-its-growth-strategy-100844173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ven%20Yang\Desktop\CEDRep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CED Enterpise Development</a:t>
            </a:r>
            <a:r>
              <a:rPr lang="en-US" baseline="0"/>
              <a:t> Planned vs Actual Spending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Planned</c:v>
                </c:pt>
              </c:strCache>
            </c:strRef>
          </c:tx>
          <c:spPr>
            <a:ln w="28575" cap="rnd">
              <a:solidFill>
                <a:schemeClr val="accent1"/>
              </a:solidFill>
              <a:round/>
            </a:ln>
            <a:effectLst/>
          </c:spPr>
          <c:marker>
            <c:symbol val="none"/>
          </c:marker>
          <c:cat>
            <c:numRef>
              <c:f>Sheet1!$B$1:$L$1</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Sheet1!$B$2:$L$2</c:f>
              <c:numCache>
                <c:formatCode>General</c:formatCode>
                <c:ptCount val="11"/>
                <c:pt idx="0">
                  <c:v>117.8</c:v>
                </c:pt>
                <c:pt idx="1">
                  <c:v>119.1</c:v>
                </c:pt>
                <c:pt idx="2">
                  <c:v>126.8</c:v>
                </c:pt>
                <c:pt idx="3">
                  <c:v>94.8</c:v>
                </c:pt>
                <c:pt idx="4">
                  <c:v>107.3</c:v>
                </c:pt>
                <c:pt idx="5">
                  <c:v>116.4</c:v>
                </c:pt>
                <c:pt idx="6">
                  <c:v>147.69999999999999</c:v>
                </c:pt>
                <c:pt idx="7">
                  <c:v>152.5</c:v>
                </c:pt>
                <c:pt idx="8">
                  <c:v>146.6</c:v>
                </c:pt>
                <c:pt idx="9">
                  <c:v>151.1</c:v>
                </c:pt>
                <c:pt idx="10">
                  <c:v>158.80000000000001</c:v>
                </c:pt>
              </c:numCache>
            </c:numRef>
          </c:val>
          <c:smooth val="0"/>
        </c:ser>
        <c:ser>
          <c:idx val="1"/>
          <c:order val="1"/>
          <c:tx>
            <c:strRef>
              <c:f>Sheet1!$A$3</c:f>
              <c:strCache>
                <c:ptCount val="1"/>
                <c:pt idx="0">
                  <c:v>Actual</c:v>
                </c:pt>
              </c:strCache>
            </c:strRef>
          </c:tx>
          <c:spPr>
            <a:ln w="28575" cap="rnd">
              <a:solidFill>
                <a:schemeClr val="accent2"/>
              </a:solidFill>
              <a:round/>
            </a:ln>
            <a:effectLst/>
          </c:spPr>
          <c:marker>
            <c:symbol val="none"/>
          </c:marker>
          <c:cat>
            <c:numRef>
              <c:f>Sheet1!$B$1:$L$1</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Sheet1!$B$3:$L$3</c:f>
              <c:numCache>
                <c:formatCode>General</c:formatCode>
                <c:ptCount val="11"/>
                <c:pt idx="0">
                  <c:v>107.3</c:v>
                </c:pt>
                <c:pt idx="1">
                  <c:v>114.5</c:v>
                </c:pt>
                <c:pt idx="2">
                  <c:v>93.5</c:v>
                </c:pt>
                <c:pt idx="3">
                  <c:v>107.4</c:v>
                </c:pt>
                <c:pt idx="4">
                  <c:v>125.8</c:v>
                </c:pt>
                <c:pt idx="5">
                  <c:v>130</c:v>
                </c:pt>
                <c:pt idx="6">
                  <c:v>130.5</c:v>
                </c:pt>
                <c:pt idx="7">
                  <c:v>147.6</c:v>
                </c:pt>
                <c:pt idx="8">
                  <c:v>146.5</c:v>
                </c:pt>
                <c:pt idx="9">
                  <c:v>147.5</c:v>
                </c:pt>
                <c:pt idx="10">
                  <c:v>176.3</c:v>
                </c:pt>
              </c:numCache>
            </c:numRef>
          </c:val>
          <c:smooth val="0"/>
        </c:ser>
        <c:dLbls>
          <c:showLegendKey val="0"/>
          <c:showVal val="0"/>
          <c:showCatName val="0"/>
          <c:showSerName val="0"/>
          <c:showPercent val="0"/>
          <c:showBubbleSize val="0"/>
        </c:dLbls>
        <c:smooth val="0"/>
        <c:axId val="577399552"/>
        <c:axId val="577397200"/>
      </c:lineChart>
      <c:catAx>
        <c:axId val="577399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397200"/>
        <c:crosses val="autoZero"/>
        <c:auto val="1"/>
        <c:lblAlgn val="ctr"/>
        <c:lblOffset val="100"/>
        <c:noMultiLvlLbl val="0"/>
      </c:catAx>
      <c:valAx>
        <c:axId val="577397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Spending (millions</a:t>
                </a:r>
                <a:r>
                  <a:rPr lang="en-US" baseline="0"/>
                  <a:t> CAD)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39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41425-75E2-49CF-9DE0-46A21D483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Yang</dc:creator>
  <cp:keywords/>
  <dc:description/>
  <cp:lastModifiedBy>Steven Yang</cp:lastModifiedBy>
  <cp:revision>19</cp:revision>
  <cp:lastPrinted>2018-08-08T18:33:00Z</cp:lastPrinted>
  <dcterms:created xsi:type="dcterms:W3CDTF">2018-08-07T16:32:00Z</dcterms:created>
  <dcterms:modified xsi:type="dcterms:W3CDTF">2018-08-08T18:33:00Z</dcterms:modified>
</cp:coreProperties>
</file>