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742" w:rsidRPr="00AC0A48" w:rsidRDefault="00367742" w:rsidP="00367742">
      <w:pPr>
        <w:pStyle w:val="NoSpacing"/>
        <w:rPr>
          <w:rFonts w:ascii="Times New Roman" w:eastAsia="Times New Roman" w:hAnsi="Times New Roman" w:cs="Times New Roman"/>
          <w:color w:val="auto"/>
        </w:rPr>
      </w:pPr>
      <w:r w:rsidRPr="00AC0A48">
        <w:rPr>
          <w:rFonts w:ascii="Times New Roman" w:hAnsi="Times New Roman"/>
          <w:b/>
          <w:bCs/>
          <w:color w:val="auto"/>
        </w:rPr>
        <w:t xml:space="preserve">Date: </w:t>
      </w:r>
      <w:r w:rsidRPr="00AC0A48">
        <w:rPr>
          <w:rFonts w:ascii="Times New Roman" w:hAnsi="Times New Roman"/>
          <w:color w:val="auto"/>
        </w:rPr>
        <w:t>6</w:t>
      </w:r>
      <w:r w:rsidRPr="00AC0A48">
        <w:rPr>
          <w:rFonts w:ascii="Times New Roman" w:hAnsi="Times New Roman"/>
          <w:color w:val="auto"/>
          <w:vertAlign w:val="superscript"/>
        </w:rPr>
        <w:t>th</w:t>
      </w:r>
      <w:r w:rsidRPr="00AC0A48">
        <w:rPr>
          <w:rFonts w:ascii="Times New Roman" w:hAnsi="Times New Roman"/>
          <w:color w:val="auto"/>
        </w:rPr>
        <w:t xml:space="preserve"> August</w:t>
      </w:r>
      <w:r w:rsidRPr="00AC0A48">
        <w:rPr>
          <w:rFonts w:ascii="Times New Roman" w:eastAsia="Times New Roman" w:hAnsi="Times New Roman" w:cs="Times New Roman"/>
          <w:color w:val="auto"/>
        </w:rPr>
        <w:t xml:space="preserve"> 2018</w:t>
      </w:r>
    </w:p>
    <w:p w:rsidR="00367742" w:rsidRPr="00AC0A48" w:rsidRDefault="00367742" w:rsidP="00367742">
      <w:pPr>
        <w:pStyle w:val="NoSpacing"/>
        <w:rPr>
          <w:rFonts w:ascii="Times New Roman" w:eastAsia="Times New Roman" w:hAnsi="Times New Roman" w:cs="Times New Roman"/>
          <w:color w:val="auto"/>
        </w:rPr>
      </w:pPr>
      <w:r w:rsidRPr="00AC0A48">
        <w:rPr>
          <w:rFonts w:ascii="Times New Roman" w:hAnsi="Times New Roman"/>
          <w:b/>
          <w:bCs/>
          <w:color w:val="auto"/>
        </w:rPr>
        <w:t>To:</w:t>
      </w:r>
      <w:r w:rsidRPr="00AC0A48">
        <w:rPr>
          <w:rFonts w:ascii="Times New Roman" w:hAnsi="Times New Roman"/>
          <w:color w:val="auto"/>
        </w:rPr>
        <w:t xml:space="preserve"> Jon Gruber, </w:t>
      </w:r>
      <w:r w:rsidRPr="00AC0A48">
        <w:rPr>
          <w:rFonts w:ascii="Times New Roman" w:hAnsi="Times New Roman"/>
          <w:bCs/>
          <w:color w:val="auto"/>
        </w:rPr>
        <w:t xml:space="preserve">Ian </w:t>
      </w:r>
      <w:proofErr w:type="spellStart"/>
      <w:r w:rsidRPr="00AC0A48">
        <w:rPr>
          <w:rFonts w:ascii="Times New Roman" w:hAnsi="Times New Roman"/>
          <w:bCs/>
          <w:color w:val="auto"/>
        </w:rPr>
        <w:t>Calaway</w:t>
      </w:r>
      <w:proofErr w:type="spellEnd"/>
      <w:r w:rsidRPr="00AC0A48">
        <w:rPr>
          <w:rFonts w:ascii="Times New Roman" w:hAnsi="Times New Roman"/>
          <w:bCs/>
          <w:color w:val="auto"/>
        </w:rPr>
        <w:t xml:space="preserve">, </w:t>
      </w:r>
      <w:proofErr w:type="gramStart"/>
      <w:r w:rsidRPr="00AC0A48">
        <w:rPr>
          <w:rFonts w:ascii="Times New Roman" w:hAnsi="Times New Roman"/>
          <w:bCs/>
          <w:color w:val="auto"/>
        </w:rPr>
        <w:t>Cora</w:t>
      </w:r>
      <w:proofErr w:type="gramEnd"/>
      <w:r w:rsidRPr="00AC0A48">
        <w:rPr>
          <w:rFonts w:ascii="Times New Roman" w:hAnsi="Times New Roman"/>
          <w:bCs/>
          <w:color w:val="auto"/>
        </w:rPr>
        <w:t xml:space="preserve"> Touchstone </w:t>
      </w:r>
    </w:p>
    <w:p w:rsidR="00367742" w:rsidRPr="00AC0A48" w:rsidRDefault="00367742" w:rsidP="00367742">
      <w:pPr>
        <w:pStyle w:val="NoSpacing"/>
        <w:rPr>
          <w:rFonts w:ascii="Times New Roman" w:eastAsia="Times New Roman" w:hAnsi="Times New Roman" w:cs="Times New Roman"/>
          <w:color w:val="auto"/>
        </w:rPr>
      </w:pPr>
      <w:r w:rsidRPr="00AC0A48">
        <w:rPr>
          <w:rFonts w:ascii="Times New Roman" w:hAnsi="Times New Roman"/>
          <w:b/>
          <w:bCs/>
          <w:color w:val="auto"/>
        </w:rPr>
        <w:t>From:</w:t>
      </w:r>
      <w:r w:rsidRPr="00AC0A48">
        <w:rPr>
          <w:rFonts w:ascii="Times New Roman" w:hAnsi="Times New Roman"/>
          <w:color w:val="auto"/>
        </w:rPr>
        <w:t xml:space="preserve"> Steven Yang</w:t>
      </w:r>
    </w:p>
    <w:p w:rsidR="00367742" w:rsidRPr="00AC0A48" w:rsidRDefault="00367742" w:rsidP="00367742">
      <w:pPr>
        <w:pStyle w:val="NoSpacing"/>
        <w:pBdr>
          <w:bottom w:val="single" w:sz="12" w:space="0" w:color="000000"/>
        </w:pBdr>
        <w:rPr>
          <w:rFonts w:ascii="Times New Roman" w:eastAsia="Times New Roman" w:hAnsi="Times New Roman" w:cs="Times New Roman"/>
          <w:color w:val="auto"/>
        </w:rPr>
      </w:pPr>
      <w:r w:rsidRPr="00AC0A48">
        <w:rPr>
          <w:rFonts w:ascii="Times New Roman" w:hAnsi="Times New Roman"/>
          <w:b/>
          <w:bCs/>
          <w:color w:val="auto"/>
        </w:rPr>
        <w:t xml:space="preserve">Re: </w:t>
      </w:r>
      <w:r w:rsidRPr="00AC0A48">
        <w:rPr>
          <w:rFonts w:ascii="Times New Roman" w:hAnsi="Times New Roman"/>
          <w:color w:val="auto"/>
        </w:rPr>
        <w:t xml:space="preserve">Canadian Federal R&amp;D Funding Sources: Canadian Northern Economic Development Agency </w:t>
      </w:r>
    </w:p>
    <w:p w:rsidR="00367742" w:rsidRPr="00AC0A48" w:rsidRDefault="00367742" w:rsidP="00367742">
      <w:pPr>
        <w:pStyle w:val="Body"/>
        <w:spacing w:line="240" w:lineRule="auto"/>
        <w:rPr>
          <w:rFonts w:ascii="Times New Roman" w:hAnsi="Times New Roman"/>
          <w:b/>
          <w:bCs/>
          <w:color w:val="auto"/>
        </w:rPr>
      </w:pPr>
    </w:p>
    <w:p w:rsidR="00367742" w:rsidRPr="00AC0A48" w:rsidRDefault="00367742" w:rsidP="00367742">
      <w:pPr>
        <w:pStyle w:val="Body"/>
        <w:spacing w:line="240" w:lineRule="auto"/>
        <w:rPr>
          <w:rFonts w:ascii="Times New Roman" w:hAnsi="Times New Roman"/>
          <w:b/>
          <w:bCs/>
          <w:color w:val="auto"/>
        </w:rPr>
      </w:pPr>
      <w:r w:rsidRPr="00AC0A48">
        <w:rPr>
          <w:rFonts w:ascii="Times New Roman" w:hAnsi="Times New Roman"/>
          <w:b/>
          <w:bCs/>
          <w:color w:val="auto"/>
        </w:rPr>
        <w:t>1. Background</w:t>
      </w:r>
    </w:p>
    <w:p w:rsidR="00E332BA" w:rsidRPr="00AC0A48" w:rsidRDefault="00E332BA" w:rsidP="00E332BA">
      <w:pPr>
        <w:pStyle w:val="NormalWeb"/>
        <w:shd w:val="clear" w:color="auto" w:fill="FFFFFF"/>
        <w:spacing w:before="0" w:beforeAutospacing="0" w:after="173" w:afterAutospacing="0"/>
        <w:rPr>
          <w:sz w:val="22"/>
          <w:szCs w:val="22"/>
        </w:rPr>
      </w:pPr>
      <w:r w:rsidRPr="00AC0A48">
        <w:rPr>
          <w:sz w:val="22"/>
          <w:szCs w:val="22"/>
        </w:rPr>
        <w:t>The Canadian Northern Economic Development Agency (</w:t>
      </w:r>
      <w:proofErr w:type="spellStart"/>
      <w:r w:rsidRPr="00AC0A48">
        <w:rPr>
          <w:sz w:val="22"/>
          <w:szCs w:val="22"/>
        </w:rPr>
        <w:t>CanNor</w:t>
      </w:r>
      <w:proofErr w:type="spellEnd"/>
      <w:r w:rsidRPr="00AC0A48">
        <w:rPr>
          <w:sz w:val="22"/>
          <w:szCs w:val="22"/>
        </w:rPr>
        <w:t xml:space="preserve">), established in 2009, works to help develop a diversified, sustainable, and dynamic economy across </w:t>
      </w:r>
      <w:r w:rsidR="007947BD" w:rsidRPr="00AC0A48">
        <w:rPr>
          <w:sz w:val="22"/>
          <w:szCs w:val="22"/>
        </w:rPr>
        <w:t>Northern Canada</w:t>
      </w:r>
      <w:r w:rsidRPr="00AC0A48">
        <w:rPr>
          <w:sz w:val="22"/>
          <w:szCs w:val="22"/>
        </w:rPr>
        <w:t xml:space="preserve">. </w:t>
      </w:r>
      <w:proofErr w:type="spellStart"/>
      <w:r w:rsidRPr="00AC0A48">
        <w:rPr>
          <w:sz w:val="22"/>
          <w:szCs w:val="22"/>
        </w:rPr>
        <w:t>CanNor</w:t>
      </w:r>
      <w:proofErr w:type="spellEnd"/>
      <w:r w:rsidRPr="00AC0A48">
        <w:rPr>
          <w:sz w:val="22"/>
          <w:szCs w:val="22"/>
        </w:rPr>
        <w:t xml:space="preserve"> works with communities to develop and diversify local </w:t>
      </w:r>
      <w:r w:rsidR="00DF2136" w:rsidRPr="00AC0A48">
        <w:rPr>
          <w:sz w:val="22"/>
          <w:szCs w:val="22"/>
        </w:rPr>
        <w:t>economies.</w:t>
      </w:r>
      <w:r w:rsidRPr="00AC0A48">
        <w:rPr>
          <w:sz w:val="22"/>
          <w:szCs w:val="22"/>
        </w:rPr>
        <w:t xml:space="preserve"> </w:t>
      </w:r>
      <w:proofErr w:type="spellStart"/>
      <w:r w:rsidRPr="00AC0A48">
        <w:rPr>
          <w:sz w:val="22"/>
          <w:szCs w:val="22"/>
        </w:rPr>
        <w:t>CanNor</w:t>
      </w:r>
      <w:proofErr w:type="spellEnd"/>
      <w:r w:rsidRPr="00AC0A48">
        <w:rPr>
          <w:sz w:val="22"/>
          <w:szCs w:val="22"/>
        </w:rPr>
        <w:t xml:space="preserve"> fosters growth and development in the North by delivering economic development programs and by collaborating with and aligning the efforts of partners in northern and southern Canada to respond to economic challenges and opportunities in the North. </w:t>
      </w:r>
      <w:r w:rsidR="007947BD" w:rsidRPr="00AC0A48">
        <w:rPr>
          <w:sz w:val="22"/>
          <w:szCs w:val="22"/>
        </w:rPr>
        <w:t>Northern Canada</w:t>
      </w:r>
      <w:r w:rsidRPr="00AC0A48">
        <w:rPr>
          <w:sz w:val="22"/>
          <w:szCs w:val="22"/>
        </w:rPr>
        <w:t xml:space="preserve"> include</w:t>
      </w:r>
      <w:r w:rsidR="007947BD" w:rsidRPr="00AC0A48">
        <w:rPr>
          <w:sz w:val="22"/>
          <w:szCs w:val="22"/>
        </w:rPr>
        <w:t>s</w:t>
      </w:r>
      <w:r w:rsidRPr="00AC0A48">
        <w:rPr>
          <w:sz w:val="22"/>
          <w:szCs w:val="22"/>
        </w:rPr>
        <w:t xml:space="preserve">: Yukon, Northwest Territories, and </w:t>
      </w:r>
      <w:r w:rsidR="002E5797" w:rsidRPr="00AC0A48">
        <w:rPr>
          <w:sz w:val="22"/>
          <w:szCs w:val="22"/>
        </w:rPr>
        <w:t>Nunavut</w:t>
      </w:r>
      <w:r w:rsidR="00AB1F80" w:rsidRPr="00AC0A48">
        <w:rPr>
          <w:sz w:val="22"/>
          <w:szCs w:val="22"/>
        </w:rPr>
        <w:t>.</w:t>
      </w:r>
    </w:p>
    <w:p w:rsidR="00367742" w:rsidRPr="00AC0A48" w:rsidRDefault="00E332BA" w:rsidP="00E332BA">
      <w:pPr>
        <w:pStyle w:val="Body"/>
        <w:rPr>
          <w:rFonts w:ascii="Times New Roman" w:hAnsi="Times New Roman"/>
          <w:b/>
          <w:bCs/>
          <w:color w:val="auto"/>
          <w:lang w:val="nl-NL"/>
        </w:rPr>
      </w:pPr>
      <w:r w:rsidRPr="00AC0A48">
        <w:rPr>
          <w:rFonts w:ascii="Times New Roman" w:hAnsi="Times New Roman"/>
          <w:b/>
          <w:bCs/>
          <w:color w:val="auto"/>
          <w:lang w:val="nl-NL"/>
        </w:rPr>
        <w:t xml:space="preserve"> </w:t>
      </w:r>
      <w:r w:rsidR="00367742" w:rsidRPr="00AC0A48">
        <w:rPr>
          <w:rFonts w:ascii="Times New Roman" w:hAnsi="Times New Roman"/>
          <w:b/>
          <w:bCs/>
          <w:color w:val="auto"/>
          <w:lang w:val="nl-NL"/>
        </w:rPr>
        <w:t xml:space="preserve">2. </w:t>
      </w:r>
      <w:r w:rsidRPr="00AC0A48">
        <w:rPr>
          <w:rFonts w:ascii="Times New Roman" w:hAnsi="Times New Roman"/>
          <w:b/>
          <w:color w:val="auto"/>
        </w:rPr>
        <w:t>Canadian Northern Economic Development Agency</w:t>
      </w:r>
      <w:r w:rsidRPr="00AC0A48">
        <w:rPr>
          <w:rFonts w:ascii="Times New Roman" w:hAnsi="Times New Roman"/>
          <w:color w:val="auto"/>
        </w:rPr>
        <w:t xml:space="preserve"> </w:t>
      </w:r>
      <w:r w:rsidR="00367742" w:rsidRPr="00AC0A48">
        <w:rPr>
          <w:rFonts w:ascii="Times New Roman" w:hAnsi="Times New Roman"/>
          <w:b/>
          <w:bCs/>
          <w:color w:val="auto"/>
          <w:lang w:val="nl-NL"/>
        </w:rPr>
        <w:t>R&amp;D Funding</w:t>
      </w:r>
    </w:p>
    <w:p w:rsidR="00367742" w:rsidRPr="00AC0A48" w:rsidRDefault="004909FA" w:rsidP="00152593">
      <w:pPr>
        <w:pStyle w:val="Body"/>
        <w:rPr>
          <w:rFonts w:ascii="Times New Roman" w:hAnsi="Times New Roman"/>
          <w:bCs/>
          <w:color w:val="auto"/>
          <w:lang w:val="nl-NL"/>
        </w:rPr>
      </w:pPr>
      <w:r w:rsidRPr="00AC0A48">
        <w:rPr>
          <w:rFonts w:ascii="Times New Roman" w:hAnsi="Times New Roman"/>
          <w:bCs/>
          <w:color w:val="auto"/>
          <w:lang w:val="nl-NL"/>
        </w:rPr>
        <w:t xml:space="preserve">CanNor’s Economic Development Program is the agency’s main source of R&amp;D for canadian enterprises, including both small and medium sized. CanNor initially kept a dinstinction between Community Development and Business Development; however, in 2015, these two programs were lumped into a larger program known as the Economic Development Program. The Business Development </w:t>
      </w:r>
      <w:r w:rsidR="00152593" w:rsidRPr="00AC0A48">
        <w:rPr>
          <w:rFonts w:ascii="Times New Roman" w:hAnsi="Times New Roman"/>
          <w:bCs/>
          <w:color w:val="auto"/>
          <w:lang w:val="nl-NL"/>
        </w:rPr>
        <w:t>sub-</w:t>
      </w:r>
      <w:r w:rsidRPr="00AC0A48">
        <w:rPr>
          <w:rFonts w:ascii="Times New Roman" w:hAnsi="Times New Roman"/>
          <w:bCs/>
          <w:color w:val="auto"/>
          <w:lang w:val="nl-NL"/>
        </w:rPr>
        <w:t>program activity supports the growth and expansion of northern businesses, including small and medium enterprises, through training, advisory services, and grants and contributions. The program activity’s objective is the encouragement of a competitive, diverse northern business sector with a strengthened capacity for innovation</w:t>
      </w:r>
      <w:r w:rsidR="00152593" w:rsidRPr="00AC0A48">
        <w:rPr>
          <w:rFonts w:ascii="Times New Roman" w:hAnsi="Times New Roman"/>
          <w:bCs/>
          <w:color w:val="auto"/>
          <w:lang w:val="nl-NL"/>
        </w:rPr>
        <w:t>. The Community Development sub-program activity supports community-level investments in infrastructure and organizations, and individual-level investments in skills and capacity development</w:t>
      </w:r>
      <w:r w:rsidR="009F1F09" w:rsidRPr="00AC0A48">
        <w:rPr>
          <w:rFonts w:ascii="Times New Roman" w:hAnsi="Times New Roman"/>
          <w:bCs/>
          <w:color w:val="auto"/>
          <w:lang w:val="nl-NL"/>
        </w:rPr>
        <w:t>.</w:t>
      </w:r>
    </w:p>
    <w:p w:rsidR="009F1F09" w:rsidRPr="00AC0A48" w:rsidRDefault="009F1F09" w:rsidP="009F1F09">
      <w:pPr>
        <w:pStyle w:val="Body"/>
        <w:rPr>
          <w:rFonts w:ascii="Times New Roman" w:hAnsi="Times New Roman"/>
          <w:bCs/>
          <w:color w:val="auto"/>
          <w:lang w:val="nl-NL"/>
        </w:rPr>
      </w:pPr>
      <w:r w:rsidRPr="00AC0A48">
        <w:rPr>
          <w:rFonts w:ascii="Times New Roman" w:hAnsi="Times New Roman"/>
          <w:bCs/>
          <w:color w:val="auto"/>
          <w:lang w:val="nl-NL"/>
        </w:rPr>
        <w:t>CanNor's suite of programs provide funding to support the development of key economic sectors such as mining, tourism, fisheries, cultural industries, and community and business development. These programs include: Strategic Investments in Northern Economic Development (SINED), Northern Aboriginal Economic Opportunities Program (NAEOP), Northern Adult Basic Education Program (NABEP), and Community Infrastructure Improvement Fund (CIIF)</w:t>
      </w:r>
      <w:r w:rsidR="007947BD" w:rsidRPr="00AC0A48">
        <w:rPr>
          <w:rFonts w:ascii="Times New Roman" w:hAnsi="Times New Roman"/>
          <w:bCs/>
          <w:color w:val="auto"/>
          <w:lang w:val="nl-NL"/>
        </w:rPr>
        <w:t>.</w:t>
      </w:r>
    </w:p>
    <w:p w:rsidR="007947BD" w:rsidRPr="00AC0A48" w:rsidRDefault="007947BD" w:rsidP="009F1F09">
      <w:pPr>
        <w:pStyle w:val="Body"/>
        <w:rPr>
          <w:rFonts w:ascii="Times New Roman" w:hAnsi="Times New Roman"/>
          <w:bCs/>
          <w:color w:val="auto"/>
          <w:lang w:val="nl-NL"/>
        </w:rPr>
      </w:pPr>
      <w:r w:rsidRPr="00AC0A48">
        <w:rPr>
          <w:rFonts w:ascii="Times New Roman" w:hAnsi="Times New Roman"/>
          <w:bCs/>
          <w:color w:val="auto"/>
          <w:lang w:val="nl-NL"/>
        </w:rPr>
        <w:t>An example of a success story from CanNor is the YuKonstruct Society, a non-profit organization located in Whitehorse, Yukon, received $167,500 in CanNor funding in 2016 to develop the YuKonstruct Makerspace: a collaborative, community-operated, multi-user workspace where northern entrepreneurs can gain access to the tools and equipment required for bringing</w:t>
      </w:r>
      <w:r w:rsidR="005C4120" w:rsidRPr="00AC0A48">
        <w:rPr>
          <w:rFonts w:ascii="Times New Roman" w:hAnsi="Times New Roman"/>
          <w:bCs/>
          <w:color w:val="auto"/>
          <w:lang w:val="nl-NL"/>
        </w:rPr>
        <w:t xml:space="preserve"> their innovative ideas to life</w:t>
      </w:r>
      <w:r w:rsidR="005C4120" w:rsidRPr="00AC0A48">
        <w:rPr>
          <w:rStyle w:val="FootnoteReference"/>
          <w:rFonts w:ascii="Times New Roman" w:hAnsi="Times New Roman"/>
          <w:bCs/>
          <w:color w:val="auto"/>
          <w:lang w:val="nl-NL"/>
        </w:rPr>
        <w:footnoteReference w:id="1"/>
      </w:r>
      <w:r w:rsidR="005C4120" w:rsidRPr="00AC0A48">
        <w:rPr>
          <w:rFonts w:ascii="Times New Roman" w:hAnsi="Times New Roman"/>
          <w:bCs/>
          <w:color w:val="auto"/>
          <w:lang w:val="nl-NL"/>
        </w:rPr>
        <w:t>.</w:t>
      </w:r>
      <w:r w:rsidRPr="00AC0A48">
        <w:rPr>
          <w:rFonts w:ascii="Times New Roman" w:hAnsi="Times New Roman"/>
          <w:bCs/>
          <w:color w:val="auto"/>
          <w:lang w:val="nl-NL"/>
        </w:rPr>
        <w:t xml:space="preserve">  </w:t>
      </w:r>
    </w:p>
    <w:p w:rsidR="00367742" w:rsidRPr="00AC0A48" w:rsidRDefault="00367742" w:rsidP="00367742">
      <w:pPr>
        <w:pStyle w:val="Body"/>
        <w:rPr>
          <w:rFonts w:ascii="Times New Roman" w:hAnsi="Times New Roman"/>
          <w:b/>
          <w:bCs/>
          <w:color w:val="auto"/>
          <w:lang w:val="nl-NL"/>
        </w:rPr>
      </w:pPr>
      <w:r w:rsidRPr="00AC0A48">
        <w:rPr>
          <w:rFonts w:ascii="Times New Roman" w:hAnsi="Times New Roman"/>
          <w:b/>
          <w:bCs/>
          <w:color w:val="auto"/>
          <w:lang w:val="nl-NL"/>
        </w:rPr>
        <w:t>3. Interesting Features and Potential Natural Experiments</w:t>
      </w:r>
    </w:p>
    <w:p w:rsidR="00367742" w:rsidRPr="00AC0A48" w:rsidRDefault="00DF2136" w:rsidP="00367742">
      <w:pPr>
        <w:pStyle w:val="Body"/>
        <w:rPr>
          <w:rFonts w:ascii="Times New Roman" w:hAnsi="Times New Roman"/>
          <w:bCs/>
          <w:color w:val="auto"/>
          <w:lang w:val="nl-NL"/>
        </w:rPr>
      </w:pPr>
      <w:r w:rsidRPr="00AC0A48">
        <w:rPr>
          <w:rFonts w:ascii="Times New Roman" w:hAnsi="Times New Roman"/>
          <w:bCs/>
          <w:color w:val="auto"/>
          <w:lang w:val="nl-NL"/>
        </w:rPr>
        <w:t>Much of the discrepncies between planned and actual spending behind CanNor is due to their grant programs receiving far more money than expected</w:t>
      </w:r>
      <w:r w:rsidR="00367742" w:rsidRPr="00AC0A48">
        <w:rPr>
          <w:rFonts w:ascii="Times New Roman" w:hAnsi="Times New Roman"/>
          <w:bCs/>
          <w:color w:val="auto"/>
          <w:lang w:val="nl-NL"/>
        </w:rPr>
        <w:t>.</w:t>
      </w:r>
      <w:r w:rsidR="00E0672B" w:rsidRPr="00AC0A48">
        <w:rPr>
          <w:rFonts w:ascii="Times New Roman" w:hAnsi="Times New Roman"/>
          <w:bCs/>
          <w:color w:val="auto"/>
          <w:lang w:val="nl-NL"/>
        </w:rPr>
        <w:t xml:space="preserve"> </w:t>
      </w:r>
    </w:p>
    <w:p w:rsidR="00EE58D5" w:rsidRPr="00AC0A48" w:rsidRDefault="004A0F83" w:rsidP="00C9723B">
      <w:pPr>
        <w:pStyle w:val="Body"/>
        <w:rPr>
          <w:rFonts w:ascii="Times New Roman" w:hAnsi="Times New Roman"/>
          <w:bCs/>
          <w:color w:val="auto"/>
          <w:lang w:val="nl-NL"/>
        </w:rPr>
      </w:pPr>
      <w:r w:rsidRPr="00AC0A48">
        <w:rPr>
          <w:rFonts w:ascii="Times New Roman" w:hAnsi="Times New Roman"/>
          <w:bCs/>
          <w:color w:val="auto"/>
          <w:lang w:val="nl-NL"/>
        </w:rPr>
        <w:t>In 2014, 35% of SINED funding was focused on leveraging opportunities in the mining and energy sectors, 65% was directed at strengthening economic development in other sectors</w:t>
      </w:r>
      <w:r w:rsidRPr="00AC0A48">
        <w:rPr>
          <w:rStyle w:val="FootnoteReference"/>
          <w:rFonts w:ascii="Times New Roman" w:hAnsi="Times New Roman"/>
          <w:bCs/>
          <w:color w:val="auto"/>
          <w:lang w:val="nl-NL"/>
        </w:rPr>
        <w:footnoteReference w:id="2"/>
      </w:r>
      <w:r w:rsidRPr="00AC0A48">
        <w:rPr>
          <w:rFonts w:ascii="Times New Roman" w:hAnsi="Times New Roman"/>
          <w:bCs/>
          <w:color w:val="auto"/>
          <w:lang w:val="nl-NL"/>
        </w:rPr>
        <w:t>.</w:t>
      </w:r>
    </w:p>
    <w:p w:rsidR="00EE58D5" w:rsidRPr="00AC0A48" w:rsidRDefault="00EE58D5"/>
    <w:p w:rsidR="00C9723B" w:rsidRPr="00AC0A48" w:rsidRDefault="00C9723B">
      <w:pPr>
        <w:sectPr w:rsidR="00C9723B" w:rsidRPr="00AC0A48">
          <w:pgSz w:w="12240" w:h="15840"/>
          <w:pgMar w:top="1440" w:right="1440" w:bottom="1440" w:left="1440" w:header="720" w:footer="720" w:gutter="0"/>
          <w:cols w:space="720"/>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3"/>
        <w:gridCol w:w="757"/>
        <w:gridCol w:w="757"/>
        <w:gridCol w:w="757"/>
        <w:gridCol w:w="757"/>
        <w:gridCol w:w="757"/>
        <w:gridCol w:w="757"/>
        <w:gridCol w:w="757"/>
      </w:tblGrid>
      <w:tr w:rsidR="00AC0A48" w:rsidRPr="00AC0A48" w:rsidTr="001359B4">
        <w:trPr>
          <w:trHeight w:val="582"/>
          <w:jc w:val="center"/>
        </w:trPr>
        <w:tc>
          <w:tcPr>
            <w:tcW w:w="0" w:type="auto"/>
            <w:gridSpan w:val="8"/>
            <w:tcBorders>
              <w:top w:val="single" w:sz="4" w:space="0" w:color="auto"/>
              <w:bottom w:val="single" w:sz="4" w:space="0" w:color="auto"/>
            </w:tcBorders>
            <w:vAlign w:val="center"/>
          </w:tcPr>
          <w:p w:rsidR="00C9723B" w:rsidRPr="00AC0A48" w:rsidRDefault="00C9723B" w:rsidP="001359B4">
            <w:pPr>
              <w:jc w:val="center"/>
              <w:rPr>
                <w:b/>
                <w:sz w:val="20"/>
                <w:szCs w:val="20"/>
              </w:rPr>
            </w:pPr>
            <w:proofErr w:type="spellStart"/>
            <w:r w:rsidRPr="00AC0A48">
              <w:rPr>
                <w:b/>
                <w:sz w:val="20"/>
                <w:szCs w:val="20"/>
              </w:rPr>
              <w:lastRenderedPageBreak/>
              <w:t>CanNor</w:t>
            </w:r>
            <w:proofErr w:type="spellEnd"/>
            <w:r w:rsidRPr="00AC0A48">
              <w:rPr>
                <w:b/>
                <w:sz w:val="20"/>
                <w:szCs w:val="20"/>
              </w:rPr>
              <w:t xml:space="preserve"> Annual Expenditures Towards Economic Development (in millions CAD)</w:t>
            </w:r>
            <w:r w:rsidRPr="00AC0A48">
              <w:rPr>
                <w:rStyle w:val="FootnoteReference"/>
                <w:b/>
                <w:sz w:val="20"/>
                <w:szCs w:val="20"/>
              </w:rPr>
              <w:footnoteReference w:id="3"/>
            </w:r>
          </w:p>
        </w:tc>
      </w:tr>
      <w:tr w:rsidR="00AC0A48" w:rsidRPr="00AC0A48" w:rsidTr="001359B4">
        <w:trPr>
          <w:trHeight w:val="582"/>
          <w:jc w:val="center"/>
        </w:trPr>
        <w:tc>
          <w:tcPr>
            <w:tcW w:w="0" w:type="auto"/>
            <w:tcBorders>
              <w:top w:val="single" w:sz="4" w:space="0" w:color="auto"/>
              <w:bottom w:val="single" w:sz="4" w:space="0" w:color="auto"/>
            </w:tcBorders>
            <w:vAlign w:val="center"/>
          </w:tcPr>
          <w:p w:rsidR="00C9723B" w:rsidRPr="00AC0A48" w:rsidRDefault="00C9723B" w:rsidP="001359B4">
            <w:pPr>
              <w:jc w:val="center"/>
              <w:rPr>
                <w:sz w:val="20"/>
                <w:szCs w:val="20"/>
              </w:rPr>
            </w:pPr>
          </w:p>
        </w:tc>
        <w:tc>
          <w:tcPr>
            <w:tcW w:w="0" w:type="auto"/>
            <w:tcBorders>
              <w:top w:val="single" w:sz="4" w:space="0" w:color="auto"/>
              <w:bottom w:val="single" w:sz="4" w:space="0" w:color="auto"/>
            </w:tcBorders>
            <w:vAlign w:val="center"/>
          </w:tcPr>
          <w:p w:rsidR="00C9723B" w:rsidRPr="00AC0A48" w:rsidRDefault="00C9723B" w:rsidP="001359B4">
            <w:pPr>
              <w:jc w:val="center"/>
              <w:rPr>
                <w:b/>
                <w:sz w:val="20"/>
                <w:szCs w:val="20"/>
              </w:rPr>
            </w:pPr>
            <w:r w:rsidRPr="00AC0A48">
              <w:rPr>
                <w:b/>
                <w:sz w:val="20"/>
                <w:szCs w:val="20"/>
              </w:rPr>
              <w:t>2010</w:t>
            </w:r>
          </w:p>
        </w:tc>
        <w:tc>
          <w:tcPr>
            <w:tcW w:w="0" w:type="auto"/>
            <w:tcBorders>
              <w:top w:val="single" w:sz="4" w:space="0" w:color="auto"/>
              <w:bottom w:val="single" w:sz="4" w:space="0" w:color="auto"/>
            </w:tcBorders>
            <w:vAlign w:val="center"/>
          </w:tcPr>
          <w:p w:rsidR="00C9723B" w:rsidRPr="00AC0A48" w:rsidRDefault="00C9723B" w:rsidP="001359B4">
            <w:pPr>
              <w:jc w:val="center"/>
              <w:rPr>
                <w:b/>
                <w:sz w:val="20"/>
                <w:szCs w:val="20"/>
              </w:rPr>
            </w:pPr>
            <w:r w:rsidRPr="00AC0A48">
              <w:rPr>
                <w:b/>
                <w:sz w:val="20"/>
                <w:szCs w:val="20"/>
              </w:rPr>
              <w:t>2011</w:t>
            </w:r>
          </w:p>
        </w:tc>
        <w:tc>
          <w:tcPr>
            <w:tcW w:w="0" w:type="auto"/>
            <w:tcBorders>
              <w:top w:val="single" w:sz="4" w:space="0" w:color="auto"/>
              <w:bottom w:val="single" w:sz="4" w:space="0" w:color="auto"/>
            </w:tcBorders>
            <w:vAlign w:val="center"/>
          </w:tcPr>
          <w:p w:rsidR="00C9723B" w:rsidRPr="00AC0A48" w:rsidRDefault="00C9723B" w:rsidP="001359B4">
            <w:pPr>
              <w:jc w:val="center"/>
              <w:rPr>
                <w:b/>
                <w:sz w:val="20"/>
                <w:szCs w:val="20"/>
              </w:rPr>
            </w:pPr>
            <w:r w:rsidRPr="00AC0A48">
              <w:rPr>
                <w:b/>
                <w:sz w:val="20"/>
                <w:szCs w:val="20"/>
              </w:rPr>
              <w:t>2012</w:t>
            </w:r>
          </w:p>
        </w:tc>
        <w:tc>
          <w:tcPr>
            <w:tcW w:w="0" w:type="auto"/>
            <w:tcBorders>
              <w:top w:val="single" w:sz="4" w:space="0" w:color="auto"/>
              <w:bottom w:val="single" w:sz="4" w:space="0" w:color="auto"/>
            </w:tcBorders>
            <w:vAlign w:val="center"/>
          </w:tcPr>
          <w:p w:rsidR="00C9723B" w:rsidRPr="00AC0A48" w:rsidRDefault="00C9723B" w:rsidP="001359B4">
            <w:pPr>
              <w:jc w:val="center"/>
              <w:rPr>
                <w:b/>
                <w:sz w:val="20"/>
                <w:szCs w:val="20"/>
              </w:rPr>
            </w:pPr>
            <w:r w:rsidRPr="00AC0A48">
              <w:rPr>
                <w:b/>
                <w:sz w:val="20"/>
                <w:szCs w:val="20"/>
              </w:rPr>
              <w:t>2013</w:t>
            </w:r>
          </w:p>
        </w:tc>
        <w:tc>
          <w:tcPr>
            <w:tcW w:w="0" w:type="auto"/>
            <w:tcBorders>
              <w:top w:val="single" w:sz="4" w:space="0" w:color="auto"/>
              <w:bottom w:val="single" w:sz="4" w:space="0" w:color="auto"/>
            </w:tcBorders>
            <w:vAlign w:val="center"/>
          </w:tcPr>
          <w:p w:rsidR="00C9723B" w:rsidRPr="00AC0A48" w:rsidRDefault="00C9723B" w:rsidP="001359B4">
            <w:pPr>
              <w:jc w:val="center"/>
              <w:rPr>
                <w:b/>
                <w:sz w:val="20"/>
                <w:szCs w:val="20"/>
              </w:rPr>
            </w:pPr>
            <w:r w:rsidRPr="00AC0A48">
              <w:rPr>
                <w:b/>
                <w:sz w:val="20"/>
                <w:szCs w:val="20"/>
              </w:rPr>
              <w:t>2014</w:t>
            </w:r>
          </w:p>
        </w:tc>
        <w:tc>
          <w:tcPr>
            <w:tcW w:w="0" w:type="auto"/>
            <w:tcBorders>
              <w:top w:val="single" w:sz="4" w:space="0" w:color="auto"/>
              <w:bottom w:val="single" w:sz="4" w:space="0" w:color="auto"/>
            </w:tcBorders>
            <w:vAlign w:val="center"/>
          </w:tcPr>
          <w:p w:rsidR="00C9723B" w:rsidRPr="00AC0A48" w:rsidRDefault="00C9723B" w:rsidP="001359B4">
            <w:pPr>
              <w:jc w:val="center"/>
              <w:rPr>
                <w:b/>
                <w:sz w:val="20"/>
                <w:szCs w:val="20"/>
              </w:rPr>
            </w:pPr>
            <w:r w:rsidRPr="00AC0A48">
              <w:rPr>
                <w:b/>
                <w:sz w:val="20"/>
                <w:szCs w:val="20"/>
              </w:rPr>
              <w:t>2015</w:t>
            </w:r>
          </w:p>
        </w:tc>
        <w:tc>
          <w:tcPr>
            <w:tcW w:w="0" w:type="auto"/>
            <w:tcBorders>
              <w:top w:val="single" w:sz="4" w:space="0" w:color="auto"/>
              <w:bottom w:val="single" w:sz="4" w:space="0" w:color="auto"/>
            </w:tcBorders>
            <w:vAlign w:val="center"/>
          </w:tcPr>
          <w:p w:rsidR="00C9723B" w:rsidRPr="00AC0A48" w:rsidRDefault="00C9723B" w:rsidP="001359B4">
            <w:pPr>
              <w:jc w:val="center"/>
              <w:rPr>
                <w:b/>
                <w:sz w:val="20"/>
                <w:szCs w:val="20"/>
              </w:rPr>
            </w:pPr>
            <w:r w:rsidRPr="00AC0A48">
              <w:rPr>
                <w:b/>
                <w:sz w:val="20"/>
                <w:szCs w:val="20"/>
              </w:rPr>
              <w:t>2016</w:t>
            </w:r>
          </w:p>
        </w:tc>
      </w:tr>
      <w:tr w:rsidR="00AC0A48" w:rsidRPr="00AC0A48" w:rsidTr="001359B4">
        <w:trPr>
          <w:trHeight w:val="299"/>
          <w:jc w:val="center"/>
        </w:trPr>
        <w:tc>
          <w:tcPr>
            <w:tcW w:w="0" w:type="auto"/>
            <w:tcBorders>
              <w:top w:val="single" w:sz="4" w:space="0" w:color="auto"/>
            </w:tcBorders>
            <w:vAlign w:val="center"/>
          </w:tcPr>
          <w:p w:rsidR="00C9723B" w:rsidRPr="00AC0A48" w:rsidRDefault="00C9723B" w:rsidP="001359B4">
            <w:pPr>
              <w:rPr>
                <w:b/>
                <w:sz w:val="18"/>
                <w:szCs w:val="18"/>
              </w:rPr>
            </w:pPr>
            <w:r w:rsidRPr="00AC0A48">
              <w:rPr>
                <w:b/>
                <w:sz w:val="18"/>
                <w:szCs w:val="18"/>
              </w:rPr>
              <w:t>Planned Spending</w:t>
            </w:r>
          </w:p>
        </w:tc>
        <w:tc>
          <w:tcPr>
            <w:tcW w:w="0" w:type="auto"/>
            <w:tcBorders>
              <w:top w:val="single" w:sz="4" w:space="0" w:color="auto"/>
            </w:tcBorders>
            <w:vAlign w:val="center"/>
          </w:tcPr>
          <w:p w:rsidR="00C9723B" w:rsidRPr="00AC0A48" w:rsidRDefault="00C9723B" w:rsidP="001359B4">
            <w:pPr>
              <w:rPr>
                <w:sz w:val="20"/>
                <w:szCs w:val="20"/>
              </w:rPr>
            </w:pPr>
            <w:r w:rsidRPr="00AC0A48">
              <w:rPr>
                <w:sz w:val="20"/>
                <w:szCs w:val="20"/>
              </w:rPr>
              <w:t>53.7</w:t>
            </w:r>
          </w:p>
        </w:tc>
        <w:tc>
          <w:tcPr>
            <w:tcW w:w="0" w:type="auto"/>
            <w:tcBorders>
              <w:top w:val="single" w:sz="4" w:space="0" w:color="auto"/>
            </w:tcBorders>
            <w:vAlign w:val="center"/>
          </w:tcPr>
          <w:p w:rsidR="00C9723B" w:rsidRPr="00AC0A48" w:rsidRDefault="00C9723B" w:rsidP="001359B4">
            <w:pPr>
              <w:jc w:val="center"/>
              <w:rPr>
                <w:sz w:val="20"/>
                <w:szCs w:val="20"/>
              </w:rPr>
            </w:pPr>
            <w:r w:rsidRPr="00AC0A48">
              <w:rPr>
                <w:sz w:val="20"/>
                <w:szCs w:val="20"/>
              </w:rPr>
              <w:t>36.9</w:t>
            </w:r>
          </w:p>
        </w:tc>
        <w:tc>
          <w:tcPr>
            <w:tcW w:w="0" w:type="auto"/>
            <w:tcBorders>
              <w:top w:val="single" w:sz="4" w:space="0" w:color="auto"/>
            </w:tcBorders>
            <w:vAlign w:val="center"/>
          </w:tcPr>
          <w:p w:rsidR="00C9723B" w:rsidRPr="00AC0A48" w:rsidRDefault="00C9723B" w:rsidP="001359B4">
            <w:pPr>
              <w:jc w:val="center"/>
              <w:rPr>
                <w:sz w:val="20"/>
                <w:szCs w:val="20"/>
              </w:rPr>
            </w:pPr>
            <w:r w:rsidRPr="00AC0A48">
              <w:rPr>
                <w:sz w:val="20"/>
                <w:szCs w:val="20"/>
              </w:rPr>
              <w:t>41.5</w:t>
            </w:r>
          </w:p>
        </w:tc>
        <w:tc>
          <w:tcPr>
            <w:tcW w:w="0" w:type="auto"/>
            <w:tcBorders>
              <w:top w:val="single" w:sz="4" w:space="0" w:color="auto"/>
            </w:tcBorders>
            <w:vAlign w:val="center"/>
          </w:tcPr>
          <w:p w:rsidR="00C9723B" w:rsidRPr="00AC0A48" w:rsidRDefault="00C9723B" w:rsidP="001359B4">
            <w:pPr>
              <w:jc w:val="center"/>
              <w:rPr>
                <w:sz w:val="20"/>
                <w:szCs w:val="20"/>
              </w:rPr>
            </w:pPr>
            <w:r w:rsidRPr="00AC0A48">
              <w:rPr>
                <w:sz w:val="20"/>
                <w:szCs w:val="20"/>
              </w:rPr>
              <w:t>42.9</w:t>
            </w:r>
          </w:p>
        </w:tc>
        <w:tc>
          <w:tcPr>
            <w:tcW w:w="0" w:type="auto"/>
            <w:tcBorders>
              <w:top w:val="single" w:sz="4" w:space="0" w:color="auto"/>
            </w:tcBorders>
            <w:vAlign w:val="center"/>
          </w:tcPr>
          <w:p w:rsidR="00C9723B" w:rsidRPr="00AC0A48" w:rsidRDefault="00C9723B" w:rsidP="001359B4">
            <w:pPr>
              <w:jc w:val="center"/>
              <w:rPr>
                <w:sz w:val="20"/>
                <w:szCs w:val="20"/>
              </w:rPr>
            </w:pPr>
            <w:r w:rsidRPr="00AC0A48">
              <w:rPr>
                <w:sz w:val="20"/>
                <w:szCs w:val="20"/>
              </w:rPr>
              <w:t>22.1</w:t>
            </w:r>
          </w:p>
        </w:tc>
        <w:tc>
          <w:tcPr>
            <w:tcW w:w="0" w:type="auto"/>
            <w:tcBorders>
              <w:top w:val="single" w:sz="4" w:space="0" w:color="auto"/>
            </w:tcBorders>
          </w:tcPr>
          <w:p w:rsidR="00C9723B" w:rsidRPr="00AC0A48" w:rsidRDefault="00C9723B" w:rsidP="001359B4">
            <w:pPr>
              <w:jc w:val="center"/>
              <w:rPr>
                <w:sz w:val="20"/>
                <w:szCs w:val="20"/>
              </w:rPr>
            </w:pPr>
            <w:r w:rsidRPr="00AC0A48">
              <w:rPr>
                <w:sz w:val="20"/>
                <w:szCs w:val="20"/>
              </w:rPr>
              <w:t>40.5</w:t>
            </w:r>
          </w:p>
        </w:tc>
        <w:tc>
          <w:tcPr>
            <w:tcW w:w="0" w:type="auto"/>
            <w:tcBorders>
              <w:top w:val="single" w:sz="4" w:space="0" w:color="auto"/>
            </w:tcBorders>
          </w:tcPr>
          <w:p w:rsidR="00C9723B" w:rsidRPr="00AC0A48" w:rsidRDefault="00C9723B" w:rsidP="001359B4">
            <w:pPr>
              <w:jc w:val="center"/>
              <w:rPr>
                <w:sz w:val="20"/>
                <w:szCs w:val="20"/>
              </w:rPr>
            </w:pPr>
            <w:r w:rsidRPr="00AC0A48">
              <w:rPr>
                <w:sz w:val="20"/>
                <w:szCs w:val="20"/>
              </w:rPr>
              <w:t>18.1</w:t>
            </w:r>
          </w:p>
        </w:tc>
      </w:tr>
      <w:tr w:rsidR="00AC0A48" w:rsidRPr="00AC0A48" w:rsidTr="001359B4">
        <w:trPr>
          <w:trHeight w:val="282"/>
          <w:jc w:val="center"/>
        </w:trPr>
        <w:tc>
          <w:tcPr>
            <w:tcW w:w="0" w:type="auto"/>
            <w:vAlign w:val="center"/>
          </w:tcPr>
          <w:p w:rsidR="00C9723B" w:rsidRPr="00AC0A48" w:rsidRDefault="00C9723B" w:rsidP="001359B4">
            <w:pPr>
              <w:jc w:val="center"/>
              <w:rPr>
                <w:b/>
                <w:sz w:val="18"/>
                <w:szCs w:val="18"/>
              </w:rPr>
            </w:pPr>
            <w:r w:rsidRPr="00AC0A48">
              <w:rPr>
                <w:b/>
                <w:sz w:val="18"/>
                <w:szCs w:val="18"/>
              </w:rPr>
              <w:t>Actual Spending</w:t>
            </w:r>
          </w:p>
        </w:tc>
        <w:tc>
          <w:tcPr>
            <w:tcW w:w="0" w:type="auto"/>
            <w:vAlign w:val="center"/>
          </w:tcPr>
          <w:p w:rsidR="00C9723B" w:rsidRPr="00AC0A48" w:rsidRDefault="00C9723B" w:rsidP="001359B4">
            <w:pPr>
              <w:rPr>
                <w:sz w:val="20"/>
                <w:szCs w:val="20"/>
              </w:rPr>
            </w:pPr>
            <w:r w:rsidRPr="00AC0A48">
              <w:rPr>
                <w:sz w:val="20"/>
                <w:szCs w:val="20"/>
              </w:rPr>
              <w:t>48.1</w:t>
            </w:r>
          </w:p>
        </w:tc>
        <w:tc>
          <w:tcPr>
            <w:tcW w:w="0" w:type="auto"/>
            <w:vAlign w:val="center"/>
          </w:tcPr>
          <w:p w:rsidR="00C9723B" w:rsidRPr="00AC0A48" w:rsidRDefault="00C9723B" w:rsidP="001359B4">
            <w:pPr>
              <w:jc w:val="center"/>
              <w:rPr>
                <w:sz w:val="20"/>
                <w:szCs w:val="20"/>
              </w:rPr>
            </w:pPr>
            <w:r w:rsidRPr="00AC0A48">
              <w:rPr>
                <w:sz w:val="20"/>
                <w:szCs w:val="20"/>
              </w:rPr>
              <w:t>36.8</w:t>
            </w:r>
          </w:p>
        </w:tc>
        <w:tc>
          <w:tcPr>
            <w:tcW w:w="0" w:type="auto"/>
            <w:vAlign w:val="center"/>
          </w:tcPr>
          <w:p w:rsidR="00C9723B" w:rsidRPr="00AC0A48" w:rsidRDefault="00C9723B" w:rsidP="001359B4">
            <w:pPr>
              <w:jc w:val="center"/>
              <w:rPr>
                <w:sz w:val="20"/>
                <w:szCs w:val="20"/>
              </w:rPr>
            </w:pPr>
            <w:r w:rsidRPr="00AC0A48">
              <w:rPr>
                <w:sz w:val="20"/>
                <w:szCs w:val="20"/>
              </w:rPr>
              <w:t>43</w:t>
            </w:r>
          </w:p>
        </w:tc>
        <w:tc>
          <w:tcPr>
            <w:tcW w:w="0" w:type="auto"/>
            <w:vAlign w:val="center"/>
          </w:tcPr>
          <w:p w:rsidR="00C9723B" w:rsidRPr="00AC0A48" w:rsidRDefault="00C9723B" w:rsidP="001359B4">
            <w:pPr>
              <w:jc w:val="center"/>
              <w:rPr>
                <w:sz w:val="20"/>
                <w:szCs w:val="20"/>
              </w:rPr>
            </w:pPr>
            <w:r w:rsidRPr="00AC0A48">
              <w:rPr>
                <w:sz w:val="20"/>
                <w:szCs w:val="20"/>
              </w:rPr>
              <w:t>40.9</w:t>
            </w:r>
          </w:p>
        </w:tc>
        <w:tc>
          <w:tcPr>
            <w:tcW w:w="0" w:type="auto"/>
            <w:vAlign w:val="center"/>
          </w:tcPr>
          <w:p w:rsidR="00C9723B" w:rsidRPr="00AC0A48" w:rsidRDefault="00C9723B" w:rsidP="001359B4">
            <w:pPr>
              <w:jc w:val="center"/>
              <w:rPr>
                <w:sz w:val="20"/>
                <w:szCs w:val="20"/>
              </w:rPr>
            </w:pPr>
            <w:r w:rsidRPr="00AC0A48">
              <w:rPr>
                <w:sz w:val="20"/>
                <w:szCs w:val="20"/>
              </w:rPr>
              <w:t>38.6</w:t>
            </w:r>
          </w:p>
        </w:tc>
        <w:tc>
          <w:tcPr>
            <w:tcW w:w="0" w:type="auto"/>
            <w:vAlign w:val="center"/>
          </w:tcPr>
          <w:p w:rsidR="00C9723B" w:rsidRPr="00AC0A48" w:rsidRDefault="00C9723B" w:rsidP="001359B4">
            <w:pPr>
              <w:jc w:val="center"/>
              <w:rPr>
                <w:sz w:val="20"/>
                <w:szCs w:val="20"/>
              </w:rPr>
            </w:pPr>
            <w:r w:rsidRPr="00AC0A48">
              <w:rPr>
                <w:sz w:val="20"/>
                <w:szCs w:val="20"/>
              </w:rPr>
              <w:t>36.7</w:t>
            </w:r>
          </w:p>
        </w:tc>
        <w:tc>
          <w:tcPr>
            <w:tcW w:w="0" w:type="auto"/>
          </w:tcPr>
          <w:p w:rsidR="00C9723B" w:rsidRPr="00AC0A48" w:rsidRDefault="00C9723B" w:rsidP="001359B4">
            <w:pPr>
              <w:jc w:val="center"/>
              <w:rPr>
                <w:sz w:val="20"/>
                <w:szCs w:val="20"/>
              </w:rPr>
            </w:pPr>
            <w:r w:rsidRPr="00AC0A48">
              <w:rPr>
                <w:sz w:val="20"/>
                <w:szCs w:val="20"/>
              </w:rPr>
              <w:t>44.9</w:t>
            </w:r>
          </w:p>
        </w:tc>
      </w:tr>
      <w:tr w:rsidR="00AC0A48" w:rsidRPr="00AC0A48" w:rsidTr="001359B4">
        <w:trPr>
          <w:trHeight w:val="282"/>
          <w:jc w:val="center"/>
        </w:trPr>
        <w:tc>
          <w:tcPr>
            <w:tcW w:w="0" w:type="auto"/>
            <w:vAlign w:val="center"/>
          </w:tcPr>
          <w:p w:rsidR="00C9723B" w:rsidRPr="00AC0A48" w:rsidRDefault="00C9723B" w:rsidP="001359B4">
            <w:pPr>
              <w:jc w:val="center"/>
              <w:rPr>
                <w:i/>
                <w:sz w:val="20"/>
                <w:szCs w:val="20"/>
              </w:rPr>
            </w:pPr>
          </w:p>
        </w:tc>
        <w:tc>
          <w:tcPr>
            <w:tcW w:w="0" w:type="auto"/>
            <w:vAlign w:val="center"/>
          </w:tcPr>
          <w:p w:rsidR="00C9723B" w:rsidRPr="00AC0A48" w:rsidRDefault="00C9723B" w:rsidP="001359B4">
            <w:pPr>
              <w:rPr>
                <w:sz w:val="20"/>
                <w:szCs w:val="20"/>
              </w:rPr>
            </w:pPr>
          </w:p>
        </w:tc>
        <w:tc>
          <w:tcPr>
            <w:tcW w:w="0" w:type="auto"/>
            <w:vAlign w:val="center"/>
          </w:tcPr>
          <w:p w:rsidR="00C9723B" w:rsidRPr="00AC0A48" w:rsidRDefault="00C9723B" w:rsidP="001359B4">
            <w:pPr>
              <w:jc w:val="center"/>
              <w:rPr>
                <w:sz w:val="20"/>
                <w:szCs w:val="20"/>
              </w:rPr>
            </w:pPr>
          </w:p>
        </w:tc>
        <w:tc>
          <w:tcPr>
            <w:tcW w:w="0" w:type="auto"/>
            <w:vAlign w:val="center"/>
          </w:tcPr>
          <w:p w:rsidR="00C9723B" w:rsidRPr="00AC0A48" w:rsidRDefault="00C9723B" w:rsidP="001359B4">
            <w:pPr>
              <w:jc w:val="center"/>
              <w:rPr>
                <w:sz w:val="20"/>
                <w:szCs w:val="20"/>
              </w:rPr>
            </w:pPr>
          </w:p>
        </w:tc>
        <w:tc>
          <w:tcPr>
            <w:tcW w:w="0" w:type="auto"/>
            <w:vAlign w:val="center"/>
          </w:tcPr>
          <w:p w:rsidR="00C9723B" w:rsidRPr="00AC0A48" w:rsidRDefault="00C9723B" w:rsidP="001359B4">
            <w:pPr>
              <w:jc w:val="center"/>
              <w:rPr>
                <w:sz w:val="20"/>
                <w:szCs w:val="20"/>
              </w:rPr>
            </w:pPr>
          </w:p>
        </w:tc>
        <w:tc>
          <w:tcPr>
            <w:tcW w:w="0" w:type="auto"/>
            <w:vAlign w:val="center"/>
          </w:tcPr>
          <w:p w:rsidR="00C9723B" w:rsidRPr="00AC0A48" w:rsidRDefault="00C9723B" w:rsidP="001359B4">
            <w:pPr>
              <w:jc w:val="center"/>
              <w:rPr>
                <w:sz w:val="20"/>
                <w:szCs w:val="20"/>
              </w:rPr>
            </w:pPr>
          </w:p>
        </w:tc>
        <w:tc>
          <w:tcPr>
            <w:tcW w:w="0" w:type="auto"/>
            <w:vAlign w:val="center"/>
          </w:tcPr>
          <w:p w:rsidR="00C9723B" w:rsidRPr="00AC0A48" w:rsidRDefault="00C9723B" w:rsidP="001359B4">
            <w:pPr>
              <w:jc w:val="center"/>
              <w:rPr>
                <w:sz w:val="20"/>
                <w:szCs w:val="20"/>
              </w:rPr>
            </w:pPr>
          </w:p>
        </w:tc>
        <w:tc>
          <w:tcPr>
            <w:tcW w:w="0" w:type="auto"/>
          </w:tcPr>
          <w:p w:rsidR="00C9723B" w:rsidRPr="00AC0A48" w:rsidRDefault="00C9723B" w:rsidP="001359B4">
            <w:pPr>
              <w:jc w:val="center"/>
              <w:rPr>
                <w:sz w:val="20"/>
                <w:szCs w:val="20"/>
              </w:rPr>
            </w:pPr>
          </w:p>
        </w:tc>
      </w:tr>
      <w:tr w:rsidR="00AC0A48" w:rsidRPr="00AC0A48" w:rsidTr="001359B4">
        <w:trPr>
          <w:trHeight w:val="282"/>
          <w:jc w:val="center"/>
        </w:trPr>
        <w:tc>
          <w:tcPr>
            <w:tcW w:w="0" w:type="auto"/>
            <w:vAlign w:val="center"/>
          </w:tcPr>
          <w:p w:rsidR="00C9723B" w:rsidRPr="00AC0A48" w:rsidRDefault="00C9723B" w:rsidP="001359B4">
            <w:pPr>
              <w:jc w:val="center"/>
              <w:rPr>
                <w:sz w:val="20"/>
                <w:szCs w:val="20"/>
              </w:rPr>
            </w:pPr>
          </w:p>
        </w:tc>
        <w:tc>
          <w:tcPr>
            <w:tcW w:w="0" w:type="auto"/>
            <w:vAlign w:val="center"/>
          </w:tcPr>
          <w:p w:rsidR="00C9723B" w:rsidRPr="00AC0A48" w:rsidRDefault="00C9723B" w:rsidP="001359B4">
            <w:pPr>
              <w:rPr>
                <w:sz w:val="20"/>
                <w:szCs w:val="20"/>
              </w:rPr>
            </w:pPr>
          </w:p>
        </w:tc>
        <w:tc>
          <w:tcPr>
            <w:tcW w:w="0" w:type="auto"/>
            <w:vAlign w:val="center"/>
          </w:tcPr>
          <w:p w:rsidR="00C9723B" w:rsidRPr="00AC0A48" w:rsidRDefault="00C9723B" w:rsidP="001359B4">
            <w:pPr>
              <w:jc w:val="center"/>
              <w:rPr>
                <w:sz w:val="20"/>
                <w:szCs w:val="20"/>
              </w:rPr>
            </w:pPr>
          </w:p>
        </w:tc>
        <w:tc>
          <w:tcPr>
            <w:tcW w:w="0" w:type="auto"/>
            <w:vAlign w:val="center"/>
          </w:tcPr>
          <w:p w:rsidR="00C9723B" w:rsidRPr="00AC0A48" w:rsidRDefault="00C9723B" w:rsidP="001359B4">
            <w:pPr>
              <w:jc w:val="center"/>
              <w:rPr>
                <w:sz w:val="20"/>
                <w:szCs w:val="20"/>
              </w:rPr>
            </w:pPr>
          </w:p>
        </w:tc>
        <w:tc>
          <w:tcPr>
            <w:tcW w:w="0" w:type="auto"/>
            <w:vAlign w:val="center"/>
          </w:tcPr>
          <w:p w:rsidR="00C9723B" w:rsidRPr="00AC0A48" w:rsidRDefault="00C9723B" w:rsidP="001359B4">
            <w:pPr>
              <w:jc w:val="center"/>
              <w:rPr>
                <w:sz w:val="20"/>
                <w:szCs w:val="20"/>
              </w:rPr>
            </w:pPr>
          </w:p>
        </w:tc>
        <w:tc>
          <w:tcPr>
            <w:tcW w:w="0" w:type="auto"/>
            <w:vAlign w:val="center"/>
          </w:tcPr>
          <w:p w:rsidR="00C9723B" w:rsidRPr="00AC0A48" w:rsidRDefault="00C9723B" w:rsidP="001359B4">
            <w:pPr>
              <w:jc w:val="center"/>
              <w:rPr>
                <w:sz w:val="20"/>
                <w:szCs w:val="20"/>
              </w:rPr>
            </w:pPr>
          </w:p>
        </w:tc>
        <w:tc>
          <w:tcPr>
            <w:tcW w:w="0" w:type="auto"/>
            <w:vAlign w:val="center"/>
          </w:tcPr>
          <w:p w:rsidR="00C9723B" w:rsidRPr="00AC0A48" w:rsidRDefault="00C9723B" w:rsidP="001359B4">
            <w:pPr>
              <w:jc w:val="center"/>
              <w:rPr>
                <w:sz w:val="20"/>
                <w:szCs w:val="20"/>
              </w:rPr>
            </w:pPr>
          </w:p>
        </w:tc>
        <w:tc>
          <w:tcPr>
            <w:tcW w:w="0" w:type="auto"/>
          </w:tcPr>
          <w:p w:rsidR="00C9723B" w:rsidRPr="00AC0A48" w:rsidRDefault="00C9723B" w:rsidP="001359B4">
            <w:pPr>
              <w:jc w:val="center"/>
              <w:rPr>
                <w:sz w:val="20"/>
                <w:szCs w:val="20"/>
              </w:rPr>
            </w:pPr>
          </w:p>
        </w:tc>
      </w:tr>
      <w:tr w:rsidR="00AC0A48" w:rsidRPr="00AC0A48" w:rsidTr="001359B4">
        <w:trPr>
          <w:trHeight w:val="299"/>
          <w:jc w:val="center"/>
        </w:trPr>
        <w:tc>
          <w:tcPr>
            <w:tcW w:w="0" w:type="auto"/>
            <w:tcBorders>
              <w:bottom w:val="single" w:sz="4" w:space="0" w:color="auto"/>
            </w:tcBorders>
            <w:vAlign w:val="center"/>
          </w:tcPr>
          <w:p w:rsidR="00C9723B" w:rsidRPr="00AC0A48" w:rsidRDefault="00C9723B" w:rsidP="001359B4">
            <w:pPr>
              <w:jc w:val="center"/>
              <w:rPr>
                <w:i/>
                <w:sz w:val="20"/>
                <w:szCs w:val="20"/>
              </w:rPr>
            </w:pPr>
          </w:p>
        </w:tc>
        <w:tc>
          <w:tcPr>
            <w:tcW w:w="0" w:type="auto"/>
            <w:tcBorders>
              <w:bottom w:val="single" w:sz="4" w:space="0" w:color="auto"/>
            </w:tcBorders>
            <w:vAlign w:val="center"/>
          </w:tcPr>
          <w:p w:rsidR="00C9723B" w:rsidRPr="00AC0A48" w:rsidRDefault="00C9723B" w:rsidP="001359B4">
            <w:pPr>
              <w:rPr>
                <w:sz w:val="20"/>
                <w:szCs w:val="20"/>
              </w:rPr>
            </w:pPr>
          </w:p>
        </w:tc>
        <w:tc>
          <w:tcPr>
            <w:tcW w:w="0" w:type="auto"/>
            <w:tcBorders>
              <w:bottom w:val="single" w:sz="4" w:space="0" w:color="auto"/>
            </w:tcBorders>
            <w:vAlign w:val="center"/>
          </w:tcPr>
          <w:p w:rsidR="00C9723B" w:rsidRPr="00AC0A48" w:rsidRDefault="00C9723B" w:rsidP="001359B4">
            <w:pPr>
              <w:jc w:val="center"/>
              <w:rPr>
                <w:sz w:val="20"/>
                <w:szCs w:val="20"/>
              </w:rPr>
            </w:pPr>
          </w:p>
        </w:tc>
        <w:tc>
          <w:tcPr>
            <w:tcW w:w="0" w:type="auto"/>
            <w:tcBorders>
              <w:bottom w:val="single" w:sz="4" w:space="0" w:color="auto"/>
            </w:tcBorders>
            <w:vAlign w:val="center"/>
          </w:tcPr>
          <w:p w:rsidR="00C9723B" w:rsidRPr="00AC0A48" w:rsidRDefault="00C9723B" w:rsidP="001359B4">
            <w:pPr>
              <w:jc w:val="center"/>
              <w:rPr>
                <w:sz w:val="20"/>
                <w:szCs w:val="20"/>
              </w:rPr>
            </w:pPr>
          </w:p>
        </w:tc>
        <w:tc>
          <w:tcPr>
            <w:tcW w:w="0" w:type="auto"/>
            <w:tcBorders>
              <w:bottom w:val="single" w:sz="4" w:space="0" w:color="auto"/>
            </w:tcBorders>
            <w:vAlign w:val="center"/>
          </w:tcPr>
          <w:p w:rsidR="00C9723B" w:rsidRPr="00AC0A48" w:rsidRDefault="00C9723B" w:rsidP="001359B4">
            <w:pPr>
              <w:jc w:val="center"/>
              <w:rPr>
                <w:sz w:val="20"/>
                <w:szCs w:val="20"/>
              </w:rPr>
            </w:pPr>
          </w:p>
        </w:tc>
        <w:tc>
          <w:tcPr>
            <w:tcW w:w="0" w:type="auto"/>
            <w:tcBorders>
              <w:bottom w:val="single" w:sz="4" w:space="0" w:color="auto"/>
            </w:tcBorders>
            <w:vAlign w:val="center"/>
          </w:tcPr>
          <w:p w:rsidR="00C9723B" w:rsidRPr="00AC0A48" w:rsidRDefault="00C9723B" w:rsidP="001359B4">
            <w:pPr>
              <w:jc w:val="center"/>
              <w:rPr>
                <w:sz w:val="20"/>
                <w:szCs w:val="20"/>
              </w:rPr>
            </w:pPr>
          </w:p>
        </w:tc>
        <w:tc>
          <w:tcPr>
            <w:tcW w:w="0" w:type="auto"/>
            <w:tcBorders>
              <w:bottom w:val="single" w:sz="4" w:space="0" w:color="auto"/>
            </w:tcBorders>
            <w:vAlign w:val="center"/>
          </w:tcPr>
          <w:p w:rsidR="00C9723B" w:rsidRPr="00AC0A48" w:rsidRDefault="00C9723B" w:rsidP="001359B4">
            <w:pPr>
              <w:jc w:val="center"/>
              <w:rPr>
                <w:sz w:val="20"/>
                <w:szCs w:val="20"/>
              </w:rPr>
            </w:pPr>
          </w:p>
        </w:tc>
        <w:tc>
          <w:tcPr>
            <w:tcW w:w="0" w:type="auto"/>
            <w:tcBorders>
              <w:bottom w:val="single" w:sz="4" w:space="0" w:color="auto"/>
            </w:tcBorders>
          </w:tcPr>
          <w:p w:rsidR="00C9723B" w:rsidRPr="00AC0A48" w:rsidRDefault="00C9723B" w:rsidP="001359B4">
            <w:pPr>
              <w:jc w:val="center"/>
              <w:rPr>
                <w:sz w:val="20"/>
                <w:szCs w:val="20"/>
              </w:rPr>
            </w:pPr>
          </w:p>
        </w:tc>
      </w:tr>
    </w:tbl>
    <w:p w:rsidR="00EE58D5" w:rsidRDefault="00EE58D5">
      <w:bookmarkStart w:id="0" w:name="_GoBack"/>
      <w:bookmarkEnd w:id="0"/>
    </w:p>
    <w:p w:rsidR="00C9723B" w:rsidRDefault="00C9723B">
      <w:r>
        <w:rPr>
          <w:noProof/>
        </w:rPr>
        <w:drawing>
          <wp:anchor distT="0" distB="0" distL="114300" distR="114300" simplePos="0" relativeHeight="251658240" behindDoc="1" locked="0" layoutInCell="1" allowOverlap="1">
            <wp:simplePos x="0" y="0"/>
            <wp:positionH relativeFrom="column">
              <wp:posOffset>1322070</wp:posOffset>
            </wp:positionH>
            <wp:positionV relativeFrom="paragraph">
              <wp:posOffset>207010</wp:posOffset>
            </wp:positionV>
            <wp:extent cx="5438775" cy="3350895"/>
            <wp:effectExtent l="0" t="0" r="9525" b="1905"/>
            <wp:wrapTight wrapText="bothSides">
              <wp:wrapPolygon edited="0">
                <wp:start x="0" y="0"/>
                <wp:lineTo x="0" y="21489"/>
                <wp:lineTo x="21562" y="21489"/>
                <wp:lineTo x="21562"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sectPr w:rsidR="00C9723B" w:rsidSect="00C9723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3B6" w:rsidRDefault="00DD33B6" w:rsidP="00367742">
      <w:r>
        <w:separator/>
      </w:r>
    </w:p>
  </w:endnote>
  <w:endnote w:type="continuationSeparator" w:id="0">
    <w:p w:rsidR="00DD33B6" w:rsidRDefault="00DD33B6" w:rsidP="00367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3B6" w:rsidRDefault="00DD33B6" w:rsidP="00367742">
      <w:r>
        <w:separator/>
      </w:r>
    </w:p>
  </w:footnote>
  <w:footnote w:type="continuationSeparator" w:id="0">
    <w:p w:rsidR="00DD33B6" w:rsidRDefault="00DD33B6" w:rsidP="00367742">
      <w:r>
        <w:continuationSeparator/>
      </w:r>
    </w:p>
  </w:footnote>
  <w:footnote w:id="1">
    <w:p w:rsidR="005C4120" w:rsidRDefault="005C4120">
      <w:pPr>
        <w:pStyle w:val="FootnoteText"/>
      </w:pPr>
      <w:r>
        <w:rPr>
          <w:rStyle w:val="FootnoteReference"/>
        </w:rPr>
        <w:footnoteRef/>
      </w:r>
      <w:r>
        <w:t xml:space="preserve"> </w:t>
      </w:r>
      <w:hyperlink r:id="rId1" w:history="1">
        <w:r w:rsidRPr="003B38FF">
          <w:rPr>
            <w:rStyle w:val="Hyperlink"/>
          </w:rPr>
          <w:t>http://www.cannor.gc.ca/eng/1467054832591/1467054845741</w:t>
        </w:r>
      </w:hyperlink>
      <w:r>
        <w:t xml:space="preserve"> </w:t>
      </w:r>
    </w:p>
  </w:footnote>
  <w:footnote w:id="2">
    <w:p w:rsidR="004A0F83" w:rsidRDefault="004A0F83">
      <w:pPr>
        <w:pStyle w:val="FootnoteText"/>
      </w:pPr>
      <w:r>
        <w:rPr>
          <w:rStyle w:val="FootnoteReference"/>
        </w:rPr>
        <w:footnoteRef/>
      </w:r>
      <w:r>
        <w:t xml:space="preserve"> </w:t>
      </w:r>
      <w:hyperlink r:id="rId2" w:history="1">
        <w:r w:rsidRPr="003B38FF">
          <w:rPr>
            <w:rStyle w:val="Hyperlink"/>
          </w:rPr>
          <w:t>http://www.cannor.gc.ca/DAM/DAM-CANNOR-CANNOR/STAGING/texte-text/dpr-2014-2015_1450967391705_eng.pdf</w:t>
        </w:r>
      </w:hyperlink>
      <w:r>
        <w:t xml:space="preserve"> </w:t>
      </w:r>
    </w:p>
  </w:footnote>
  <w:footnote w:id="3">
    <w:p w:rsidR="00C9723B" w:rsidRDefault="00C9723B" w:rsidP="00C9723B">
      <w:pPr>
        <w:pStyle w:val="FootnoteText"/>
      </w:pPr>
      <w:r>
        <w:rPr>
          <w:rStyle w:val="FootnoteReference"/>
        </w:rPr>
        <w:footnoteRef/>
      </w:r>
      <w:r>
        <w:t xml:space="preserve"> </w:t>
      </w:r>
      <w:hyperlink r:id="rId3" w:history="1">
        <w:r w:rsidRPr="008B33FF">
          <w:rPr>
            <w:rStyle w:val="Hyperlink"/>
            <w:sz w:val="22"/>
            <w:szCs w:val="22"/>
          </w:rPr>
          <w:t>https://www.canada.ca/en/treasury-board-secretariat/services/departmental-performance-reports.html</w:t>
        </w:r>
      </w:hyperlink>
      <w:r>
        <w:rPr>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742"/>
    <w:rsid w:val="000645BA"/>
    <w:rsid w:val="00152593"/>
    <w:rsid w:val="002E5797"/>
    <w:rsid w:val="00367742"/>
    <w:rsid w:val="004909FA"/>
    <w:rsid w:val="004A0F83"/>
    <w:rsid w:val="005C4120"/>
    <w:rsid w:val="007947BD"/>
    <w:rsid w:val="009F1F09"/>
    <w:rsid w:val="00AB1F80"/>
    <w:rsid w:val="00AC0A48"/>
    <w:rsid w:val="00C9723B"/>
    <w:rsid w:val="00CC186B"/>
    <w:rsid w:val="00DD33B6"/>
    <w:rsid w:val="00DF2136"/>
    <w:rsid w:val="00E0672B"/>
    <w:rsid w:val="00E332BA"/>
    <w:rsid w:val="00EE5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79380-BC17-4B06-8BB4-71CBDA82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67742"/>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7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rsid w:val="00367742"/>
    <w:pPr>
      <w:pBdr>
        <w:top w:val="nil"/>
        <w:left w:val="nil"/>
        <w:bottom w:val="nil"/>
        <w:right w:val="nil"/>
        <w:between w:val="nil"/>
        <w:bar w:val="nil"/>
      </w:pBdr>
      <w:spacing w:after="0" w:line="240" w:lineRule="auto"/>
    </w:pPr>
    <w:rPr>
      <w:rFonts w:ascii="Calibri" w:eastAsia="Calibri" w:hAnsi="Calibri" w:cs="Calibri"/>
      <w:color w:val="000000"/>
      <w:u w:color="000000"/>
      <w:bdr w:val="nil"/>
    </w:rPr>
  </w:style>
  <w:style w:type="paragraph" w:customStyle="1" w:styleId="Body">
    <w:name w:val="Body"/>
    <w:rsid w:val="00367742"/>
    <w:pPr>
      <w:pBdr>
        <w:top w:val="nil"/>
        <w:left w:val="nil"/>
        <w:bottom w:val="nil"/>
        <w:right w:val="nil"/>
        <w:between w:val="nil"/>
        <w:bar w:val="nil"/>
      </w:pBdr>
    </w:pPr>
    <w:rPr>
      <w:rFonts w:ascii="Calibri" w:eastAsia="Calibri" w:hAnsi="Calibri" w:cs="Calibri"/>
      <w:color w:val="000000"/>
      <w:u w:color="000000"/>
      <w:bdr w:val="nil"/>
    </w:rPr>
  </w:style>
  <w:style w:type="paragraph" w:styleId="FootnoteText">
    <w:name w:val="footnote text"/>
    <w:basedOn w:val="Normal"/>
    <w:link w:val="FootnoteTextChar"/>
    <w:uiPriority w:val="99"/>
    <w:semiHidden/>
    <w:unhideWhenUsed/>
    <w:rsid w:val="00367742"/>
    <w:rPr>
      <w:sz w:val="20"/>
      <w:szCs w:val="20"/>
    </w:rPr>
  </w:style>
  <w:style w:type="character" w:customStyle="1" w:styleId="FootnoteTextChar">
    <w:name w:val="Footnote Text Char"/>
    <w:basedOn w:val="DefaultParagraphFont"/>
    <w:link w:val="FootnoteText"/>
    <w:uiPriority w:val="99"/>
    <w:semiHidden/>
    <w:rsid w:val="00367742"/>
    <w:rPr>
      <w:rFonts w:ascii="Times New Roman" w:eastAsia="Arial Unicode MS" w:hAnsi="Times New Roman" w:cs="Times New Roman"/>
      <w:sz w:val="20"/>
      <w:szCs w:val="20"/>
      <w:bdr w:val="nil"/>
    </w:rPr>
  </w:style>
  <w:style w:type="character" w:styleId="FootnoteReference">
    <w:name w:val="footnote reference"/>
    <w:basedOn w:val="DefaultParagraphFont"/>
    <w:uiPriority w:val="99"/>
    <w:semiHidden/>
    <w:unhideWhenUsed/>
    <w:rsid w:val="00367742"/>
    <w:rPr>
      <w:vertAlign w:val="superscript"/>
    </w:rPr>
  </w:style>
  <w:style w:type="character" w:styleId="Hyperlink">
    <w:name w:val="Hyperlink"/>
    <w:basedOn w:val="DefaultParagraphFont"/>
    <w:uiPriority w:val="99"/>
    <w:unhideWhenUsed/>
    <w:rsid w:val="00367742"/>
    <w:rPr>
      <w:color w:val="0563C1" w:themeColor="hyperlink"/>
      <w:u w:val="single"/>
    </w:rPr>
  </w:style>
  <w:style w:type="paragraph" w:styleId="NormalWeb">
    <w:name w:val="Normal (Web)"/>
    <w:basedOn w:val="Normal"/>
    <w:uiPriority w:val="99"/>
    <w:semiHidden/>
    <w:unhideWhenUsed/>
    <w:rsid w:val="00E332B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476192">
      <w:bodyDiv w:val="1"/>
      <w:marLeft w:val="0"/>
      <w:marRight w:val="0"/>
      <w:marTop w:val="0"/>
      <w:marBottom w:val="0"/>
      <w:divBdr>
        <w:top w:val="none" w:sz="0" w:space="0" w:color="auto"/>
        <w:left w:val="none" w:sz="0" w:space="0" w:color="auto"/>
        <w:bottom w:val="none" w:sz="0" w:space="0" w:color="auto"/>
        <w:right w:val="none" w:sz="0" w:space="0" w:color="auto"/>
      </w:divBdr>
    </w:div>
    <w:div w:id="918758898">
      <w:bodyDiv w:val="1"/>
      <w:marLeft w:val="0"/>
      <w:marRight w:val="0"/>
      <w:marTop w:val="0"/>
      <w:marBottom w:val="0"/>
      <w:divBdr>
        <w:top w:val="none" w:sz="0" w:space="0" w:color="auto"/>
        <w:left w:val="none" w:sz="0" w:space="0" w:color="auto"/>
        <w:bottom w:val="none" w:sz="0" w:space="0" w:color="auto"/>
        <w:right w:val="none" w:sz="0" w:space="0" w:color="auto"/>
      </w:divBdr>
    </w:div>
    <w:div w:id="209226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canada.ca/en/treasury-board-secretariat/services/departmental-performance-reports.html" TargetMode="External"/><Relationship Id="rId2" Type="http://schemas.openxmlformats.org/officeDocument/2006/relationships/hyperlink" Target="http://www.cannor.gc.ca/DAM/DAM-CANNOR-CANNOR/STAGING/texte-text/dpr-2014-2015_1450967391705_eng.pdf" TargetMode="External"/><Relationship Id="rId1" Type="http://schemas.openxmlformats.org/officeDocument/2006/relationships/hyperlink" Target="http://www.cannor.gc.ca/eng/1467054832591/146705484574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ven%20Yang\AppData\Roaming\Microsoft\Windows\Network%20Shortcuts\CanNo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CanNor</a:t>
            </a:r>
            <a:r>
              <a:rPr lang="en-US" baseline="0"/>
              <a:t> Economic Development Planned vs. Actual Spending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planned</c:v>
                </c:pt>
              </c:strCache>
            </c:strRef>
          </c:tx>
          <c:spPr>
            <a:ln w="28575" cap="rnd">
              <a:solidFill>
                <a:schemeClr val="accent1"/>
              </a:solidFill>
              <a:round/>
            </a:ln>
            <a:effectLst/>
          </c:spPr>
          <c:marker>
            <c:symbol val="none"/>
          </c:marker>
          <c:cat>
            <c:numRef>
              <c:f>Sheet1!$B$1:$H$1</c:f>
              <c:numCache>
                <c:formatCode>General</c:formatCode>
                <c:ptCount val="7"/>
                <c:pt idx="0">
                  <c:v>2010</c:v>
                </c:pt>
                <c:pt idx="1">
                  <c:v>2011</c:v>
                </c:pt>
                <c:pt idx="2">
                  <c:v>2012</c:v>
                </c:pt>
                <c:pt idx="3">
                  <c:v>2013</c:v>
                </c:pt>
                <c:pt idx="4">
                  <c:v>2014</c:v>
                </c:pt>
                <c:pt idx="5">
                  <c:v>2015</c:v>
                </c:pt>
                <c:pt idx="6">
                  <c:v>2016</c:v>
                </c:pt>
              </c:numCache>
            </c:numRef>
          </c:cat>
          <c:val>
            <c:numRef>
              <c:f>Sheet1!$B$2:$H$2</c:f>
              <c:numCache>
                <c:formatCode>General</c:formatCode>
                <c:ptCount val="7"/>
                <c:pt idx="0">
                  <c:v>53.7</c:v>
                </c:pt>
                <c:pt idx="1">
                  <c:v>36.9</c:v>
                </c:pt>
                <c:pt idx="2">
                  <c:v>41.5</c:v>
                </c:pt>
                <c:pt idx="3">
                  <c:v>42.9</c:v>
                </c:pt>
                <c:pt idx="4">
                  <c:v>22.1</c:v>
                </c:pt>
                <c:pt idx="5">
                  <c:v>40.5</c:v>
                </c:pt>
                <c:pt idx="6">
                  <c:v>18.100000000000001</c:v>
                </c:pt>
              </c:numCache>
            </c:numRef>
          </c:val>
          <c:smooth val="0"/>
        </c:ser>
        <c:ser>
          <c:idx val="1"/>
          <c:order val="1"/>
          <c:tx>
            <c:strRef>
              <c:f>Sheet1!$A$3</c:f>
              <c:strCache>
                <c:ptCount val="1"/>
                <c:pt idx="0">
                  <c:v>actual</c:v>
                </c:pt>
              </c:strCache>
            </c:strRef>
          </c:tx>
          <c:spPr>
            <a:ln w="28575" cap="rnd">
              <a:solidFill>
                <a:schemeClr val="accent2"/>
              </a:solidFill>
              <a:round/>
            </a:ln>
            <a:effectLst/>
          </c:spPr>
          <c:marker>
            <c:symbol val="none"/>
          </c:marker>
          <c:cat>
            <c:numRef>
              <c:f>Sheet1!$B$1:$H$1</c:f>
              <c:numCache>
                <c:formatCode>General</c:formatCode>
                <c:ptCount val="7"/>
                <c:pt idx="0">
                  <c:v>2010</c:v>
                </c:pt>
                <c:pt idx="1">
                  <c:v>2011</c:v>
                </c:pt>
                <c:pt idx="2">
                  <c:v>2012</c:v>
                </c:pt>
                <c:pt idx="3">
                  <c:v>2013</c:v>
                </c:pt>
                <c:pt idx="4">
                  <c:v>2014</c:v>
                </c:pt>
                <c:pt idx="5">
                  <c:v>2015</c:v>
                </c:pt>
                <c:pt idx="6">
                  <c:v>2016</c:v>
                </c:pt>
              </c:numCache>
            </c:numRef>
          </c:cat>
          <c:val>
            <c:numRef>
              <c:f>Sheet1!$B$3:$H$3</c:f>
              <c:numCache>
                <c:formatCode>General</c:formatCode>
                <c:ptCount val="7"/>
                <c:pt idx="0">
                  <c:v>48.1</c:v>
                </c:pt>
                <c:pt idx="1">
                  <c:v>36.799999999999997</c:v>
                </c:pt>
                <c:pt idx="2">
                  <c:v>43</c:v>
                </c:pt>
                <c:pt idx="3">
                  <c:v>40.9</c:v>
                </c:pt>
                <c:pt idx="4">
                  <c:v>38.6</c:v>
                </c:pt>
                <c:pt idx="5">
                  <c:v>36.700000000000003</c:v>
                </c:pt>
                <c:pt idx="6">
                  <c:v>44.9</c:v>
                </c:pt>
              </c:numCache>
            </c:numRef>
          </c:val>
          <c:smooth val="0"/>
        </c:ser>
        <c:dLbls>
          <c:showLegendKey val="0"/>
          <c:showVal val="0"/>
          <c:showCatName val="0"/>
          <c:showSerName val="0"/>
          <c:showPercent val="0"/>
          <c:showBubbleSize val="0"/>
        </c:dLbls>
        <c:smooth val="0"/>
        <c:axId val="282724496"/>
        <c:axId val="282726848"/>
      </c:lineChart>
      <c:catAx>
        <c:axId val="282724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2726848"/>
        <c:crosses val="autoZero"/>
        <c:auto val="1"/>
        <c:lblAlgn val="ctr"/>
        <c:lblOffset val="100"/>
        <c:noMultiLvlLbl val="0"/>
      </c:catAx>
      <c:valAx>
        <c:axId val="282726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Spending (millions CAD)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2724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7BFD0-4CEB-48D5-94D6-EC4D78872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Yang</dc:creator>
  <cp:keywords/>
  <dc:description/>
  <cp:lastModifiedBy>Steven Yang</cp:lastModifiedBy>
  <cp:revision>15</cp:revision>
  <dcterms:created xsi:type="dcterms:W3CDTF">2018-08-07T18:42:00Z</dcterms:created>
  <dcterms:modified xsi:type="dcterms:W3CDTF">2018-08-08T02:47:00Z</dcterms:modified>
</cp:coreProperties>
</file>