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47B" w:rsidRPr="00E73339" w:rsidRDefault="00FD047B" w:rsidP="00FD047B">
      <w:pPr>
        <w:pStyle w:val="NoSpacing"/>
        <w:rPr>
          <w:rFonts w:ascii="Times New Roman" w:eastAsia="Times New Roman" w:hAnsi="Times New Roman" w:cs="Times New Roman"/>
          <w:color w:val="auto"/>
        </w:rPr>
      </w:pPr>
      <w:r w:rsidRPr="00E73339">
        <w:rPr>
          <w:rFonts w:ascii="Times New Roman" w:hAnsi="Times New Roman"/>
          <w:b/>
          <w:bCs/>
          <w:color w:val="auto"/>
        </w:rPr>
        <w:t xml:space="preserve">Date: </w:t>
      </w:r>
      <w:r w:rsidR="00D659EC" w:rsidRPr="00E73339">
        <w:rPr>
          <w:rFonts w:ascii="Times New Roman" w:hAnsi="Times New Roman"/>
          <w:color w:val="auto"/>
        </w:rPr>
        <w:t>7</w:t>
      </w:r>
      <w:r w:rsidRPr="00E73339">
        <w:rPr>
          <w:rFonts w:ascii="Times New Roman" w:hAnsi="Times New Roman"/>
          <w:color w:val="auto"/>
          <w:vertAlign w:val="superscript"/>
        </w:rPr>
        <w:t>th</w:t>
      </w:r>
      <w:r w:rsidRPr="00E73339">
        <w:rPr>
          <w:rFonts w:ascii="Times New Roman" w:hAnsi="Times New Roman"/>
          <w:color w:val="auto"/>
        </w:rPr>
        <w:t xml:space="preserve"> August</w:t>
      </w:r>
      <w:r w:rsidRPr="00E73339">
        <w:rPr>
          <w:rFonts w:ascii="Times New Roman" w:eastAsia="Times New Roman" w:hAnsi="Times New Roman" w:cs="Times New Roman"/>
          <w:color w:val="auto"/>
        </w:rPr>
        <w:t xml:space="preserve"> 2018</w:t>
      </w:r>
    </w:p>
    <w:p w:rsidR="00FD047B" w:rsidRPr="00E73339" w:rsidRDefault="00FD047B" w:rsidP="00FD047B">
      <w:pPr>
        <w:pStyle w:val="NoSpacing"/>
        <w:rPr>
          <w:rFonts w:ascii="Times New Roman" w:eastAsia="Times New Roman" w:hAnsi="Times New Roman" w:cs="Times New Roman"/>
          <w:color w:val="auto"/>
        </w:rPr>
      </w:pPr>
      <w:r w:rsidRPr="00E73339">
        <w:rPr>
          <w:rFonts w:ascii="Times New Roman" w:hAnsi="Times New Roman"/>
          <w:b/>
          <w:bCs/>
          <w:color w:val="auto"/>
        </w:rPr>
        <w:t>To:</w:t>
      </w:r>
      <w:r w:rsidRPr="00E73339">
        <w:rPr>
          <w:rFonts w:ascii="Times New Roman" w:hAnsi="Times New Roman"/>
          <w:color w:val="auto"/>
        </w:rPr>
        <w:t xml:space="preserve"> Jon Gruber, </w:t>
      </w:r>
      <w:r w:rsidRPr="00E73339">
        <w:rPr>
          <w:rFonts w:ascii="Times New Roman" w:hAnsi="Times New Roman"/>
          <w:bCs/>
          <w:color w:val="auto"/>
        </w:rPr>
        <w:t xml:space="preserve">Ian </w:t>
      </w:r>
      <w:proofErr w:type="spellStart"/>
      <w:r w:rsidRPr="00E73339">
        <w:rPr>
          <w:rFonts w:ascii="Times New Roman" w:hAnsi="Times New Roman"/>
          <w:bCs/>
          <w:color w:val="auto"/>
        </w:rPr>
        <w:t>Calaway</w:t>
      </w:r>
      <w:proofErr w:type="spellEnd"/>
      <w:r w:rsidRPr="00E73339">
        <w:rPr>
          <w:rFonts w:ascii="Times New Roman" w:hAnsi="Times New Roman"/>
          <w:bCs/>
          <w:color w:val="auto"/>
        </w:rPr>
        <w:t xml:space="preserve">, </w:t>
      </w:r>
      <w:proofErr w:type="gramStart"/>
      <w:r w:rsidRPr="00E73339">
        <w:rPr>
          <w:rFonts w:ascii="Times New Roman" w:hAnsi="Times New Roman"/>
          <w:bCs/>
          <w:color w:val="auto"/>
        </w:rPr>
        <w:t>Cora</w:t>
      </w:r>
      <w:proofErr w:type="gramEnd"/>
      <w:r w:rsidRPr="00E73339">
        <w:rPr>
          <w:rFonts w:ascii="Times New Roman" w:hAnsi="Times New Roman"/>
          <w:bCs/>
          <w:color w:val="auto"/>
        </w:rPr>
        <w:t xml:space="preserve"> Touchstone </w:t>
      </w:r>
    </w:p>
    <w:p w:rsidR="00FD047B" w:rsidRPr="00E73339" w:rsidRDefault="00FD047B" w:rsidP="00FD047B">
      <w:pPr>
        <w:pStyle w:val="NoSpacing"/>
        <w:rPr>
          <w:rFonts w:ascii="Times New Roman" w:eastAsia="Times New Roman" w:hAnsi="Times New Roman" w:cs="Times New Roman"/>
          <w:color w:val="auto"/>
        </w:rPr>
      </w:pPr>
      <w:r w:rsidRPr="00E73339">
        <w:rPr>
          <w:rFonts w:ascii="Times New Roman" w:hAnsi="Times New Roman"/>
          <w:b/>
          <w:bCs/>
          <w:color w:val="auto"/>
        </w:rPr>
        <w:t>From:</w:t>
      </w:r>
      <w:r w:rsidRPr="00E73339">
        <w:rPr>
          <w:rFonts w:ascii="Times New Roman" w:hAnsi="Times New Roman"/>
          <w:color w:val="auto"/>
        </w:rPr>
        <w:t xml:space="preserve"> Steven Yang</w:t>
      </w:r>
    </w:p>
    <w:p w:rsidR="00FD047B" w:rsidRPr="00E73339" w:rsidRDefault="00FD047B" w:rsidP="00FD047B">
      <w:pPr>
        <w:pStyle w:val="NoSpacing"/>
        <w:pBdr>
          <w:bottom w:val="single" w:sz="12" w:space="0" w:color="000000"/>
        </w:pBdr>
        <w:rPr>
          <w:rFonts w:ascii="Times New Roman" w:eastAsia="Times New Roman" w:hAnsi="Times New Roman" w:cs="Times New Roman"/>
          <w:color w:val="auto"/>
        </w:rPr>
      </w:pPr>
      <w:r w:rsidRPr="00E73339">
        <w:rPr>
          <w:rFonts w:ascii="Times New Roman" w:hAnsi="Times New Roman"/>
          <w:b/>
          <w:bCs/>
          <w:color w:val="auto"/>
        </w:rPr>
        <w:t xml:space="preserve">Re: </w:t>
      </w:r>
      <w:r w:rsidRPr="00E73339">
        <w:rPr>
          <w:rFonts w:ascii="Times New Roman" w:hAnsi="Times New Roman"/>
          <w:color w:val="auto"/>
        </w:rPr>
        <w:t>Canadian Federal R&amp;D Funding Sources: Federal Economic Development for Southern Ontario</w:t>
      </w:r>
    </w:p>
    <w:p w:rsidR="00FD047B" w:rsidRPr="00E73339" w:rsidRDefault="00FD047B" w:rsidP="00FD047B">
      <w:pPr>
        <w:pStyle w:val="Body"/>
        <w:spacing w:line="240" w:lineRule="auto"/>
        <w:rPr>
          <w:rFonts w:ascii="Times New Roman" w:hAnsi="Times New Roman"/>
          <w:b/>
          <w:bCs/>
          <w:color w:val="auto"/>
        </w:rPr>
      </w:pPr>
    </w:p>
    <w:p w:rsidR="00FD047B" w:rsidRPr="00E73339" w:rsidRDefault="00FD047B" w:rsidP="00FD047B">
      <w:pPr>
        <w:pStyle w:val="Body"/>
        <w:spacing w:line="240" w:lineRule="auto"/>
        <w:rPr>
          <w:rFonts w:ascii="Times New Roman" w:hAnsi="Times New Roman"/>
          <w:b/>
          <w:bCs/>
          <w:color w:val="auto"/>
        </w:rPr>
      </w:pPr>
      <w:r w:rsidRPr="00E73339">
        <w:rPr>
          <w:rFonts w:ascii="Times New Roman" w:hAnsi="Times New Roman"/>
          <w:b/>
          <w:bCs/>
          <w:color w:val="auto"/>
        </w:rPr>
        <w:t>1. Background</w:t>
      </w:r>
    </w:p>
    <w:p w:rsidR="00FD047B" w:rsidRPr="00E73339" w:rsidRDefault="00573516" w:rsidP="00573516">
      <w:pPr>
        <w:pStyle w:val="NormalWeb"/>
        <w:shd w:val="clear" w:color="auto" w:fill="FFFFFF"/>
        <w:spacing w:after="173"/>
        <w:rPr>
          <w:sz w:val="22"/>
          <w:szCs w:val="22"/>
        </w:rPr>
      </w:pPr>
      <w:r w:rsidRPr="00E73339">
        <w:rPr>
          <w:sz w:val="22"/>
          <w:szCs w:val="22"/>
        </w:rPr>
        <w:t>The government of Canada created the Federal Economic Development Agency for Southern Ontario (</w:t>
      </w:r>
      <w:proofErr w:type="spellStart"/>
      <w:r w:rsidRPr="00E73339">
        <w:rPr>
          <w:sz w:val="22"/>
          <w:szCs w:val="22"/>
        </w:rPr>
        <w:t>FedDev</w:t>
      </w:r>
      <w:proofErr w:type="spellEnd"/>
      <w:r w:rsidRPr="00E73339">
        <w:rPr>
          <w:sz w:val="22"/>
          <w:szCs w:val="22"/>
        </w:rPr>
        <w:t xml:space="preserve"> Ontario) in 2009 as part of Canada's Economic Action Plan (EAP). </w:t>
      </w:r>
      <w:proofErr w:type="spellStart"/>
      <w:r w:rsidRPr="00E73339">
        <w:rPr>
          <w:sz w:val="22"/>
          <w:szCs w:val="22"/>
        </w:rPr>
        <w:t>FedDev</w:t>
      </w:r>
      <w:proofErr w:type="spellEnd"/>
      <w:r w:rsidRPr="00E73339">
        <w:rPr>
          <w:sz w:val="22"/>
          <w:szCs w:val="22"/>
        </w:rPr>
        <w:t xml:space="preserve"> Ontario was established with a five-year mandate to help respond to Ontario's economic challenges, to help restore the province to its cycle of prosperity and to help position southern Ontario as an important economic driver to building a stronger economy and a stronger Canada.</w:t>
      </w:r>
      <w:r w:rsidR="008B59A5" w:rsidRPr="00E73339">
        <w:rPr>
          <w:sz w:val="22"/>
          <w:szCs w:val="22"/>
        </w:rPr>
        <w:t xml:space="preserve"> The mandate of </w:t>
      </w:r>
      <w:proofErr w:type="spellStart"/>
      <w:r w:rsidR="008B59A5" w:rsidRPr="00E73339">
        <w:rPr>
          <w:sz w:val="22"/>
          <w:szCs w:val="22"/>
        </w:rPr>
        <w:t>FedDev</w:t>
      </w:r>
      <w:proofErr w:type="spellEnd"/>
      <w:r w:rsidR="008B59A5" w:rsidRPr="00E73339">
        <w:rPr>
          <w:sz w:val="22"/>
          <w:szCs w:val="22"/>
        </w:rPr>
        <w:t xml:space="preserve"> Ontario is to promote the development of a strong and diver</w:t>
      </w:r>
      <w:r w:rsidR="00341E67" w:rsidRPr="00E73339">
        <w:rPr>
          <w:sz w:val="22"/>
          <w:szCs w:val="22"/>
        </w:rPr>
        <w:t>sified southern Ontario economy</w:t>
      </w:r>
      <w:r w:rsidR="008B59A5" w:rsidRPr="00E73339">
        <w:rPr>
          <w:sz w:val="22"/>
          <w:szCs w:val="22"/>
        </w:rPr>
        <w:t>.</w:t>
      </w:r>
    </w:p>
    <w:p w:rsidR="00FD047B" w:rsidRPr="00E73339" w:rsidRDefault="00FD047B" w:rsidP="00FD047B">
      <w:pPr>
        <w:pStyle w:val="Body"/>
        <w:rPr>
          <w:rFonts w:ascii="Times New Roman" w:hAnsi="Times New Roman"/>
          <w:b/>
          <w:bCs/>
          <w:color w:val="auto"/>
          <w:lang w:val="nl-NL"/>
        </w:rPr>
      </w:pPr>
      <w:r w:rsidRPr="00E73339">
        <w:rPr>
          <w:rFonts w:ascii="Times New Roman" w:hAnsi="Times New Roman"/>
          <w:b/>
          <w:bCs/>
          <w:color w:val="auto"/>
          <w:lang w:val="nl-NL"/>
        </w:rPr>
        <w:t xml:space="preserve">2. </w:t>
      </w:r>
      <w:r w:rsidRPr="00E73339">
        <w:rPr>
          <w:rFonts w:ascii="Times New Roman" w:hAnsi="Times New Roman"/>
          <w:b/>
          <w:color w:val="auto"/>
        </w:rPr>
        <w:t>Canadian Northern Economic Development Agency</w:t>
      </w:r>
      <w:r w:rsidRPr="00E73339">
        <w:rPr>
          <w:rFonts w:ascii="Times New Roman" w:hAnsi="Times New Roman"/>
          <w:color w:val="auto"/>
        </w:rPr>
        <w:t xml:space="preserve"> </w:t>
      </w:r>
      <w:r w:rsidRPr="00E73339">
        <w:rPr>
          <w:rFonts w:ascii="Times New Roman" w:hAnsi="Times New Roman"/>
          <w:b/>
          <w:bCs/>
          <w:color w:val="auto"/>
          <w:lang w:val="nl-NL"/>
        </w:rPr>
        <w:t>R&amp;D Funding</w:t>
      </w:r>
    </w:p>
    <w:p w:rsidR="007E0B45" w:rsidRPr="00E73339" w:rsidRDefault="006C3176" w:rsidP="00FD047B">
      <w:pPr>
        <w:pStyle w:val="Body"/>
        <w:rPr>
          <w:rFonts w:ascii="Times New Roman" w:hAnsi="Times New Roman" w:cs="Times New Roman"/>
          <w:color w:val="auto"/>
        </w:rPr>
      </w:pPr>
      <w:r w:rsidRPr="00E73339">
        <w:rPr>
          <w:rFonts w:ascii="Times New Roman" w:hAnsi="Times New Roman"/>
          <w:bCs/>
          <w:color w:val="auto"/>
          <w:lang w:val="nl-NL"/>
        </w:rPr>
        <w:t>FedDev Ontario’s primary program behind R&amp;D funding in 2010 was its Community and Business Development Program</w:t>
      </w:r>
      <w:r w:rsidRPr="00E73339">
        <w:rPr>
          <w:rFonts w:ascii="Times New Roman" w:hAnsi="Times New Roman" w:cs="Times New Roman"/>
          <w:bCs/>
          <w:color w:val="auto"/>
          <w:lang w:val="nl-NL"/>
        </w:rPr>
        <w:t xml:space="preserve">. </w:t>
      </w:r>
      <w:r w:rsidRPr="00E73339">
        <w:rPr>
          <w:rFonts w:ascii="Times New Roman" w:hAnsi="Times New Roman" w:cs="Times New Roman"/>
          <w:color w:val="auto"/>
        </w:rPr>
        <w:t xml:space="preserve">Through this program activity, </w:t>
      </w:r>
      <w:proofErr w:type="spellStart"/>
      <w:r w:rsidRPr="00E73339">
        <w:rPr>
          <w:rFonts w:ascii="Times New Roman" w:hAnsi="Times New Roman" w:cs="Times New Roman"/>
          <w:color w:val="auto"/>
        </w:rPr>
        <w:t>FedDev</w:t>
      </w:r>
      <w:proofErr w:type="spellEnd"/>
      <w:r w:rsidRPr="00E73339">
        <w:rPr>
          <w:rFonts w:ascii="Times New Roman" w:hAnsi="Times New Roman" w:cs="Times New Roman"/>
          <w:color w:val="auto"/>
        </w:rPr>
        <w:t xml:space="preserve"> Ontario delivers and administers grants and contributions with</w:t>
      </w:r>
      <w:r w:rsidR="00341E67" w:rsidRPr="00E73339">
        <w:rPr>
          <w:rFonts w:ascii="Times New Roman" w:hAnsi="Times New Roman" w:cs="Times New Roman"/>
          <w:color w:val="auto"/>
        </w:rPr>
        <w:t xml:space="preserve"> not-for-profit organizations and o</w:t>
      </w:r>
      <w:r w:rsidRPr="00E73339">
        <w:rPr>
          <w:rFonts w:ascii="Times New Roman" w:hAnsi="Times New Roman" w:cs="Times New Roman"/>
          <w:color w:val="auto"/>
        </w:rPr>
        <w:t xml:space="preserve">ther orders of government and businesses. </w:t>
      </w:r>
    </w:p>
    <w:p w:rsidR="00EE1EE0" w:rsidRPr="00E73339" w:rsidRDefault="006C3176" w:rsidP="00FD047B">
      <w:pPr>
        <w:pStyle w:val="Body"/>
        <w:rPr>
          <w:rFonts w:ascii="Times New Roman" w:hAnsi="Times New Roman" w:cs="Times New Roman"/>
          <w:color w:val="auto"/>
          <w:shd w:val="clear" w:color="auto" w:fill="FFFFFF"/>
        </w:rPr>
      </w:pPr>
      <w:r w:rsidRPr="00E73339">
        <w:rPr>
          <w:rFonts w:ascii="Times New Roman" w:hAnsi="Times New Roman" w:cs="Times New Roman"/>
          <w:color w:val="auto"/>
        </w:rPr>
        <w:t xml:space="preserve">Beginning in 2012, the Community and Business Development Program was divided into two programs: Technology Innovation and Business Development. The Technology Innovation program </w:t>
      </w:r>
      <w:r w:rsidRPr="00E73339">
        <w:rPr>
          <w:rFonts w:ascii="Times New Roman" w:hAnsi="Times New Roman" w:cs="Times New Roman"/>
          <w:color w:val="auto"/>
          <w:shd w:val="clear" w:color="auto" w:fill="FFFFFF"/>
        </w:rPr>
        <w:t xml:space="preserve">is intended to </w:t>
      </w:r>
      <w:r w:rsidR="00341E67" w:rsidRPr="00E73339">
        <w:rPr>
          <w:rFonts w:ascii="Times New Roman" w:hAnsi="Times New Roman" w:cs="Times New Roman"/>
          <w:color w:val="auto"/>
          <w:shd w:val="clear" w:color="auto" w:fill="FFFFFF"/>
        </w:rPr>
        <w:t>create</w:t>
      </w:r>
      <w:r w:rsidRPr="00E73339">
        <w:rPr>
          <w:rFonts w:ascii="Times New Roman" w:hAnsi="Times New Roman" w:cs="Times New Roman"/>
          <w:color w:val="auto"/>
          <w:shd w:val="clear" w:color="auto" w:fill="FFFFFF"/>
        </w:rPr>
        <w:t xml:space="preserve"> ne</w:t>
      </w:r>
      <w:r w:rsidR="00341E67" w:rsidRPr="00E73339">
        <w:rPr>
          <w:rFonts w:ascii="Times New Roman" w:hAnsi="Times New Roman" w:cs="Times New Roman"/>
          <w:color w:val="auto"/>
          <w:shd w:val="clear" w:color="auto" w:fill="FFFFFF"/>
        </w:rPr>
        <w:t xml:space="preserve">w products, services, processes, and </w:t>
      </w:r>
      <w:r w:rsidRPr="00E73339">
        <w:rPr>
          <w:rFonts w:ascii="Times New Roman" w:hAnsi="Times New Roman" w:cs="Times New Roman"/>
          <w:color w:val="auto"/>
          <w:shd w:val="clear" w:color="auto" w:fill="FFFFFF"/>
        </w:rPr>
        <w:t xml:space="preserve">markets. </w:t>
      </w:r>
      <w:r w:rsidR="00816BCE" w:rsidRPr="00E73339">
        <w:rPr>
          <w:rFonts w:ascii="Times New Roman" w:hAnsi="Times New Roman" w:cs="Times New Roman"/>
          <w:color w:val="auto"/>
          <w:shd w:val="clear" w:color="auto" w:fill="FFFFFF"/>
        </w:rPr>
        <w:t xml:space="preserve">In 2013, the Investing in </w:t>
      </w:r>
      <w:r w:rsidR="00273FAC" w:rsidRPr="00E73339">
        <w:rPr>
          <w:rFonts w:ascii="Times New Roman" w:hAnsi="Times New Roman" w:cs="Times New Roman"/>
          <w:color w:val="auto"/>
          <w:shd w:val="clear" w:color="auto" w:fill="FFFFFF"/>
        </w:rPr>
        <w:t xml:space="preserve">Commercial Partnerships initiative </w:t>
      </w:r>
      <w:r w:rsidR="00816BCE" w:rsidRPr="00E73339">
        <w:rPr>
          <w:rFonts w:ascii="Times New Roman" w:hAnsi="Times New Roman" w:cs="Times New Roman"/>
          <w:color w:val="auto"/>
          <w:shd w:val="clear" w:color="auto" w:fill="FFFFFF"/>
        </w:rPr>
        <w:t>was created as a program activity of Technology Innovation, which supports </w:t>
      </w:r>
      <w:r w:rsidR="00816BCE" w:rsidRPr="00E73339">
        <w:rPr>
          <w:rStyle w:val="nowrap"/>
          <w:rFonts w:ascii="Times New Roman" w:hAnsi="Times New Roman" w:cs="Times New Roman"/>
          <w:color w:val="auto"/>
          <w:shd w:val="clear" w:color="auto" w:fill="FFFFFF"/>
        </w:rPr>
        <w:t>business-led</w:t>
      </w:r>
      <w:r w:rsidR="00816BCE" w:rsidRPr="00E73339">
        <w:rPr>
          <w:rFonts w:ascii="Times New Roman" w:hAnsi="Times New Roman" w:cs="Times New Roman"/>
          <w:color w:val="auto"/>
          <w:shd w:val="clear" w:color="auto" w:fill="FFFFFF"/>
        </w:rPr>
        <w:t xml:space="preserve"> partnerships with a focus on </w:t>
      </w:r>
      <w:r w:rsidR="00341E67" w:rsidRPr="00E73339">
        <w:rPr>
          <w:rFonts w:ascii="Times New Roman" w:hAnsi="Times New Roman" w:cs="Times New Roman"/>
          <w:color w:val="auto"/>
          <w:shd w:val="clear" w:color="auto" w:fill="FFFFFF"/>
        </w:rPr>
        <w:t>developing products</w:t>
      </w:r>
      <w:r w:rsidR="00816BCE" w:rsidRPr="00E73339">
        <w:rPr>
          <w:rFonts w:ascii="Times New Roman" w:hAnsi="Times New Roman" w:cs="Times New Roman"/>
          <w:color w:val="auto"/>
          <w:shd w:val="clear" w:color="auto" w:fill="FFFFFF"/>
        </w:rPr>
        <w:t xml:space="preserve">. </w:t>
      </w:r>
      <w:r w:rsidRPr="00E73339">
        <w:rPr>
          <w:rFonts w:ascii="Times New Roman" w:hAnsi="Times New Roman" w:cs="Times New Roman"/>
          <w:color w:val="auto"/>
          <w:shd w:val="clear" w:color="auto" w:fill="FFFFFF"/>
        </w:rPr>
        <w:t>The Business Development program supports the 360,000 businesses (especially SMEs) in southern Ontario by providing funding for the creation of </w:t>
      </w:r>
      <w:r w:rsidR="00B53DF3" w:rsidRPr="00E73339">
        <w:rPr>
          <w:rStyle w:val="nowrap"/>
          <w:rFonts w:ascii="Times New Roman" w:hAnsi="Times New Roman" w:cs="Times New Roman"/>
          <w:color w:val="auto"/>
          <w:shd w:val="clear" w:color="auto" w:fill="FFFFFF"/>
        </w:rPr>
        <w:t>start-</w:t>
      </w:r>
      <w:r w:rsidRPr="00E73339">
        <w:rPr>
          <w:rStyle w:val="nowrap"/>
          <w:rFonts w:ascii="Times New Roman" w:hAnsi="Times New Roman" w:cs="Times New Roman"/>
          <w:color w:val="auto"/>
          <w:shd w:val="clear" w:color="auto" w:fill="FFFFFF"/>
        </w:rPr>
        <w:t>up</w:t>
      </w:r>
      <w:r w:rsidRPr="00E73339">
        <w:rPr>
          <w:rFonts w:ascii="Times New Roman" w:hAnsi="Times New Roman" w:cs="Times New Roman"/>
          <w:color w:val="auto"/>
          <w:shd w:val="clear" w:color="auto" w:fill="FFFFFF"/>
        </w:rPr>
        <w:t> companies, helping existing businesses expand and helping companies improve their productivity.</w:t>
      </w:r>
    </w:p>
    <w:p w:rsidR="000C7950" w:rsidRPr="00E73339" w:rsidRDefault="000C7950" w:rsidP="00FD047B">
      <w:pPr>
        <w:pStyle w:val="Body"/>
        <w:rPr>
          <w:rFonts w:ascii="Times New Roman" w:hAnsi="Times New Roman" w:cs="Times New Roman"/>
          <w:color w:val="auto"/>
          <w:shd w:val="clear" w:color="auto" w:fill="FFFFFF"/>
        </w:rPr>
      </w:pPr>
      <w:r w:rsidRPr="00E73339">
        <w:rPr>
          <w:rFonts w:ascii="Times New Roman" w:hAnsi="Times New Roman" w:cs="Times New Roman"/>
          <w:color w:val="auto"/>
          <w:shd w:val="clear" w:color="auto" w:fill="FFFFFF"/>
        </w:rPr>
        <w:t xml:space="preserve">In 2016, </w:t>
      </w:r>
      <w:proofErr w:type="spellStart"/>
      <w:r w:rsidRPr="00E73339">
        <w:rPr>
          <w:rFonts w:ascii="Times New Roman" w:hAnsi="Times New Roman" w:cs="Times New Roman"/>
          <w:color w:val="auto"/>
          <w:shd w:val="clear" w:color="auto" w:fill="FFFFFF"/>
        </w:rPr>
        <w:t>FedDev</w:t>
      </w:r>
      <w:proofErr w:type="spellEnd"/>
      <w:r w:rsidRPr="00E73339">
        <w:rPr>
          <w:rFonts w:ascii="Times New Roman" w:hAnsi="Times New Roman" w:cs="Times New Roman"/>
          <w:color w:val="auto"/>
          <w:shd w:val="clear" w:color="auto" w:fill="FFFFFF"/>
        </w:rPr>
        <w:t xml:space="preserve"> Ontario invested 8 million CAD in t</w:t>
      </w:r>
      <w:r w:rsidRPr="00E73339">
        <w:rPr>
          <w:rFonts w:ascii="Times New Roman" w:hAnsi="Times New Roman" w:cs="Times New Roman"/>
          <w:color w:val="auto"/>
        </w:rPr>
        <w:t>he </w:t>
      </w:r>
      <w:hyperlink r:id="rId7" w:tgtFrame="_blank" w:history="1">
        <w:r w:rsidRPr="00E73339">
          <w:rPr>
            <w:rStyle w:val="Hyperlink"/>
            <w:rFonts w:ascii="Times New Roman" w:hAnsi="Times New Roman" w:cs="Times New Roman"/>
            <w:color w:val="auto"/>
            <w:u w:val="none"/>
          </w:rPr>
          <w:t>Innovation Centre</w:t>
        </w:r>
      </w:hyperlink>
      <w:r w:rsidRPr="00E73339">
        <w:rPr>
          <w:rFonts w:ascii="Times New Roman" w:hAnsi="Times New Roman" w:cs="Times New Roman"/>
          <w:color w:val="auto"/>
        </w:rPr>
        <w:t xml:space="preserve"> at Bayview Yards in Ottawa announced an $8 million injection from </w:t>
      </w:r>
      <w:proofErr w:type="spellStart"/>
      <w:r w:rsidRPr="00E73339">
        <w:rPr>
          <w:rFonts w:ascii="Times New Roman" w:hAnsi="Times New Roman" w:cs="Times New Roman"/>
          <w:color w:val="auto"/>
        </w:rPr>
        <w:t>FedDev</w:t>
      </w:r>
      <w:proofErr w:type="spellEnd"/>
      <w:r w:rsidRPr="00E73339">
        <w:rPr>
          <w:rFonts w:ascii="Times New Roman" w:hAnsi="Times New Roman" w:cs="Times New Roman"/>
          <w:color w:val="auto"/>
        </w:rPr>
        <w:t xml:space="preserve"> Ontario for new programming and technology at the first entrepreneurship hub of its kind in Ottawa</w:t>
      </w:r>
      <w:r w:rsidRPr="00E73339">
        <w:rPr>
          <w:rStyle w:val="FootnoteReference"/>
          <w:rFonts w:ascii="Times New Roman" w:hAnsi="Times New Roman" w:cs="Times New Roman"/>
          <w:color w:val="auto"/>
        </w:rPr>
        <w:footnoteReference w:id="1"/>
      </w:r>
      <w:r w:rsidRPr="00E73339">
        <w:rPr>
          <w:rFonts w:ascii="Times New Roman" w:hAnsi="Times New Roman" w:cs="Times New Roman"/>
          <w:color w:val="auto"/>
        </w:rPr>
        <w:t>.</w:t>
      </w:r>
    </w:p>
    <w:p w:rsidR="00816BCE" w:rsidRPr="00E73339" w:rsidRDefault="00816BCE" w:rsidP="00FD047B">
      <w:pPr>
        <w:pStyle w:val="Body"/>
        <w:rPr>
          <w:rFonts w:ascii="Times New Roman" w:hAnsi="Times New Roman" w:cs="Times New Roman"/>
          <w:color w:val="auto"/>
          <w:shd w:val="clear" w:color="auto" w:fill="FFFFFF"/>
        </w:rPr>
      </w:pPr>
    </w:p>
    <w:p w:rsidR="00FD047B" w:rsidRPr="00E73339" w:rsidRDefault="00FD047B" w:rsidP="00FD047B">
      <w:pPr>
        <w:pStyle w:val="Body"/>
        <w:rPr>
          <w:rFonts w:ascii="Times New Roman" w:hAnsi="Times New Roman"/>
          <w:b/>
          <w:bCs/>
          <w:color w:val="auto"/>
          <w:lang w:val="nl-NL"/>
        </w:rPr>
      </w:pPr>
      <w:r w:rsidRPr="00E73339">
        <w:rPr>
          <w:rFonts w:ascii="Times New Roman" w:hAnsi="Times New Roman"/>
          <w:b/>
          <w:bCs/>
          <w:color w:val="auto"/>
          <w:lang w:val="nl-NL"/>
        </w:rPr>
        <w:t>3. Interesting Features and Potential Natural Experiments</w:t>
      </w:r>
    </w:p>
    <w:p w:rsidR="00865264" w:rsidRPr="00E73339" w:rsidRDefault="00865264" w:rsidP="00865264">
      <w:pPr>
        <w:pStyle w:val="Body"/>
        <w:rPr>
          <w:rFonts w:ascii="Times New Roman" w:hAnsi="Times New Roman"/>
          <w:bCs/>
          <w:color w:val="auto"/>
          <w:lang w:val="nl-NL"/>
        </w:rPr>
      </w:pPr>
      <w:r w:rsidRPr="00E73339">
        <w:rPr>
          <w:rFonts w:ascii="Times New Roman" w:hAnsi="Times New Roman"/>
          <w:bCs/>
          <w:color w:val="auto"/>
          <w:lang w:val="nl-NL"/>
        </w:rPr>
        <w:t xml:space="preserve">The reasoning behind such large discrpencies between actual and planned spending is.FedDev Ontario's five-year mandate and flat-line annual budget establishes equal year-over-year spending expectations that are not necessarily reflective of the lifecycle of the types of transformative, multi-year projects funded by the Agency. </w:t>
      </w:r>
    </w:p>
    <w:p w:rsidR="00273FAC" w:rsidRPr="00E73339" w:rsidRDefault="00273FAC" w:rsidP="00273FAC">
      <w:pPr>
        <w:pStyle w:val="Body"/>
        <w:rPr>
          <w:rFonts w:ascii="Times New Roman" w:hAnsi="Times New Roman" w:cs="Times New Roman"/>
          <w:bCs/>
          <w:color w:val="auto"/>
          <w:lang w:val="nl-NL"/>
        </w:rPr>
        <w:sectPr w:rsidR="00273FAC" w:rsidRPr="00E73339">
          <w:pgSz w:w="12240" w:h="15840"/>
          <w:pgMar w:top="1440" w:right="1440" w:bottom="1440" w:left="1440" w:header="720" w:footer="720" w:gutter="0"/>
          <w:cols w:space="720"/>
          <w:docGrid w:linePitch="360"/>
        </w:sectPr>
      </w:pPr>
      <w:r w:rsidRPr="00E73339">
        <w:rPr>
          <w:rFonts w:ascii="Times New Roman" w:hAnsi="Times New Roman" w:cs="Times New Roman"/>
          <w:bCs/>
          <w:color w:val="auto"/>
          <w:lang w:val="nl-NL"/>
        </w:rPr>
        <w:t>In 2015, FedDev Ontario 24 applications in 2015–16 from a broad range of sectors, including digital media, biomaterials, medical devices, robotics/automation, clean technology, life sciences, and automotive and additive manufacturing</w:t>
      </w:r>
      <w:r w:rsidR="007E0B45" w:rsidRPr="00E73339">
        <w:rPr>
          <w:rFonts w:ascii="Times New Roman" w:hAnsi="Times New Roman" w:cs="Times New Roman"/>
          <w:bCs/>
          <w:color w:val="auto"/>
          <w:lang w:val="nl-NL"/>
        </w:rPr>
        <w:t xml:space="preserve">. In the report, there was an emphasis on a 20 million CAD investment in a theruapeutic cell tech firm, </w:t>
      </w:r>
      <w:r w:rsidR="007E0B45" w:rsidRPr="00E73339">
        <w:rPr>
          <w:rFonts w:ascii="Times New Roman" w:hAnsi="Times New Roman" w:cs="Times New Roman"/>
          <w:color w:val="auto"/>
        </w:rPr>
        <w:t>the Centre for Commercialization of Regenerative Medicine.</w:t>
      </w:r>
      <w:r w:rsidR="007E0B45" w:rsidRPr="00E73339">
        <w:rPr>
          <w:rStyle w:val="FootnoteReference"/>
          <w:rFonts w:ascii="Times New Roman" w:hAnsi="Times New Roman" w:cs="Times New Roman"/>
          <w:color w:val="auto"/>
        </w:rPr>
        <w:footnoteReference w:id="2"/>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989"/>
        <w:gridCol w:w="988"/>
        <w:gridCol w:w="988"/>
        <w:gridCol w:w="988"/>
        <w:gridCol w:w="988"/>
        <w:gridCol w:w="988"/>
        <w:gridCol w:w="988"/>
      </w:tblGrid>
      <w:tr w:rsidR="00E73339" w:rsidRPr="00E73339" w:rsidTr="00E56C7E">
        <w:trPr>
          <w:trHeight w:val="582"/>
          <w:jc w:val="center"/>
        </w:trPr>
        <w:tc>
          <w:tcPr>
            <w:tcW w:w="0" w:type="auto"/>
            <w:gridSpan w:val="8"/>
            <w:tcBorders>
              <w:top w:val="single" w:sz="4" w:space="0" w:color="auto"/>
              <w:bottom w:val="single" w:sz="4" w:space="0" w:color="auto"/>
            </w:tcBorders>
            <w:vAlign w:val="center"/>
          </w:tcPr>
          <w:p w:rsidR="00FD047B" w:rsidRPr="00E73339" w:rsidRDefault="00897060" w:rsidP="00897060">
            <w:pPr>
              <w:jc w:val="center"/>
              <w:rPr>
                <w:b/>
                <w:sz w:val="20"/>
                <w:szCs w:val="20"/>
              </w:rPr>
            </w:pPr>
            <w:proofErr w:type="spellStart"/>
            <w:r w:rsidRPr="00E73339">
              <w:rPr>
                <w:b/>
                <w:sz w:val="20"/>
                <w:szCs w:val="20"/>
              </w:rPr>
              <w:lastRenderedPageBreak/>
              <w:t>FedDev</w:t>
            </w:r>
            <w:proofErr w:type="spellEnd"/>
            <w:r w:rsidRPr="00E73339">
              <w:rPr>
                <w:b/>
                <w:sz w:val="20"/>
                <w:szCs w:val="20"/>
              </w:rPr>
              <w:t xml:space="preserve"> Ontario</w:t>
            </w:r>
            <w:r w:rsidR="00FD047B" w:rsidRPr="00E73339">
              <w:rPr>
                <w:b/>
                <w:sz w:val="20"/>
                <w:szCs w:val="20"/>
              </w:rPr>
              <w:t xml:space="preserve"> Annual Expenditures </w:t>
            </w:r>
            <w:r w:rsidRPr="00E73339">
              <w:rPr>
                <w:b/>
                <w:sz w:val="20"/>
                <w:szCs w:val="20"/>
              </w:rPr>
              <w:t>Towards Community and Business</w:t>
            </w:r>
            <w:r w:rsidR="00FD047B" w:rsidRPr="00E73339">
              <w:rPr>
                <w:b/>
                <w:sz w:val="20"/>
                <w:szCs w:val="20"/>
              </w:rPr>
              <w:t xml:space="preserve"> Development (in millions CAD)</w:t>
            </w:r>
            <w:r w:rsidR="00FD047B" w:rsidRPr="00E73339">
              <w:rPr>
                <w:rStyle w:val="FootnoteReference"/>
                <w:b/>
                <w:sz w:val="20"/>
                <w:szCs w:val="20"/>
              </w:rPr>
              <w:footnoteReference w:id="3"/>
            </w:r>
          </w:p>
        </w:tc>
      </w:tr>
      <w:tr w:rsidR="00E73339" w:rsidRPr="00E73339" w:rsidTr="00E56C7E">
        <w:trPr>
          <w:trHeight w:val="582"/>
          <w:jc w:val="center"/>
        </w:trPr>
        <w:tc>
          <w:tcPr>
            <w:tcW w:w="0" w:type="auto"/>
            <w:tcBorders>
              <w:top w:val="single" w:sz="4" w:space="0" w:color="auto"/>
              <w:bottom w:val="single" w:sz="4" w:space="0" w:color="auto"/>
            </w:tcBorders>
            <w:vAlign w:val="center"/>
          </w:tcPr>
          <w:p w:rsidR="00FD047B" w:rsidRPr="00E73339" w:rsidRDefault="00FD047B" w:rsidP="00E56C7E">
            <w:pPr>
              <w:jc w:val="center"/>
              <w:rPr>
                <w:sz w:val="20"/>
                <w:szCs w:val="20"/>
              </w:rPr>
            </w:pPr>
          </w:p>
        </w:tc>
        <w:tc>
          <w:tcPr>
            <w:tcW w:w="0" w:type="auto"/>
            <w:tcBorders>
              <w:top w:val="single" w:sz="4" w:space="0" w:color="auto"/>
              <w:bottom w:val="single" w:sz="4" w:space="0" w:color="auto"/>
            </w:tcBorders>
            <w:vAlign w:val="center"/>
          </w:tcPr>
          <w:p w:rsidR="00FD047B" w:rsidRPr="00E73339" w:rsidRDefault="00FD047B" w:rsidP="00E56C7E">
            <w:pPr>
              <w:jc w:val="center"/>
              <w:rPr>
                <w:b/>
                <w:sz w:val="20"/>
                <w:szCs w:val="20"/>
              </w:rPr>
            </w:pPr>
            <w:r w:rsidRPr="00E73339">
              <w:rPr>
                <w:b/>
                <w:sz w:val="20"/>
                <w:szCs w:val="20"/>
              </w:rPr>
              <w:t>2010</w:t>
            </w:r>
          </w:p>
        </w:tc>
        <w:tc>
          <w:tcPr>
            <w:tcW w:w="0" w:type="auto"/>
            <w:tcBorders>
              <w:top w:val="single" w:sz="4" w:space="0" w:color="auto"/>
              <w:bottom w:val="single" w:sz="4" w:space="0" w:color="auto"/>
            </w:tcBorders>
            <w:vAlign w:val="center"/>
          </w:tcPr>
          <w:p w:rsidR="00FD047B" w:rsidRPr="00E73339" w:rsidRDefault="00FD047B" w:rsidP="00E56C7E">
            <w:pPr>
              <w:jc w:val="center"/>
              <w:rPr>
                <w:b/>
                <w:sz w:val="20"/>
                <w:szCs w:val="20"/>
              </w:rPr>
            </w:pPr>
            <w:r w:rsidRPr="00E73339">
              <w:rPr>
                <w:b/>
                <w:sz w:val="20"/>
                <w:szCs w:val="20"/>
              </w:rPr>
              <w:t>2011</w:t>
            </w:r>
          </w:p>
        </w:tc>
        <w:tc>
          <w:tcPr>
            <w:tcW w:w="0" w:type="auto"/>
            <w:tcBorders>
              <w:top w:val="single" w:sz="4" w:space="0" w:color="auto"/>
              <w:bottom w:val="single" w:sz="4" w:space="0" w:color="auto"/>
            </w:tcBorders>
            <w:vAlign w:val="center"/>
          </w:tcPr>
          <w:p w:rsidR="00FD047B" w:rsidRPr="00E73339" w:rsidRDefault="00FD047B" w:rsidP="00E56C7E">
            <w:pPr>
              <w:jc w:val="center"/>
              <w:rPr>
                <w:b/>
                <w:sz w:val="20"/>
                <w:szCs w:val="20"/>
              </w:rPr>
            </w:pPr>
            <w:r w:rsidRPr="00E73339">
              <w:rPr>
                <w:b/>
                <w:sz w:val="20"/>
                <w:szCs w:val="20"/>
              </w:rPr>
              <w:t>2012</w:t>
            </w:r>
          </w:p>
        </w:tc>
        <w:tc>
          <w:tcPr>
            <w:tcW w:w="0" w:type="auto"/>
            <w:tcBorders>
              <w:top w:val="single" w:sz="4" w:space="0" w:color="auto"/>
              <w:bottom w:val="single" w:sz="4" w:space="0" w:color="auto"/>
            </w:tcBorders>
            <w:vAlign w:val="center"/>
          </w:tcPr>
          <w:p w:rsidR="00FD047B" w:rsidRPr="00E73339" w:rsidRDefault="00FD047B" w:rsidP="00E56C7E">
            <w:pPr>
              <w:jc w:val="center"/>
              <w:rPr>
                <w:b/>
                <w:sz w:val="20"/>
                <w:szCs w:val="20"/>
              </w:rPr>
            </w:pPr>
            <w:r w:rsidRPr="00E73339">
              <w:rPr>
                <w:b/>
                <w:sz w:val="20"/>
                <w:szCs w:val="20"/>
              </w:rPr>
              <w:t>2013</w:t>
            </w:r>
          </w:p>
        </w:tc>
        <w:tc>
          <w:tcPr>
            <w:tcW w:w="0" w:type="auto"/>
            <w:tcBorders>
              <w:top w:val="single" w:sz="4" w:space="0" w:color="auto"/>
              <w:bottom w:val="single" w:sz="4" w:space="0" w:color="auto"/>
            </w:tcBorders>
            <w:vAlign w:val="center"/>
          </w:tcPr>
          <w:p w:rsidR="00FD047B" w:rsidRPr="00E73339" w:rsidRDefault="00FD047B" w:rsidP="00E56C7E">
            <w:pPr>
              <w:jc w:val="center"/>
              <w:rPr>
                <w:b/>
                <w:sz w:val="20"/>
                <w:szCs w:val="20"/>
              </w:rPr>
            </w:pPr>
            <w:r w:rsidRPr="00E73339">
              <w:rPr>
                <w:b/>
                <w:sz w:val="20"/>
                <w:szCs w:val="20"/>
              </w:rPr>
              <w:t>2014</w:t>
            </w:r>
          </w:p>
        </w:tc>
        <w:tc>
          <w:tcPr>
            <w:tcW w:w="0" w:type="auto"/>
            <w:tcBorders>
              <w:top w:val="single" w:sz="4" w:space="0" w:color="auto"/>
              <w:bottom w:val="single" w:sz="4" w:space="0" w:color="auto"/>
            </w:tcBorders>
            <w:vAlign w:val="center"/>
          </w:tcPr>
          <w:p w:rsidR="00FD047B" w:rsidRPr="00E73339" w:rsidRDefault="00FD047B" w:rsidP="00E56C7E">
            <w:pPr>
              <w:jc w:val="center"/>
              <w:rPr>
                <w:b/>
                <w:sz w:val="20"/>
                <w:szCs w:val="20"/>
              </w:rPr>
            </w:pPr>
            <w:r w:rsidRPr="00E73339">
              <w:rPr>
                <w:b/>
                <w:sz w:val="20"/>
                <w:szCs w:val="20"/>
              </w:rPr>
              <w:t>2015</w:t>
            </w:r>
          </w:p>
        </w:tc>
        <w:tc>
          <w:tcPr>
            <w:tcW w:w="0" w:type="auto"/>
            <w:tcBorders>
              <w:top w:val="single" w:sz="4" w:space="0" w:color="auto"/>
              <w:bottom w:val="single" w:sz="4" w:space="0" w:color="auto"/>
            </w:tcBorders>
            <w:vAlign w:val="center"/>
          </w:tcPr>
          <w:p w:rsidR="00FD047B" w:rsidRPr="00E73339" w:rsidRDefault="00FD047B" w:rsidP="00E56C7E">
            <w:pPr>
              <w:jc w:val="center"/>
              <w:rPr>
                <w:b/>
                <w:sz w:val="20"/>
                <w:szCs w:val="20"/>
              </w:rPr>
            </w:pPr>
            <w:r w:rsidRPr="00E73339">
              <w:rPr>
                <w:b/>
                <w:sz w:val="20"/>
                <w:szCs w:val="20"/>
              </w:rPr>
              <w:t>2016</w:t>
            </w:r>
          </w:p>
        </w:tc>
      </w:tr>
      <w:tr w:rsidR="00E73339" w:rsidRPr="00E73339" w:rsidTr="00E56C7E">
        <w:trPr>
          <w:trHeight w:val="299"/>
          <w:jc w:val="center"/>
        </w:trPr>
        <w:tc>
          <w:tcPr>
            <w:tcW w:w="0" w:type="auto"/>
            <w:tcBorders>
              <w:top w:val="single" w:sz="4" w:space="0" w:color="auto"/>
            </w:tcBorders>
            <w:vAlign w:val="center"/>
          </w:tcPr>
          <w:p w:rsidR="00FD047B" w:rsidRPr="00E73339" w:rsidRDefault="00FD047B" w:rsidP="008B6464">
            <w:pPr>
              <w:jc w:val="center"/>
              <w:rPr>
                <w:b/>
                <w:sz w:val="18"/>
                <w:szCs w:val="18"/>
              </w:rPr>
            </w:pPr>
            <w:r w:rsidRPr="00E73339">
              <w:rPr>
                <w:b/>
                <w:sz w:val="18"/>
                <w:szCs w:val="18"/>
              </w:rPr>
              <w:t>Planned Spending</w:t>
            </w:r>
          </w:p>
        </w:tc>
        <w:tc>
          <w:tcPr>
            <w:tcW w:w="0" w:type="auto"/>
            <w:tcBorders>
              <w:top w:val="single" w:sz="4" w:space="0" w:color="auto"/>
            </w:tcBorders>
            <w:vAlign w:val="center"/>
          </w:tcPr>
          <w:p w:rsidR="00FD047B" w:rsidRPr="00E73339" w:rsidRDefault="00B4391A" w:rsidP="00897060">
            <w:pPr>
              <w:jc w:val="center"/>
              <w:rPr>
                <w:sz w:val="20"/>
                <w:szCs w:val="20"/>
              </w:rPr>
            </w:pPr>
            <w:r w:rsidRPr="00E73339">
              <w:rPr>
                <w:sz w:val="20"/>
                <w:szCs w:val="20"/>
              </w:rPr>
              <w:t>395</w:t>
            </w:r>
          </w:p>
        </w:tc>
        <w:tc>
          <w:tcPr>
            <w:tcW w:w="0" w:type="auto"/>
            <w:tcBorders>
              <w:top w:val="single" w:sz="4" w:space="0" w:color="auto"/>
            </w:tcBorders>
            <w:vAlign w:val="center"/>
          </w:tcPr>
          <w:p w:rsidR="00FD047B" w:rsidRPr="00E73339" w:rsidRDefault="00B4391A" w:rsidP="00897060">
            <w:pPr>
              <w:jc w:val="center"/>
              <w:rPr>
                <w:sz w:val="20"/>
                <w:szCs w:val="20"/>
              </w:rPr>
            </w:pPr>
            <w:r w:rsidRPr="00E73339">
              <w:rPr>
                <w:sz w:val="20"/>
                <w:szCs w:val="20"/>
              </w:rPr>
              <w:t>134.5</w:t>
            </w:r>
          </w:p>
        </w:tc>
        <w:tc>
          <w:tcPr>
            <w:tcW w:w="0" w:type="auto"/>
            <w:tcBorders>
              <w:top w:val="single" w:sz="4" w:space="0" w:color="auto"/>
            </w:tcBorders>
            <w:vAlign w:val="center"/>
          </w:tcPr>
          <w:p w:rsidR="00FD047B" w:rsidRPr="00E73339" w:rsidRDefault="00B4391A" w:rsidP="00897060">
            <w:pPr>
              <w:jc w:val="center"/>
              <w:rPr>
                <w:sz w:val="20"/>
                <w:szCs w:val="20"/>
              </w:rPr>
            </w:pPr>
            <w:r w:rsidRPr="00E73339">
              <w:rPr>
                <w:sz w:val="20"/>
                <w:szCs w:val="20"/>
              </w:rPr>
              <w:t>169.5</w:t>
            </w:r>
          </w:p>
        </w:tc>
        <w:tc>
          <w:tcPr>
            <w:tcW w:w="0" w:type="auto"/>
            <w:tcBorders>
              <w:top w:val="single" w:sz="4" w:space="0" w:color="auto"/>
            </w:tcBorders>
            <w:vAlign w:val="center"/>
          </w:tcPr>
          <w:p w:rsidR="00FD047B" w:rsidRPr="00E73339" w:rsidRDefault="00B4391A" w:rsidP="00897060">
            <w:pPr>
              <w:jc w:val="center"/>
              <w:rPr>
                <w:sz w:val="20"/>
                <w:szCs w:val="20"/>
              </w:rPr>
            </w:pPr>
            <w:r w:rsidRPr="00E73339">
              <w:rPr>
                <w:sz w:val="20"/>
                <w:szCs w:val="20"/>
              </w:rPr>
              <w:t>153.2</w:t>
            </w:r>
          </w:p>
        </w:tc>
        <w:tc>
          <w:tcPr>
            <w:tcW w:w="0" w:type="auto"/>
            <w:tcBorders>
              <w:top w:val="single" w:sz="4" w:space="0" w:color="auto"/>
            </w:tcBorders>
            <w:vAlign w:val="center"/>
          </w:tcPr>
          <w:p w:rsidR="00FD047B" w:rsidRPr="00E73339" w:rsidRDefault="00B4391A" w:rsidP="00897060">
            <w:pPr>
              <w:jc w:val="center"/>
              <w:rPr>
                <w:sz w:val="20"/>
                <w:szCs w:val="20"/>
              </w:rPr>
            </w:pPr>
            <w:r w:rsidRPr="00E73339">
              <w:rPr>
                <w:sz w:val="20"/>
                <w:szCs w:val="20"/>
              </w:rPr>
              <w:t>156.7</w:t>
            </w:r>
          </w:p>
        </w:tc>
        <w:tc>
          <w:tcPr>
            <w:tcW w:w="0" w:type="auto"/>
            <w:tcBorders>
              <w:top w:val="single" w:sz="4" w:space="0" w:color="auto"/>
            </w:tcBorders>
          </w:tcPr>
          <w:p w:rsidR="00FD047B" w:rsidRPr="00E73339" w:rsidRDefault="00B4391A" w:rsidP="00897060">
            <w:pPr>
              <w:jc w:val="center"/>
              <w:rPr>
                <w:sz w:val="20"/>
                <w:szCs w:val="20"/>
              </w:rPr>
            </w:pPr>
            <w:r w:rsidRPr="00E73339">
              <w:rPr>
                <w:sz w:val="20"/>
                <w:szCs w:val="20"/>
              </w:rPr>
              <w:t>157.9</w:t>
            </w:r>
          </w:p>
        </w:tc>
        <w:tc>
          <w:tcPr>
            <w:tcW w:w="0" w:type="auto"/>
            <w:tcBorders>
              <w:top w:val="single" w:sz="4" w:space="0" w:color="auto"/>
            </w:tcBorders>
          </w:tcPr>
          <w:p w:rsidR="00FD047B" w:rsidRPr="00E73339" w:rsidRDefault="00B4391A" w:rsidP="00897060">
            <w:pPr>
              <w:jc w:val="center"/>
              <w:rPr>
                <w:sz w:val="20"/>
                <w:szCs w:val="20"/>
              </w:rPr>
            </w:pPr>
            <w:r w:rsidRPr="00E73339">
              <w:rPr>
                <w:sz w:val="20"/>
                <w:szCs w:val="20"/>
              </w:rPr>
              <w:t>150.6</w:t>
            </w:r>
          </w:p>
        </w:tc>
      </w:tr>
      <w:tr w:rsidR="00E73339" w:rsidRPr="00E73339" w:rsidTr="00E56C7E">
        <w:trPr>
          <w:trHeight w:val="282"/>
          <w:jc w:val="center"/>
        </w:trPr>
        <w:tc>
          <w:tcPr>
            <w:tcW w:w="0" w:type="auto"/>
            <w:vAlign w:val="center"/>
          </w:tcPr>
          <w:p w:rsidR="00897060" w:rsidRPr="00E73339" w:rsidRDefault="00FD047B" w:rsidP="00897060">
            <w:pPr>
              <w:jc w:val="center"/>
              <w:rPr>
                <w:b/>
                <w:sz w:val="18"/>
                <w:szCs w:val="18"/>
              </w:rPr>
            </w:pPr>
            <w:r w:rsidRPr="00E73339">
              <w:rPr>
                <w:b/>
                <w:sz w:val="18"/>
                <w:szCs w:val="18"/>
              </w:rPr>
              <w:t>Actual Spending</w:t>
            </w:r>
          </w:p>
        </w:tc>
        <w:tc>
          <w:tcPr>
            <w:tcW w:w="0" w:type="auto"/>
            <w:vAlign w:val="center"/>
          </w:tcPr>
          <w:p w:rsidR="00FD047B" w:rsidRPr="00E73339" w:rsidRDefault="00B4391A" w:rsidP="00897060">
            <w:pPr>
              <w:jc w:val="center"/>
              <w:rPr>
                <w:sz w:val="20"/>
                <w:szCs w:val="20"/>
              </w:rPr>
            </w:pPr>
            <w:r w:rsidRPr="00E73339">
              <w:rPr>
                <w:sz w:val="20"/>
                <w:szCs w:val="20"/>
              </w:rPr>
              <w:t>257.9</w:t>
            </w:r>
          </w:p>
        </w:tc>
        <w:tc>
          <w:tcPr>
            <w:tcW w:w="0" w:type="auto"/>
            <w:vAlign w:val="center"/>
          </w:tcPr>
          <w:p w:rsidR="00FD047B" w:rsidRPr="00E73339" w:rsidRDefault="00B4391A" w:rsidP="00897060">
            <w:pPr>
              <w:jc w:val="center"/>
              <w:rPr>
                <w:sz w:val="20"/>
                <w:szCs w:val="20"/>
              </w:rPr>
            </w:pPr>
            <w:r w:rsidRPr="00E73339">
              <w:rPr>
                <w:sz w:val="20"/>
                <w:szCs w:val="20"/>
              </w:rPr>
              <w:t>176.6</w:t>
            </w:r>
          </w:p>
        </w:tc>
        <w:tc>
          <w:tcPr>
            <w:tcW w:w="0" w:type="auto"/>
            <w:vAlign w:val="center"/>
          </w:tcPr>
          <w:p w:rsidR="00FD047B" w:rsidRPr="00E73339" w:rsidRDefault="00B4391A" w:rsidP="00897060">
            <w:pPr>
              <w:jc w:val="center"/>
              <w:rPr>
                <w:sz w:val="20"/>
                <w:szCs w:val="20"/>
              </w:rPr>
            </w:pPr>
            <w:r w:rsidRPr="00E73339">
              <w:rPr>
                <w:sz w:val="20"/>
                <w:szCs w:val="20"/>
              </w:rPr>
              <w:t>188.1</w:t>
            </w:r>
          </w:p>
        </w:tc>
        <w:tc>
          <w:tcPr>
            <w:tcW w:w="0" w:type="auto"/>
            <w:vAlign w:val="center"/>
          </w:tcPr>
          <w:p w:rsidR="00FD047B" w:rsidRPr="00E73339" w:rsidRDefault="00B4391A" w:rsidP="00897060">
            <w:pPr>
              <w:jc w:val="center"/>
              <w:rPr>
                <w:sz w:val="20"/>
                <w:szCs w:val="20"/>
              </w:rPr>
            </w:pPr>
            <w:r w:rsidRPr="00E73339">
              <w:rPr>
                <w:sz w:val="20"/>
                <w:szCs w:val="20"/>
              </w:rPr>
              <w:t>142.1</w:t>
            </w:r>
          </w:p>
        </w:tc>
        <w:tc>
          <w:tcPr>
            <w:tcW w:w="0" w:type="auto"/>
            <w:vAlign w:val="center"/>
          </w:tcPr>
          <w:p w:rsidR="00FD047B" w:rsidRPr="00E73339" w:rsidRDefault="00B4391A" w:rsidP="00897060">
            <w:pPr>
              <w:jc w:val="center"/>
              <w:rPr>
                <w:sz w:val="20"/>
                <w:szCs w:val="20"/>
              </w:rPr>
            </w:pPr>
            <w:r w:rsidRPr="00E73339">
              <w:rPr>
                <w:sz w:val="20"/>
                <w:szCs w:val="20"/>
              </w:rPr>
              <w:t>58.8</w:t>
            </w:r>
          </w:p>
        </w:tc>
        <w:tc>
          <w:tcPr>
            <w:tcW w:w="0" w:type="auto"/>
            <w:vAlign w:val="center"/>
          </w:tcPr>
          <w:p w:rsidR="00FD047B" w:rsidRPr="00E73339" w:rsidRDefault="00B4391A" w:rsidP="00897060">
            <w:pPr>
              <w:jc w:val="center"/>
              <w:rPr>
                <w:sz w:val="20"/>
                <w:szCs w:val="20"/>
              </w:rPr>
            </w:pPr>
            <w:r w:rsidRPr="00E73339">
              <w:rPr>
                <w:sz w:val="20"/>
                <w:szCs w:val="20"/>
              </w:rPr>
              <w:t>125.3</w:t>
            </w:r>
          </w:p>
        </w:tc>
        <w:tc>
          <w:tcPr>
            <w:tcW w:w="0" w:type="auto"/>
          </w:tcPr>
          <w:p w:rsidR="00FD047B" w:rsidRPr="00E73339" w:rsidRDefault="00B4391A" w:rsidP="00897060">
            <w:pPr>
              <w:jc w:val="center"/>
              <w:rPr>
                <w:sz w:val="20"/>
                <w:szCs w:val="20"/>
              </w:rPr>
            </w:pPr>
            <w:r w:rsidRPr="00E73339">
              <w:rPr>
                <w:sz w:val="20"/>
                <w:szCs w:val="20"/>
              </w:rPr>
              <w:t>142.4</w:t>
            </w:r>
          </w:p>
        </w:tc>
      </w:tr>
      <w:tr w:rsidR="00897060" w:rsidRPr="00E73339" w:rsidTr="00E56C7E">
        <w:trPr>
          <w:trHeight w:val="299"/>
          <w:jc w:val="center"/>
        </w:trPr>
        <w:tc>
          <w:tcPr>
            <w:tcW w:w="0" w:type="auto"/>
            <w:tcBorders>
              <w:bottom w:val="single" w:sz="4" w:space="0" w:color="auto"/>
            </w:tcBorders>
            <w:vAlign w:val="center"/>
          </w:tcPr>
          <w:p w:rsidR="008B6464" w:rsidRPr="00E73339" w:rsidRDefault="008B6464" w:rsidP="00E56C7E">
            <w:pPr>
              <w:jc w:val="center"/>
              <w:rPr>
                <w:b/>
                <w:sz w:val="18"/>
                <w:szCs w:val="18"/>
              </w:rPr>
            </w:pPr>
          </w:p>
        </w:tc>
        <w:tc>
          <w:tcPr>
            <w:tcW w:w="0" w:type="auto"/>
            <w:tcBorders>
              <w:bottom w:val="single" w:sz="4" w:space="0" w:color="auto"/>
            </w:tcBorders>
            <w:vAlign w:val="center"/>
          </w:tcPr>
          <w:p w:rsidR="008B6464" w:rsidRPr="00E73339" w:rsidRDefault="008B6464" w:rsidP="00897060">
            <w:pPr>
              <w:jc w:val="center"/>
              <w:rPr>
                <w:sz w:val="20"/>
                <w:szCs w:val="20"/>
              </w:rPr>
            </w:pPr>
          </w:p>
        </w:tc>
        <w:tc>
          <w:tcPr>
            <w:tcW w:w="0" w:type="auto"/>
            <w:tcBorders>
              <w:bottom w:val="single" w:sz="4" w:space="0" w:color="auto"/>
            </w:tcBorders>
            <w:vAlign w:val="center"/>
          </w:tcPr>
          <w:p w:rsidR="008B6464" w:rsidRPr="00E73339" w:rsidRDefault="008B6464" w:rsidP="00897060">
            <w:pPr>
              <w:jc w:val="center"/>
              <w:rPr>
                <w:sz w:val="20"/>
                <w:szCs w:val="20"/>
              </w:rPr>
            </w:pPr>
          </w:p>
        </w:tc>
        <w:tc>
          <w:tcPr>
            <w:tcW w:w="0" w:type="auto"/>
            <w:tcBorders>
              <w:bottom w:val="single" w:sz="4" w:space="0" w:color="auto"/>
            </w:tcBorders>
            <w:vAlign w:val="center"/>
          </w:tcPr>
          <w:p w:rsidR="008B6464" w:rsidRPr="00E73339" w:rsidRDefault="008B6464" w:rsidP="00897060">
            <w:pPr>
              <w:jc w:val="center"/>
              <w:rPr>
                <w:sz w:val="20"/>
                <w:szCs w:val="20"/>
              </w:rPr>
            </w:pPr>
          </w:p>
        </w:tc>
        <w:tc>
          <w:tcPr>
            <w:tcW w:w="0" w:type="auto"/>
            <w:tcBorders>
              <w:bottom w:val="single" w:sz="4" w:space="0" w:color="auto"/>
            </w:tcBorders>
            <w:vAlign w:val="center"/>
          </w:tcPr>
          <w:p w:rsidR="008B6464" w:rsidRPr="00E73339" w:rsidRDefault="008B6464" w:rsidP="00897060">
            <w:pPr>
              <w:jc w:val="center"/>
              <w:rPr>
                <w:sz w:val="20"/>
                <w:szCs w:val="20"/>
              </w:rPr>
            </w:pPr>
          </w:p>
        </w:tc>
        <w:tc>
          <w:tcPr>
            <w:tcW w:w="0" w:type="auto"/>
            <w:tcBorders>
              <w:bottom w:val="single" w:sz="4" w:space="0" w:color="auto"/>
            </w:tcBorders>
            <w:vAlign w:val="center"/>
          </w:tcPr>
          <w:p w:rsidR="008B6464" w:rsidRPr="00E73339" w:rsidRDefault="008B6464" w:rsidP="00897060">
            <w:pPr>
              <w:jc w:val="center"/>
              <w:rPr>
                <w:sz w:val="20"/>
                <w:szCs w:val="20"/>
              </w:rPr>
            </w:pPr>
          </w:p>
        </w:tc>
        <w:tc>
          <w:tcPr>
            <w:tcW w:w="0" w:type="auto"/>
            <w:tcBorders>
              <w:bottom w:val="single" w:sz="4" w:space="0" w:color="auto"/>
            </w:tcBorders>
            <w:vAlign w:val="center"/>
          </w:tcPr>
          <w:p w:rsidR="008B6464" w:rsidRPr="00E73339" w:rsidRDefault="008B6464" w:rsidP="00897060">
            <w:pPr>
              <w:jc w:val="center"/>
              <w:rPr>
                <w:sz w:val="20"/>
                <w:szCs w:val="20"/>
              </w:rPr>
            </w:pPr>
          </w:p>
        </w:tc>
        <w:tc>
          <w:tcPr>
            <w:tcW w:w="0" w:type="auto"/>
            <w:tcBorders>
              <w:bottom w:val="single" w:sz="4" w:space="0" w:color="auto"/>
            </w:tcBorders>
          </w:tcPr>
          <w:p w:rsidR="008B6464" w:rsidRPr="00E73339" w:rsidRDefault="008B6464" w:rsidP="00897060">
            <w:pPr>
              <w:jc w:val="center"/>
              <w:rPr>
                <w:sz w:val="20"/>
                <w:szCs w:val="20"/>
              </w:rPr>
            </w:pPr>
          </w:p>
        </w:tc>
      </w:tr>
    </w:tbl>
    <w:p w:rsidR="00FD047B" w:rsidRPr="00E73339" w:rsidRDefault="00FD047B" w:rsidP="00FD047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982"/>
        <w:gridCol w:w="909"/>
        <w:gridCol w:w="909"/>
        <w:gridCol w:w="909"/>
        <w:gridCol w:w="909"/>
      </w:tblGrid>
      <w:tr w:rsidR="00E73339" w:rsidRPr="00E73339" w:rsidTr="00E56C7E">
        <w:trPr>
          <w:trHeight w:val="582"/>
          <w:jc w:val="center"/>
        </w:trPr>
        <w:tc>
          <w:tcPr>
            <w:tcW w:w="0" w:type="auto"/>
            <w:gridSpan w:val="6"/>
            <w:tcBorders>
              <w:top w:val="single" w:sz="4" w:space="0" w:color="auto"/>
              <w:bottom w:val="single" w:sz="4" w:space="0" w:color="auto"/>
            </w:tcBorders>
            <w:vAlign w:val="center"/>
          </w:tcPr>
          <w:p w:rsidR="0031108C" w:rsidRPr="00E73339" w:rsidRDefault="0031108C" w:rsidP="008920AE">
            <w:pPr>
              <w:jc w:val="center"/>
              <w:rPr>
                <w:b/>
                <w:sz w:val="20"/>
                <w:szCs w:val="20"/>
              </w:rPr>
            </w:pPr>
            <w:proofErr w:type="spellStart"/>
            <w:r w:rsidRPr="00E73339">
              <w:rPr>
                <w:b/>
                <w:sz w:val="20"/>
                <w:szCs w:val="20"/>
              </w:rPr>
              <w:t>FedDev</w:t>
            </w:r>
            <w:proofErr w:type="spellEnd"/>
            <w:r w:rsidRPr="00E73339">
              <w:rPr>
                <w:b/>
                <w:sz w:val="20"/>
                <w:szCs w:val="20"/>
              </w:rPr>
              <w:t xml:space="preserve"> Ontario Annual Expenditures Business Development (in millions CAD)</w:t>
            </w:r>
          </w:p>
        </w:tc>
      </w:tr>
      <w:tr w:rsidR="00E73339" w:rsidRPr="00E73339" w:rsidTr="00E56C7E">
        <w:trPr>
          <w:trHeight w:val="582"/>
          <w:jc w:val="center"/>
        </w:trPr>
        <w:tc>
          <w:tcPr>
            <w:tcW w:w="0" w:type="auto"/>
            <w:tcBorders>
              <w:top w:val="single" w:sz="4" w:space="0" w:color="auto"/>
              <w:bottom w:val="single" w:sz="4" w:space="0" w:color="auto"/>
            </w:tcBorders>
            <w:vAlign w:val="center"/>
          </w:tcPr>
          <w:p w:rsidR="0031108C" w:rsidRPr="00E73339" w:rsidRDefault="0031108C" w:rsidP="00E56C7E">
            <w:pPr>
              <w:jc w:val="center"/>
              <w:rPr>
                <w:sz w:val="20"/>
                <w:szCs w:val="20"/>
              </w:rPr>
            </w:pPr>
          </w:p>
        </w:tc>
        <w:tc>
          <w:tcPr>
            <w:tcW w:w="0" w:type="auto"/>
            <w:tcBorders>
              <w:top w:val="single" w:sz="4" w:space="0" w:color="auto"/>
              <w:bottom w:val="single" w:sz="4" w:space="0" w:color="auto"/>
            </w:tcBorders>
            <w:vAlign w:val="center"/>
          </w:tcPr>
          <w:p w:rsidR="0031108C" w:rsidRPr="00E73339" w:rsidRDefault="0031108C" w:rsidP="00E56C7E">
            <w:pPr>
              <w:jc w:val="center"/>
              <w:rPr>
                <w:b/>
                <w:sz w:val="20"/>
                <w:szCs w:val="20"/>
              </w:rPr>
            </w:pPr>
            <w:r w:rsidRPr="00E73339">
              <w:rPr>
                <w:b/>
                <w:sz w:val="20"/>
                <w:szCs w:val="20"/>
              </w:rPr>
              <w:t>2012</w:t>
            </w:r>
          </w:p>
        </w:tc>
        <w:tc>
          <w:tcPr>
            <w:tcW w:w="0" w:type="auto"/>
            <w:tcBorders>
              <w:top w:val="single" w:sz="4" w:space="0" w:color="auto"/>
              <w:bottom w:val="single" w:sz="4" w:space="0" w:color="auto"/>
            </w:tcBorders>
            <w:vAlign w:val="center"/>
          </w:tcPr>
          <w:p w:rsidR="0031108C" w:rsidRPr="00E73339" w:rsidRDefault="0031108C" w:rsidP="00E56C7E">
            <w:pPr>
              <w:jc w:val="center"/>
              <w:rPr>
                <w:b/>
                <w:sz w:val="20"/>
                <w:szCs w:val="20"/>
              </w:rPr>
            </w:pPr>
            <w:r w:rsidRPr="00E73339">
              <w:rPr>
                <w:b/>
                <w:sz w:val="20"/>
                <w:szCs w:val="20"/>
              </w:rPr>
              <w:t>2013</w:t>
            </w:r>
          </w:p>
        </w:tc>
        <w:tc>
          <w:tcPr>
            <w:tcW w:w="0" w:type="auto"/>
            <w:tcBorders>
              <w:top w:val="single" w:sz="4" w:space="0" w:color="auto"/>
              <w:bottom w:val="single" w:sz="4" w:space="0" w:color="auto"/>
            </w:tcBorders>
            <w:vAlign w:val="center"/>
          </w:tcPr>
          <w:p w:rsidR="0031108C" w:rsidRPr="00E73339" w:rsidRDefault="0031108C" w:rsidP="00E56C7E">
            <w:pPr>
              <w:jc w:val="center"/>
              <w:rPr>
                <w:b/>
                <w:sz w:val="20"/>
                <w:szCs w:val="20"/>
              </w:rPr>
            </w:pPr>
            <w:r w:rsidRPr="00E73339">
              <w:rPr>
                <w:b/>
                <w:sz w:val="20"/>
                <w:szCs w:val="20"/>
              </w:rPr>
              <w:t>2014</w:t>
            </w:r>
          </w:p>
        </w:tc>
        <w:tc>
          <w:tcPr>
            <w:tcW w:w="0" w:type="auto"/>
            <w:tcBorders>
              <w:top w:val="single" w:sz="4" w:space="0" w:color="auto"/>
              <w:bottom w:val="single" w:sz="4" w:space="0" w:color="auto"/>
            </w:tcBorders>
            <w:vAlign w:val="center"/>
          </w:tcPr>
          <w:p w:rsidR="0031108C" w:rsidRPr="00E73339" w:rsidRDefault="0031108C" w:rsidP="00E56C7E">
            <w:pPr>
              <w:jc w:val="center"/>
              <w:rPr>
                <w:b/>
                <w:sz w:val="20"/>
                <w:szCs w:val="20"/>
              </w:rPr>
            </w:pPr>
            <w:r w:rsidRPr="00E73339">
              <w:rPr>
                <w:b/>
                <w:sz w:val="20"/>
                <w:szCs w:val="20"/>
              </w:rPr>
              <w:t>2015</w:t>
            </w:r>
          </w:p>
        </w:tc>
        <w:tc>
          <w:tcPr>
            <w:tcW w:w="0" w:type="auto"/>
            <w:tcBorders>
              <w:top w:val="single" w:sz="4" w:space="0" w:color="auto"/>
              <w:bottom w:val="single" w:sz="4" w:space="0" w:color="auto"/>
            </w:tcBorders>
            <w:vAlign w:val="center"/>
          </w:tcPr>
          <w:p w:rsidR="0031108C" w:rsidRPr="00E73339" w:rsidRDefault="0031108C" w:rsidP="00E56C7E">
            <w:pPr>
              <w:jc w:val="center"/>
              <w:rPr>
                <w:b/>
                <w:sz w:val="20"/>
                <w:szCs w:val="20"/>
              </w:rPr>
            </w:pPr>
            <w:r w:rsidRPr="00E73339">
              <w:rPr>
                <w:b/>
                <w:sz w:val="20"/>
                <w:szCs w:val="20"/>
              </w:rPr>
              <w:t>2016</w:t>
            </w:r>
          </w:p>
        </w:tc>
      </w:tr>
      <w:tr w:rsidR="00E73339" w:rsidRPr="00E73339" w:rsidTr="00E56C7E">
        <w:trPr>
          <w:trHeight w:val="299"/>
          <w:jc w:val="center"/>
        </w:trPr>
        <w:tc>
          <w:tcPr>
            <w:tcW w:w="0" w:type="auto"/>
            <w:tcBorders>
              <w:top w:val="single" w:sz="4" w:space="0" w:color="auto"/>
            </w:tcBorders>
            <w:vAlign w:val="center"/>
          </w:tcPr>
          <w:p w:rsidR="0031108C" w:rsidRPr="00E73339" w:rsidRDefault="0031108C" w:rsidP="00E56C7E">
            <w:pPr>
              <w:jc w:val="center"/>
              <w:rPr>
                <w:b/>
                <w:sz w:val="18"/>
                <w:szCs w:val="18"/>
              </w:rPr>
            </w:pPr>
            <w:r w:rsidRPr="00E73339">
              <w:rPr>
                <w:b/>
                <w:sz w:val="18"/>
                <w:szCs w:val="18"/>
              </w:rPr>
              <w:t>Planned Spending</w:t>
            </w:r>
          </w:p>
        </w:tc>
        <w:tc>
          <w:tcPr>
            <w:tcW w:w="0" w:type="auto"/>
            <w:tcBorders>
              <w:top w:val="single" w:sz="4" w:space="0" w:color="auto"/>
            </w:tcBorders>
            <w:vAlign w:val="center"/>
          </w:tcPr>
          <w:p w:rsidR="0031108C" w:rsidRPr="00E73339" w:rsidRDefault="0031108C" w:rsidP="00E56C7E">
            <w:pPr>
              <w:jc w:val="center"/>
              <w:rPr>
                <w:sz w:val="20"/>
                <w:szCs w:val="20"/>
              </w:rPr>
            </w:pPr>
            <w:r w:rsidRPr="00E73339">
              <w:rPr>
                <w:sz w:val="20"/>
                <w:szCs w:val="20"/>
              </w:rPr>
              <w:t>118.5</w:t>
            </w:r>
          </w:p>
        </w:tc>
        <w:tc>
          <w:tcPr>
            <w:tcW w:w="0" w:type="auto"/>
            <w:tcBorders>
              <w:top w:val="single" w:sz="4" w:space="0" w:color="auto"/>
            </w:tcBorders>
            <w:vAlign w:val="center"/>
          </w:tcPr>
          <w:p w:rsidR="0031108C" w:rsidRPr="00E73339" w:rsidRDefault="0031108C" w:rsidP="00E56C7E">
            <w:pPr>
              <w:jc w:val="center"/>
              <w:rPr>
                <w:sz w:val="20"/>
                <w:szCs w:val="20"/>
              </w:rPr>
            </w:pPr>
            <w:r w:rsidRPr="00E73339">
              <w:rPr>
                <w:sz w:val="20"/>
                <w:szCs w:val="20"/>
              </w:rPr>
              <w:t>90.4</w:t>
            </w:r>
          </w:p>
        </w:tc>
        <w:tc>
          <w:tcPr>
            <w:tcW w:w="0" w:type="auto"/>
            <w:tcBorders>
              <w:top w:val="single" w:sz="4" w:space="0" w:color="auto"/>
            </w:tcBorders>
            <w:vAlign w:val="center"/>
          </w:tcPr>
          <w:p w:rsidR="0031108C" w:rsidRPr="00E73339" w:rsidRDefault="0031108C" w:rsidP="00E56C7E">
            <w:pPr>
              <w:jc w:val="center"/>
              <w:rPr>
                <w:sz w:val="20"/>
                <w:szCs w:val="20"/>
              </w:rPr>
            </w:pPr>
            <w:r w:rsidRPr="00E73339">
              <w:rPr>
                <w:sz w:val="20"/>
                <w:szCs w:val="20"/>
              </w:rPr>
              <w:t>77.6</w:t>
            </w:r>
          </w:p>
        </w:tc>
        <w:tc>
          <w:tcPr>
            <w:tcW w:w="0" w:type="auto"/>
            <w:tcBorders>
              <w:top w:val="single" w:sz="4" w:space="0" w:color="auto"/>
            </w:tcBorders>
            <w:vAlign w:val="center"/>
          </w:tcPr>
          <w:p w:rsidR="0031108C" w:rsidRPr="00E73339" w:rsidRDefault="0031108C" w:rsidP="00E56C7E">
            <w:pPr>
              <w:jc w:val="center"/>
              <w:rPr>
                <w:sz w:val="20"/>
                <w:szCs w:val="20"/>
              </w:rPr>
            </w:pPr>
            <w:r w:rsidRPr="00E73339">
              <w:rPr>
                <w:sz w:val="20"/>
                <w:szCs w:val="20"/>
              </w:rPr>
              <w:t>66.1</w:t>
            </w:r>
          </w:p>
        </w:tc>
        <w:tc>
          <w:tcPr>
            <w:tcW w:w="0" w:type="auto"/>
            <w:tcBorders>
              <w:top w:val="single" w:sz="4" w:space="0" w:color="auto"/>
            </w:tcBorders>
            <w:vAlign w:val="center"/>
          </w:tcPr>
          <w:p w:rsidR="0031108C" w:rsidRPr="00E73339" w:rsidRDefault="0031108C" w:rsidP="00E56C7E">
            <w:pPr>
              <w:jc w:val="center"/>
              <w:rPr>
                <w:sz w:val="20"/>
                <w:szCs w:val="20"/>
              </w:rPr>
            </w:pPr>
            <w:r w:rsidRPr="00E73339">
              <w:rPr>
                <w:sz w:val="20"/>
                <w:szCs w:val="20"/>
              </w:rPr>
              <w:t>58.6</w:t>
            </w:r>
          </w:p>
        </w:tc>
      </w:tr>
      <w:tr w:rsidR="0031108C" w:rsidRPr="00E73339" w:rsidTr="00E56C7E">
        <w:trPr>
          <w:trHeight w:val="282"/>
          <w:jc w:val="center"/>
        </w:trPr>
        <w:tc>
          <w:tcPr>
            <w:tcW w:w="0" w:type="auto"/>
            <w:vAlign w:val="center"/>
          </w:tcPr>
          <w:p w:rsidR="0031108C" w:rsidRPr="00E73339" w:rsidRDefault="0031108C" w:rsidP="00E56C7E">
            <w:pPr>
              <w:jc w:val="center"/>
              <w:rPr>
                <w:b/>
                <w:sz w:val="18"/>
                <w:szCs w:val="18"/>
              </w:rPr>
            </w:pPr>
            <w:r w:rsidRPr="00E73339">
              <w:rPr>
                <w:b/>
                <w:sz w:val="18"/>
                <w:szCs w:val="18"/>
              </w:rPr>
              <w:t>Actual Spending</w:t>
            </w:r>
          </w:p>
        </w:tc>
        <w:tc>
          <w:tcPr>
            <w:tcW w:w="0" w:type="auto"/>
            <w:vAlign w:val="center"/>
          </w:tcPr>
          <w:p w:rsidR="0031108C" w:rsidRPr="00E73339" w:rsidRDefault="0031108C" w:rsidP="00E56C7E">
            <w:pPr>
              <w:jc w:val="center"/>
              <w:rPr>
                <w:sz w:val="20"/>
                <w:szCs w:val="20"/>
              </w:rPr>
            </w:pPr>
            <w:r w:rsidRPr="00E73339">
              <w:rPr>
                <w:sz w:val="20"/>
                <w:szCs w:val="20"/>
              </w:rPr>
              <w:t>131.5</w:t>
            </w:r>
          </w:p>
        </w:tc>
        <w:tc>
          <w:tcPr>
            <w:tcW w:w="0" w:type="auto"/>
            <w:vAlign w:val="center"/>
          </w:tcPr>
          <w:p w:rsidR="0031108C" w:rsidRPr="00E73339" w:rsidRDefault="0031108C" w:rsidP="00E56C7E">
            <w:pPr>
              <w:jc w:val="center"/>
              <w:rPr>
                <w:sz w:val="20"/>
                <w:szCs w:val="20"/>
              </w:rPr>
            </w:pPr>
            <w:r w:rsidRPr="00E73339">
              <w:rPr>
                <w:sz w:val="20"/>
                <w:szCs w:val="20"/>
              </w:rPr>
              <w:t>89.7</w:t>
            </w:r>
          </w:p>
        </w:tc>
        <w:tc>
          <w:tcPr>
            <w:tcW w:w="0" w:type="auto"/>
            <w:vAlign w:val="center"/>
          </w:tcPr>
          <w:p w:rsidR="0031108C" w:rsidRPr="00E73339" w:rsidRDefault="0031108C" w:rsidP="00E56C7E">
            <w:pPr>
              <w:jc w:val="center"/>
              <w:rPr>
                <w:sz w:val="20"/>
                <w:szCs w:val="20"/>
              </w:rPr>
            </w:pPr>
            <w:r w:rsidRPr="00E73339">
              <w:rPr>
                <w:sz w:val="20"/>
                <w:szCs w:val="20"/>
              </w:rPr>
              <w:t>49.5</w:t>
            </w:r>
          </w:p>
        </w:tc>
        <w:tc>
          <w:tcPr>
            <w:tcW w:w="0" w:type="auto"/>
            <w:vAlign w:val="center"/>
          </w:tcPr>
          <w:p w:rsidR="0031108C" w:rsidRPr="00E73339" w:rsidRDefault="0031108C" w:rsidP="00E56C7E">
            <w:pPr>
              <w:jc w:val="center"/>
              <w:rPr>
                <w:sz w:val="20"/>
                <w:szCs w:val="20"/>
              </w:rPr>
            </w:pPr>
            <w:r w:rsidRPr="00E73339">
              <w:rPr>
                <w:sz w:val="20"/>
                <w:szCs w:val="20"/>
              </w:rPr>
              <w:t>69.7</w:t>
            </w:r>
          </w:p>
        </w:tc>
        <w:tc>
          <w:tcPr>
            <w:tcW w:w="0" w:type="auto"/>
            <w:vAlign w:val="center"/>
          </w:tcPr>
          <w:p w:rsidR="0031108C" w:rsidRPr="00E73339" w:rsidRDefault="0031108C" w:rsidP="00E56C7E">
            <w:pPr>
              <w:jc w:val="center"/>
              <w:rPr>
                <w:sz w:val="20"/>
                <w:szCs w:val="20"/>
              </w:rPr>
            </w:pPr>
            <w:r w:rsidRPr="00E73339">
              <w:rPr>
                <w:sz w:val="20"/>
                <w:szCs w:val="20"/>
              </w:rPr>
              <w:t>63.2</w:t>
            </w:r>
          </w:p>
        </w:tc>
      </w:tr>
    </w:tbl>
    <w:p w:rsidR="0031108C" w:rsidRPr="00E73339" w:rsidRDefault="0031108C" w:rsidP="0031108C"/>
    <w:p w:rsidR="0031108C" w:rsidRPr="00E73339" w:rsidRDefault="0031108C" w:rsidP="00FD047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934"/>
        <w:gridCol w:w="934"/>
        <w:gridCol w:w="934"/>
        <w:gridCol w:w="934"/>
        <w:gridCol w:w="934"/>
      </w:tblGrid>
      <w:tr w:rsidR="00E73339" w:rsidRPr="00E73339" w:rsidTr="00E56C7E">
        <w:trPr>
          <w:trHeight w:val="582"/>
          <w:jc w:val="center"/>
        </w:trPr>
        <w:tc>
          <w:tcPr>
            <w:tcW w:w="0" w:type="auto"/>
            <w:gridSpan w:val="6"/>
            <w:tcBorders>
              <w:top w:val="single" w:sz="4" w:space="0" w:color="auto"/>
              <w:bottom w:val="single" w:sz="4" w:space="0" w:color="auto"/>
            </w:tcBorders>
            <w:vAlign w:val="center"/>
          </w:tcPr>
          <w:p w:rsidR="005E6CFF" w:rsidRPr="00E73339" w:rsidRDefault="005E6CFF" w:rsidP="008920AE">
            <w:pPr>
              <w:jc w:val="center"/>
              <w:rPr>
                <w:b/>
                <w:sz w:val="20"/>
                <w:szCs w:val="20"/>
              </w:rPr>
            </w:pPr>
            <w:proofErr w:type="spellStart"/>
            <w:r w:rsidRPr="00E73339">
              <w:rPr>
                <w:b/>
                <w:sz w:val="20"/>
                <w:szCs w:val="20"/>
              </w:rPr>
              <w:t>FedDev</w:t>
            </w:r>
            <w:proofErr w:type="spellEnd"/>
            <w:r w:rsidRPr="00E73339">
              <w:rPr>
                <w:b/>
                <w:sz w:val="20"/>
                <w:szCs w:val="20"/>
              </w:rPr>
              <w:t xml:space="preserve"> Ontario Annual Expenditures Technology Innovation  (in millions CAD)</w:t>
            </w:r>
          </w:p>
        </w:tc>
      </w:tr>
      <w:tr w:rsidR="00E73339" w:rsidRPr="00E73339" w:rsidTr="00E56C7E">
        <w:trPr>
          <w:trHeight w:val="582"/>
          <w:jc w:val="center"/>
        </w:trPr>
        <w:tc>
          <w:tcPr>
            <w:tcW w:w="0" w:type="auto"/>
            <w:tcBorders>
              <w:top w:val="single" w:sz="4" w:space="0" w:color="auto"/>
              <w:bottom w:val="single" w:sz="4" w:space="0" w:color="auto"/>
            </w:tcBorders>
            <w:vAlign w:val="center"/>
          </w:tcPr>
          <w:p w:rsidR="005E6CFF" w:rsidRPr="00E73339" w:rsidRDefault="005E6CFF" w:rsidP="00E56C7E">
            <w:pPr>
              <w:jc w:val="center"/>
              <w:rPr>
                <w:sz w:val="20"/>
                <w:szCs w:val="20"/>
              </w:rPr>
            </w:pPr>
          </w:p>
        </w:tc>
        <w:tc>
          <w:tcPr>
            <w:tcW w:w="0" w:type="auto"/>
            <w:tcBorders>
              <w:top w:val="single" w:sz="4" w:space="0" w:color="auto"/>
              <w:bottom w:val="single" w:sz="4" w:space="0" w:color="auto"/>
            </w:tcBorders>
            <w:vAlign w:val="center"/>
          </w:tcPr>
          <w:p w:rsidR="005E6CFF" w:rsidRPr="00E73339" w:rsidRDefault="0031108C" w:rsidP="00E56C7E">
            <w:pPr>
              <w:jc w:val="center"/>
              <w:rPr>
                <w:b/>
                <w:sz w:val="20"/>
                <w:szCs w:val="20"/>
              </w:rPr>
            </w:pPr>
            <w:r w:rsidRPr="00E73339">
              <w:rPr>
                <w:b/>
                <w:sz w:val="20"/>
                <w:szCs w:val="20"/>
              </w:rPr>
              <w:t>2012</w:t>
            </w:r>
          </w:p>
        </w:tc>
        <w:tc>
          <w:tcPr>
            <w:tcW w:w="0" w:type="auto"/>
            <w:tcBorders>
              <w:top w:val="single" w:sz="4" w:space="0" w:color="auto"/>
              <w:bottom w:val="single" w:sz="4" w:space="0" w:color="auto"/>
            </w:tcBorders>
            <w:vAlign w:val="center"/>
          </w:tcPr>
          <w:p w:rsidR="005E6CFF" w:rsidRPr="00E73339" w:rsidRDefault="0031108C" w:rsidP="00E56C7E">
            <w:pPr>
              <w:jc w:val="center"/>
              <w:rPr>
                <w:b/>
                <w:sz w:val="20"/>
                <w:szCs w:val="20"/>
              </w:rPr>
            </w:pPr>
            <w:r w:rsidRPr="00E73339">
              <w:rPr>
                <w:b/>
                <w:sz w:val="20"/>
                <w:szCs w:val="20"/>
              </w:rPr>
              <w:t>2013</w:t>
            </w:r>
          </w:p>
        </w:tc>
        <w:tc>
          <w:tcPr>
            <w:tcW w:w="0" w:type="auto"/>
            <w:tcBorders>
              <w:top w:val="single" w:sz="4" w:space="0" w:color="auto"/>
              <w:bottom w:val="single" w:sz="4" w:space="0" w:color="auto"/>
            </w:tcBorders>
            <w:vAlign w:val="center"/>
          </w:tcPr>
          <w:p w:rsidR="005E6CFF" w:rsidRPr="00E73339" w:rsidRDefault="0031108C" w:rsidP="00E56C7E">
            <w:pPr>
              <w:jc w:val="center"/>
              <w:rPr>
                <w:b/>
                <w:sz w:val="20"/>
                <w:szCs w:val="20"/>
              </w:rPr>
            </w:pPr>
            <w:r w:rsidRPr="00E73339">
              <w:rPr>
                <w:b/>
                <w:sz w:val="20"/>
                <w:szCs w:val="20"/>
              </w:rPr>
              <w:t>2014</w:t>
            </w:r>
          </w:p>
        </w:tc>
        <w:tc>
          <w:tcPr>
            <w:tcW w:w="0" w:type="auto"/>
            <w:tcBorders>
              <w:top w:val="single" w:sz="4" w:space="0" w:color="auto"/>
              <w:bottom w:val="single" w:sz="4" w:space="0" w:color="auto"/>
            </w:tcBorders>
            <w:vAlign w:val="center"/>
          </w:tcPr>
          <w:p w:rsidR="005E6CFF" w:rsidRPr="00E73339" w:rsidRDefault="0031108C" w:rsidP="00E56C7E">
            <w:pPr>
              <w:jc w:val="center"/>
              <w:rPr>
                <w:b/>
                <w:sz w:val="20"/>
                <w:szCs w:val="20"/>
              </w:rPr>
            </w:pPr>
            <w:r w:rsidRPr="00E73339">
              <w:rPr>
                <w:b/>
                <w:sz w:val="20"/>
                <w:szCs w:val="20"/>
              </w:rPr>
              <w:t>2015</w:t>
            </w:r>
          </w:p>
        </w:tc>
        <w:tc>
          <w:tcPr>
            <w:tcW w:w="0" w:type="auto"/>
            <w:tcBorders>
              <w:top w:val="single" w:sz="4" w:space="0" w:color="auto"/>
              <w:bottom w:val="single" w:sz="4" w:space="0" w:color="auto"/>
            </w:tcBorders>
            <w:vAlign w:val="center"/>
          </w:tcPr>
          <w:p w:rsidR="005E6CFF" w:rsidRPr="00E73339" w:rsidRDefault="0031108C" w:rsidP="00E56C7E">
            <w:pPr>
              <w:jc w:val="center"/>
              <w:rPr>
                <w:b/>
                <w:sz w:val="20"/>
                <w:szCs w:val="20"/>
              </w:rPr>
            </w:pPr>
            <w:r w:rsidRPr="00E73339">
              <w:rPr>
                <w:b/>
                <w:sz w:val="20"/>
                <w:szCs w:val="20"/>
              </w:rPr>
              <w:t>2016</w:t>
            </w:r>
          </w:p>
        </w:tc>
      </w:tr>
      <w:tr w:rsidR="00E73339" w:rsidRPr="00E73339" w:rsidTr="00E56C7E">
        <w:trPr>
          <w:trHeight w:val="299"/>
          <w:jc w:val="center"/>
        </w:trPr>
        <w:tc>
          <w:tcPr>
            <w:tcW w:w="0" w:type="auto"/>
            <w:tcBorders>
              <w:top w:val="single" w:sz="4" w:space="0" w:color="auto"/>
            </w:tcBorders>
            <w:vAlign w:val="center"/>
          </w:tcPr>
          <w:p w:rsidR="005E6CFF" w:rsidRPr="00E73339" w:rsidRDefault="005E6CFF" w:rsidP="00E56C7E">
            <w:pPr>
              <w:jc w:val="center"/>
              <w:rPr>
                <w:b/>
                <w:sz w:val="18"/>
                <w:szCs w:val="18"/>
              </w:rPr>
            </w:pPr>
            <w:r w:rsidRPr="00E73339">
              <w:rPr>
                <w:b/>
                <w:sz w:val="18"/>
                <w:szCs w:val="18"/>
              </w:rPr>
              <w:t>Planned Spending</w:t>
            </w:r>
          </w:p>
        </w:tc>
        <w:tc>
          <w:tcPr>
            <w:tcW w:w="0" w:type="auto"/>
            <w:tcBorders>
              <w:top w:val="single" w:sz="4" w:space="0" w:color="auto"/>
            </w:tcBorders>
            <w:vAlign w:val="center"/>
          </w:tcPr>
          <w:p w:rsidR="005E6CFF" w:rsidRPr="00E73339" w:rsidRDefault="0031108C" w:rsidP="00E56C7E">
            <w:pPr>
              <w:jc w:val="center"/>
              <w:rPr>
                <w:sz w:val="20"/>
                <w:szCs w:val="20"/>
              </w:rPr>
            </w:pPr>
            <w:r w:rsidRPr="00E73339">
              <w:rPr>
                <w:sz w:val="20"/>
                <w:szCs w:val="20"/>
              </w:rPr>
              <w:t>51</w:t>
            </w:r>
          </w:p>
        </w:tc>
        <w:tc>
          <w:tcPr>
            <w:tcW w:w="0" w:type="auto"/>
            <w:tcBorders>
              <w:top w:val="single" w:sz="4" w:space="0" w:color="auto"/>
            </w:tcBorders>
            <w:vAlign w:val="center"/>
          </w:tcPr>
          <w:p w:rsidR="005E6CFF" w:rsidRPr="00E73339" w:rsidRDefault="0031108C" w:rsidP="00E56C7E">
            <w:pPr>
              <w:jc w:val="center"/>
              <w:rPr>
                <w:sz w:val="20"/>
                <w:szCs w:val="20"/>
              </w:rPr>
            </w:pPr>
            <w:r w:rsidRPr="00E73339">
              <w:rPr>
                <w:sz w:val="20"/>
                <w:szCs w:val="20"/>
              </w:rPr>
              <w:t>62.8</w:t>
            </w:r>
          </w:p>
        </w:tc>
        <w:tc>
          <w:tcPr>
            <w:tcW w:w="0" w:type="auto"/>
            <w:tcBorders>
              <w:top w:val="single" w:sz="4" w:space="0" w:color="auto"/>
            </w:tcBorders>
            <w:vAlign w:val="center"/>
          </w:tcPr>
          <w:p w:rsidR="005E6CFF" w:rsidRPr="00E73339" w:rsidRDefault="0031108C" w:rsidP="00E56C7E">
            <w:pPr>
              <w:jc w:val="center"/>
              <w:rPr>
                <w:sz w:val="20"/>
                <w:szCs w:val="20"/>
              </w:rPr>
            </w:pPr>
            <w:r w:rsidRPr="00E73339">
              <w:rPr>
                <w:sz w:val="20"/>
                <w:szCs w:val="20"/>
              </w:rPr>
              <w:t>79.1</w:t>
            </w:r>
          </w:p>
        </w:tc>
        <w:tc>
          <w:tcPr>
            <w:tcW w:w="0" w:type="auto"/>
            <w:tcBorders>
              <w:top w:val="single" w:sz="4" w:space="0" w:color="auto"/>
            </w:tcBorders>
            <w:vAlign w:val="center"/>
          </w:tcPr>
          <w:p w:rsidR="005E6CFF" w:rsidRPr="00E73339" w:rsidRDefault="0031108C" w:rsidP="00E56C7E">
            <w:pPr>
              <w:jc w:val="center"/>
              <w:rPr>
                <w:sz w:val="20"/>
                <w:szCs w:val="20"/>
              </w:rPr>
            </w:pPr>
            <w:r w:rsidRPr="00E73339">
              <w:rPr>
                <w:sz w:val="20"/>
                <w:szCs w:val="20"/>
              </w:rPr>
              <w:t>91.8</w:t>
            </w:r>
          </w:p>
        </w:tc>
        <w:tc>
          <w:tcPr>
            <w:tcW w:w="0" w:type="auto"/>
            <w:tcBorders>
              <w:top w:val="single" w:sz="4" w:space="0" w:color="auto"/>
            </w:tcBorders>
            <w:vAlign w:val="center"/>
          </w:tcPr>
          <w:p w:rsidR="005E6CFF" w:rsidRPr="00E73339" w:rsidRDefault="0031108C" w:rsidP="00E56C7E">
            <w:pPr>
              <w:jc w:val="center"/>
              <w:rPr>
                <w:sz w:val="20"/>
                <w:szCs w:val="20"/>
              </w:rPr>
            </w:pPr>
            <w:r w:rsidRPr="00E73339">
              <w:rPr>
                <w:sz w:val="20"/>
                <w:szCs w:val="20"/>
              </w:rPr>
              <w:t>92</w:t>
            </w:r>
          </w:p>
        </w:tc>
      </w:tr>
      <w:tr w:rsidR="00E73339" w:rsidRPr="00E73339" w:rsidTr="00E56C7E">
        <w:trPr>
          <w:trHeight w:val="282"/>
          <w:jc w:val="center"/>
        </w:trPr>
        <w:tc>
          <w:tcPr>
            <w:tcW w:w="0" w:type="auto"/>
            <w:vAlign w:val="center"/>
          </w:tcPr>
          <w:p w:rsidR="005E6CFF" w:rsidRPr="00E73339" w:rsidRDefault="005E6CFF" w:rsidP="00E56C7E">
            <w:pPr>
              <w:jc w:val="center"/>
              <w:rPr>
                <w:b/>
                <w:sz w:val="18"/>
                <w:szCs w:val="18"/>
              </w:rPr>
            </w:pPr>
            <w:r w:rsidRPr="00E73339">
              <w:rPr>
                <w:b/>
                <w:sz w:val="18"/>
                <w:szCs w:val="18"/>
              </w:rPr>
              <w:t>Actual Spending</w:t>
            </w:r>
          </w:p>
        </w:tc>
        <w:tc>
          <w:tcPr>
            <w:tcW w:w="0" w:type="auto"/>
            <w:vAlign w:val="center"/>
          </w:tcPr>
          <w:p w:rsidR="005E6CFF" w:rsidRPr="00E73339" w:rsidRDefault="0031108C" w:rsidP="00E56C7E">
            <w:pPr>
              <w:jc w:val="center"/>
              <w:rPr>
                <w:sz w:val="20"/>
                <w:szCs w:val="20"/>
              </w:rPr>
            </w:pPr>
            <w:r w:rsidRPr="00E73339">
              <w:rPr>
                <w:sz w:val="20"/>
                <w:szCs w:val="20"/>
              </w:rPr>
              <w:t>56.6</w:t>
            </w:r>
          </w:p>
        </w:tc>
        <w:tc>
          <w:tcPr>
            <w:tcW w:w="0" w:type="auto"/>
            <w:vAlign w:val="center"/>
          </w:tcPr>
          <w:p w:rsidR="005E6CFF" w:rsidRPr="00E73339" w:rsidRDefault="0031108C" w:rsidP="00E56C7E">
            <w:pPr>
              <w:jc w:val="center"/>
              <w:rPr>
                <w:sz w:val="20"/>
                <w:szCs w:val="20"/>
              </w:rPr>
            </w:pPr>
            <w:r w:rsidRPr="00E73339">
              <w:rPr>
                <w:sz w:val="20"/>
                <w:szCs w:val="20"/>
              </w:rPr>
              <w:t>52.4</w:t>
            </w:r>
          </w:p>
        </w:tc>
        <w:tc>
          <w:tcPr>
            <w:tcW w:w="0" w:type="auto"/>
            <w:vAlign w:val="center"/>
          </w:tcPr>
          <w:p w:rsidR="005E6CFF" w:rsidRPr="00E73339" w:rsidRDefault="0031108C" w:rsidP="00E56C7E">
            <w:pPr>
              <w:jc w:val="center"/>
              <w:rPr>
                <w:sz w:val="20"/>
                <w:szCs w:val="20"/>
              </w:rPr>
            </w:pPr>
            <w:r w:rsidRPr="00E73339">
              <w:rPr>
                <w:sz w:val="20"/>
                <w:szCs w:val="20"/>
              </w:rPr>
              <w:t>9.3</w:t>
            </w:r>
          </w:p>
        </w:tc>
        <w:tc>
          <w:tcPr>
            <w:tcW w:w="0" w:type="auto"/>
            <w:vAlign w:val="center"/>
          </w:tcPr>
          <w:p w:rsidR="005E6CFF" w:rsidRPr="00E73339" w:rsidRDefault="0031108C" w:rsidP="00E56C7E">
            <w:pPr>
              <w:jc w:val="center"/>
              <w:rPr>
                <w:sz w:val="20"/>
                <w:szCs w:val="20"/>
              </w:rPr>
            </w:pPr>
            <w:r w:rsidRPr="00E73339">
              <w:rPr>
                <w:sz w:val="20"/>
                <w:szCs w:val="20"/>
              </w:rPr>
              <w:t>55.6</w:t>
            </w:r>
          </w:p>
        </w:tc>
        <w:tc>
          <w:tcPr>
            <w:tcW w:w="0" w:type="auto"/>
            <w:vAlign w:val="center"/>
          </w:tcPr>
          <w:p w:rsidR="005E6CFF" w:rsidRPr="00E73339" w:rsidRDefault="0031108C" w:rsidP="00E56C7E">
            <w:pPr>
              <w:jc w:val="center"/>
              <w:rPr>
                <w:sz w:val="20"/>
                <w:szCs w:val="20"/>
              </w:rPr>
            </w:pPr>
            <w:r w:rsidRPr="00E73339">
              <w:rPr>
                <w:sz w:val="20"/>
                <w:szCs w:val="20"/>
              </w:rPr>
              <w:t>79.2</w:t>
            </w:r>
          </w:p>
        </w:tc>
      </w:tr>
      <w:tr w:rsidR="00E73339" w:rsidRPr="00E73339" w:rsidTr="00E56C7E">
        <w:trPr>
          <w:trHeight w:val="282"/>
          <w:jc w:val="center"/>
        </w:trPr>
        <w:tc>
          <w:tcPr>
            <w:tcW w:w="0" w:type="auto"/>
            <w:vAlign w:val="center"/>
          </w:tcPr>
          <w:p w:rsidR="0031108C" w:rsidRPr="00E73339" w:rsidRDefault="0031108C" w:rsidP="0031108C">
            <w:pPr>
              <w:rPr>
                <w:b/>
                <w:sz w:val="18"/>
                <w:szCs w:val="18"/>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r>
      <w:tr w:rsidR="0031108C" w:rsidRPr="00E73339" w:rsidTr="00E56C7E">
        <w:trPr>
          <w:trHeight w:val="282"/>
          <w:jc w:val="center"/>
        </w:trPr>
        <w:tc>
          <w:tcPr>
            <w:tcW w:w="0" w:type="auto"/>
            <w:vAlign w:val="center"/>
          </w:tcPr>
          <w:p w:rsidR="0031108C" w:rsidRPr="00E73339" w:rsidRDefault="0031108C" w:rsidP="00E56C7E">
            <w:pPr>
              <w:jc w:val="center"/>
              <w:rPr>
                <w:b/>
                <w:sz w:val="18"/>
                <w:szCs w:val="18"/>
              </w:rPr>
            </w:pPr>
          </w:p>
          <w:p w:rsidR="0031108C" w:rsidRPr="00E73339" w:rsidRDefault="0031108C" w:rsidP="00E56C7E">
            <w:pPr>
              <w:jc w:val="center"/>
              <w:rPr>
                <w:b/>
                <w:sz w:val="18"/>
                <w:szCs w:val="18"/>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c>
          <w:tcPr>
            <w:tcW w:w="0" w:type="auto"/>
            <w:vAlign w:val="center"/>
          </w:tcPr>
          <w:p w:rsidR="0031108C" w:rsidRPr="00E73339" w:rsidRDefault="0031108C" w:rsidP="00E56C7E">
            <w:pPr>
              <w:jc w:val="center"/>
              <w:rPr>
                <w:sz w:val="20"/>
                <w:szCs w:val="20"/>
              </w:rPr>
            </w:pPr>
          </w:p>
        </w:tc>
      </w:tr>
    </w:tbl>
    <w:p w:rsidR="00FD047B" w:rsidRPr="00E73339" w:rsidRDefault="00FD047B" w:rsidP="00FD047B"/>
    <w:p w:rsidR="00AC0AAF" w:rsidRDefault="00AC0AAF" w:rsidP="00FD047B"/>
    <w:p w:rsidR="008920AE" w:rsidRDefault="008920AE" w:rsidP="00FD047B"/>
    <w:p w:rsidR="008920AE" w:rsidRDefault="008920AE" w:rsidP="00FD047B"/>
    <w:p w:rsidR="00AC0AAF" w:rsidRDefault="00AC0AAF" w:rsidP="00FD047B"/>
    <w:p w:rsidR="00AC0AAF" w:rsidRDefault="00AC0AAF" w:rsidP="00FD047B"/>
    <w:p w:rsidR="003A1918" w:rsidRDefault="003A1918" w:rsidP="00FD047B">
      <w:r>
        <w:rPr>
          <w:noProof/>
        </w:rPr>
        <w:lastRenderedPageBreak/>
        <w:drawing>
          <wp:anchor distT="0" distB="0" distL="114300" distR="114300" simplePos="0" relativeHeight="251660288" behindDoc="0" locked="0" layoutInCell="1" allowOverlap="1">
            <wp:simplePos x="0" y="0"/>
            <wp:positionH relativeFrom="column">
              <wp:posOffset>505771</wp:posOffset>
            </wp:positionH>
            <wp:positionV relativeFrom="paragraph">
              <wp:posOffset>-317573</wp:posOffset>
            </wp:positionV>
            <wp:extent cx="5643379" cy="3198438"/>
            <wp:effectExtent l="0" t="0" r="14605" b="254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3A1918" w:rsidRDefault="003A1918" w:rsidP="00FD047B"/>
    <w:p w:rsidR="00B4391A" w:rsidRDefault="00AC0AAF" w:rsidP="003A1918">
      <w:bookmarkStart w:id="0" w:name="_GoBack"/>
      <w:bookmarkEnd w:id="0"/>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230572" cy="2649013"/>
            <wp:effectExtent l="0" t="0" r="17780" b="1841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AC0AAF" w:rsidRDefault="00B4391A" w:rsidP="003A1918">
      <w:pPr>
        <w:tabs>
          <w:tab w:val="left" w:pos="2145"/>
          <w:tab w:val="left" w:pos="6026"/>
        </w:tabs>
      </w:pPr>
      <w:r>
        <w:tab/>
      </w:r>
      <w:r w:rsidR="003A1918">
        <w:tab/>
      </w:r>
    </w:p>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Pr="00AC0AAF" w:rsidRDefault="00AC0AAF" w:rsidP="00AC0AAF"/>
    <w:p w:rsidR="00AC0AAF" w:rsidRDefault="00AC0AAF" w:rsidP="00AC0AAF"/>
    <w:p w:rsidR="009F28C1" w:rsidRPr="00AC0AAF" w:rsidRDefault="009F28C1" w:rsidP="00AC0AAF"/>
    <w:p w:rsidR="00AC0AAF" w:rsidRDefault="00AC0AAF" w:rsidP="00AC0AAF"/>
    <w:p w:rsidR="00B4391A" w:rsidRPr="00AC0AAF" w:rsidRDefault="003A1918" w:rsidP="00AC0AAF">
      <w:pPr>
        <w:ind w:firstLine="720"/>
      </w:pPr>
      <w:r>
        <w:rPr>
          <w:noProof/>
        </w:rPr>
        <w:drawing>
          <wp:anchor distT="0" distB="0" distL="114300" distR="114300" simplePos="0" relativeHeight="251662336" behindDoc="1" locked="0" layoutInCell="1" allowOverlap="1" wp14:anchorId="566A6BE7" wp14:editId="4BBA6272">
            <wp:simplePos x="0" y="0"/>
            <wp:positionH relativeFrom="column">
              <wp:posOffset>0</wp:posOffset>
            </wp:positionH>
            <wp:positionV relativeFrom="paragraph">
              <wp:posOffset>-635</wp:posOffset>
            </wp:positionV>
            <wp:extent cx="7001243" cy="5615907"/>
            <wp:effectExtent l="0" t="0" r="9525" b="444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sectPr w:rsidR="00B4391A" w:rsidRPr="00AC0AAF" w:rsidSect="00C9723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343" w:rsidRDefault="00F14343" w:rsidP="00FD047B">
      <w:r>
        <w:separator/>
      </w:r>
    </w:p>
  </w:endnote>
  <w:endnote w:type="continuationSeparator" w:id="0">
    <w:p w:rsidR="00F14343" w:rsidRDefault="00F14343" w:rsidP="00FD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343" w:rsidRDefault="00F14343" w:rsidP="00FD047B">
      <w:r>
        <w:separator/>
      </w:r>
    </w:p>
  </w:footnote>
  <w:footnote w:type="continuationSeparator" w:id="0">
    <w:p w:rsidR="00F14343" w:rsidRDefault="00F14343" w:rsidP="00FD047B">
      <w:r>
        <w:continuationSeparator/>
      </w:r>
    </w:p>
  </w:footnote>
  <w:footnote w:id="1">
    <w:p w:rsidR="000C7950" w:rsidRDefault="000C7950">
      <w:pPr>
        <w:pStyle w:val="FootnoteText"/>
      </w:pPr>
      <w:r>
        <w:rPr>
          <w:rStyle w:val="FootnoteReference"/>
        </w:rPr>
        <w:footnoteRef/>
      </w:r>
      <w:r>
        <w:t xml:space="preserve"> </w:t>
      </w:r>
      <w:hyperlink r:id="rId1" w:history="1">
        <w:r w:rsidRPr="00F26036">
          <w:rPr>
            <w:rStyle w:val="Hyperlink"/>
          </w:rPr>
          <w:t>https://betakit.com/ottawas-innovation-centre-at-bayview-yards-receives-8-million-from-feddev-ontario/</w:t>
        </w:r>
      </w:hyperlink>
      <w:r>
        <w:t xml:space="preserve"> </w:t>
      </w:r>
    </w:p>
  </w:footnote>
  <w:footnote w:id="2">
    <w:p w:rsidR="007E0B45" w:rsidRDefault="007E0B45">
      <w:pPr>
        <w:pStyle w:val="FootnoteText"/>
      </w:pPr>
      <w:r>
        <w:rPr>
          <w:rStyle w:val="FootnoteReference"/>
        </w:rPr>
        <w:footnoteRef/>
      </w:r>
      <w:r>
        <w:t xml:space="preserve"> </w:t>
      </w:r>
      <w:hyperlink r:id="rId2" w:history="1">
        <w:r w:rsidRPr="00F26036">
          <w:rPr>
            <w:rStyle w:val="Hyperlink"/>
          </w:rPr>
          <w:t>http://www.feddevontario.gc.ca/eic/site/723.nsf/vwapj/2015-16_FedDev_Ontario_Departmental_Performance_Report-Erratum-eng.pdf/$file/2015-16_FedDev_Ontario_Departmental_Performance_Report-Erratum-eng.pdf</w:t>
        </w:r>
      </w:hyperlink>
      <w:r>
        <w:t xml:space="preserve"> </w:t>
      </w:r>
    </w:p>
  </w:footnote>
  <w:footnote w:id="3">
    <w:p w:rsidR="00FD047B" w:rsidRDefault="00FD047B" w:rsidP="00FD047B">
      <w:pPr>
        <w:pStyle w:val="FootnoteText"/>
      </w:pPr>
      <w:r>
        <w:rPr>
          <w:rStyle w:val="FootnoteReference"/>
        </w:rPr>
        <w:footnoteRef/>
      </w:r>
      <w:r>
        <w:t xml:space="preserve"> </w:t>
      </w:r>
      <w:hyperlink r:id="rId3" w:history="1">
        <w:r w:rsidRPr="008B33FF">
          <w:rPr>
            <w:rStyle w:val="Hyperlink"/>
            <w:sz w:val="22"/>
            <w:szCs w:val="22"/>
          </w:rPr>
          <w:t>https://www.canada.ca/en/treasury-board-secretariat/services/departmental-performance-reports.html</w:t>
        </w:r>
      </w:hyperlink>
      <w:r>
        <w:rPr>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47B"/>
    <w:rsid w:val="000C7950"/>
    <w:rsid w:val="00273FAC"/>
    <w:rsid w:val="002E36B4"/>
    <w:rsid w:val="0031108C"/>
    <w:rsid w:val="00341E67"/>
    <w:rsid w:val="003A1918"/>
    <w:rsid w:val="00467D60"/>
    <w:rsid w:val="00573516"/>
    <w:rsid w:val="005E6CFF"/>
    <w:rsid w:val="00686791"/>
    <w:rsid w:val="00692EC7"/>
    <w:rsid w:val="006C3176"/>
    <w:rsid w:val="007E0B45"/>
    <w:rsid w:val="00816BCE"/>
    <w:rsid w:val="008475B2"/>
    <w:rsid w:val="00865264"/>
    <w:rsid w:val="008920AE"/>
    <w:rsid w:val="00897060"/>
    <w:rsid w:val="008B59A5"/>
    <w:rsid w:val="008B6464"/>
    <w:rsid w:val="009F28C1"/>
    <w:rsid w:val="00AC0AAF"/>
    <w:rsid w:val="00B4391A"/>
    <w:rsid w:val="00B53DF3"/>
    <w:rsid w:val="00D659EC"/>
    <w:rsid w:val="00E73339"/>
    <w:rsid w:val="00EE1EE0"/>
    <w:rsid w:val="00F14343"/>
    <w:rsid w:val="00FD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E56E3-440D-488F-959B-256A1E07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04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rsid w:val="00FD047B"/>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customStyle="1" w:styleId="Body">
    <w:name w:val="Body"/>
    <w:rsid w:val="00FD047B"/>
    <w:pPr>
      <w:pBdr>
        <w:top w:val="nil"/>
        <w:left w:val="nil"/>
        <w:bottom w:val="nil"/>
        <w:right w:val="nil"/>
        <w:between w:val="nil"/>
        <w:bar w:val="nil"/>
      </w:pBdr>
    </w:pPr>
    <w:rPr>
      <w:rFonts w:ascii="Calibri" w:eastAsia="Calibri" w:hAnsi="Calibri" w:cs="Calibri"/>
      <w:color w:val="000000"/>
      <w:u w:color="000000"/>
      <w:bdr w:val="nil"/>
    </w:rPr>
  </w:style>
  <w:style w:type="paragraph" w:styleId="FootnoteText">
    <w:name w:val="footnote text"/>
    <w:basedOn w:val="Normal"/>
    <w:link w:val="FootnoteTextChar"/>
    <w:uiPriority w:val="99"/>
    <w:semiHidden/>
    <w:unhideWhenUsed/>
    <w:rsid w:val="00FD047B"/>
    <w:rPr>
      <w:sz w:val="20"/>
      <w:szCs w:val="20"/>
    </w:rPr>
  </w:style>
  <w:style w:type="character" w:customStyle="1" w:styleId="FootnoteTextChar">
    <w:name w:val="Footnote Text Char"/>
    <w:basedOn w:val="DefaultParagraphFont"/>
    <w:link w:val="FootnoteText"/>
    <w:uiPriority w:val="99"/>
    <w:semiHidden/>
    <w:rsid w:val="00FD047B"/>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FD047B"/>
    <w:rPr>
      <w:vertAlign w:val="superscript"/>
    </w:rPr>
  </w:style>
  <w:style w:type="character" w:styleId="Hyperlink">
    <w:name w:val="Hyperlink"/>
    <w:basedOn w:val="DefaultParagraphFont"/>
    <w:uiPriority w:val="99"/>
    <w:unhideWhenUsed/>
    <w:rsid w:val="00FD047B"/>
    <w:rPr>
      <w:color w:val="0563C1" w:themeColor="hyperlink"/>
      <w:u w:val="single"/>
    </w:rPr>
  </w:style>
  <w:style w:type="paragraph" w:styleId="NormalWeb">
    <w:name w:val="Normal (Web)"/>
    <w:basedOn w:val="Normal"/>
    <w:uiPriority w:val="99"/>
    <w:semiHidden/>
    <w:unhideWhenUsed/>
    <w:rsid w:val="00FD047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wrap">
    <w:name w:val="nowrap"/>
    <w:basedOn w:val="DefaultParagraphFont"/>
    <w:rsid w:val="006C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1129">
      <w:bodyDiv w:val="1"/>
      <w:marLeft w:val="0"/>
      <w:marRight w:val="0"/>
      <w:marTop w:val="0"/>
      <w:marBottom w:val="0"/>
      <w:divBdr>
        <w:top w:val="none" w:sz="0" w:space="0" w:color="auto"/>
        <w:left w:val="none" w:sz="0" w:space="0" w:color="auto"/>
        <w:bottom w:val="none" w:sz="0" w:space="0" w:color="auto"/>
        <w:right w:val="none" w:sz="0" w:space="0" w:color="auto"/>
      </w:divBdr>
    </w:div>
    <w:div w:id="1247609785">
      <w:bodyDiv w:val="1"/>
      <w:marLeft w:val="0"/>
      <w:marRight w:val="0"/>
      <w:marTop w:val="0"/>
      <w:marBottom w:val="0"/>
      <w:divBdr>
        <w:top w:val="none" w:sz="0" w:space="0" w:color="auto"/>
        <w:left w:val="none" w:sz="0" w:space="0" w:color="auto"/>
        <w:bottom w:val="none" w:sz="0" w:space="0" w:color="auto"/>
        <w:right w:val="none" w:sz="0" w:space="0" w:color="auto"/>
      </w:divBdr>
    </w:div>
    <w:div w:id="13850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ottawa.ca/en/business/business-resources/innovation-centre-bayview-ya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treasury-board-secretariat/services/departmental-performance-reports.html" TargetMode="External"/><Relationship Id="rId2" Type="http://schemas.openxmlformats.org/officeDocument/2006/relationships/hyperlink" Target="http://www.feddevontario.gc.ca/eic/site/723.nsf/vwapj/2015-16_FedDev_Ontario_Departmental_Performance_Report-Erratum-eng.pdf/$file/2015-16_FedDev_Ontario_Departmental_Performance_Report-Erratum-eng.pdf" TargetMode="External"/><Relationship Id="rId1" Type="http://schemas.openxmlformats.org/officeDocument/2006/relationships/hyperlink" Target="https://betakit.com/ottawas-innovation-centre-at-bayview-yards-receives-8-million-from-feddev-ontar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20Yang\Documents\FedDev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ven%20Yang\Documents\FedDev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ven%20Yang\Documents\FedDev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Technology Innovation FedDev</a:t>
            </a:r>
            <a:r>
              <a:rPr lang="en-US" baseline="0"/>
              <a:t> Ontario Planned vs. Actual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planned</c:v>
                </c:pt>
              </c:strCache>
            </c:strRef>
          </c:tx>
          <c:spPr>
            <a:ln w="28575" cap="rnd">
              <a:solidFill>
                <a:schemeClr val="accent1"/>
              </a:solidFill>
              <a:round/>
            </a:ln>
            <a:effectLst/>
          </c:spPr>
          <c:marker>
            <c:symbol val="none"/>
          </c:marker>
          <c:cat>
            <c:numRef>
              <c:f>Sheet1!$B$1:$F$1</c:f>
              <c:numCache>
                <c:formatCode>General</c:formatCode>
                <c:ptCount val="5"/>
                <c:pt idx="0">
                  <c:v>2012</c:v>
                </c:pt>
                <c:pt idx="1">
                  <c:v>2013</c:v>
                </c:pt>
                <c:pt idx="2">
                  <c:v>2014</c:v>
                </c:pt>
                <c:pt idx="3">
                  <c:v>2015</c:v>
                </c:pt>
                <c:pt idx="4">
                  <c:v>2016</c:v>
                </c:pt>
              </c:numCache>
            </c:numRef>
          </c:cat>
          <c:val>
            <c:numRef>
              <c:f>Sheet1!$B$2:$F$2</c:f>
              <c:numCache>
                <c:formatCode>General</c:formatCode>
                <c:ptCount val="5"/>
                <c:pt idx="0">
                  <c:v>51</c:v>
                </c:pt>
                <c:pt idx="1">
                  <c:v>62.8</c:v>
                </c:pt>
                <c:pt idx="2">
                  <c:v>79.099999999999994</c:v>
                </c:pt>
                <c:pt idx="3">
                  <c:v>91.8</c:v>
                </c:pt>
                <c:pt idx="4">
                  <c:v>92</c:v>
                </c:pt>
              </c:numCache>
            </c:numRef>
          </c:val>
          <c:smooth val="0"/>
        </c:ser>
        <c:ser>
          <c:idx val="1"/>
          <c:order val="1"/>
          <c:tx>
            <c:strRef>
              <c:f>Sheet1!$A$3</c:f>
              <c:strCache>
                <c:ptCount val="1"/>
                <c:pt idx="0">
                  <c:v>actual</c:v>
                </c:pt>
              </c:strCache>
            </c:strRef>
          </c:tx>
          <c:spPr>
            <a:ln w="28575" cap="rnd">
              <a:solidFill>
                <a:schemeClr val="accent2"/>
              </a:solidFill>
              <a:round/>
            </a:ln>
            <a:effectLst/>
          </c:spPr>
          <c:marker>
            <c:symbol val="none"/>
          </c:marker>
          <c:cat>
            <c:numRef>
              <c:f>Sheet1!$B$1:$F$1</c:f>
              <c:numCache>
                <c:formatCode>General</c:formatCode>
                <c:ptCount val="5"/>
                <c:pt idx="0">
                  <c:v>2012</c:v>
                </c:pt>
                <c:pt idx="1">
                  <c:v>2013</c:v>
                </c:pt>
                <c:pt idx="2">
                  <c:v>2014</c:v>
                </c:pt>
                <c:pt idx="3">
                  <c:v>2015</c:v>
                </c:pt>
                <c:pt idx="4">
                  <c:v>2016</c:v>
                </c:pt>
              </c:numCache>
            </c:numRef>
          </c:cat>
          <c:val>
            <c:numRef>
              <c:f>Sheet1!$B$3:$F$3</c:f>
              <c:numCache>
                <c:formatCode>General</c:formatCode>
                <c:ptCount val="5"/>
                <c:pt idx="0">
                  <c:v>56.6</c:v>
                </c:pt>
                <c:pt idx="1">
                  <c:v>52.4</c:v>
                </c:pt>
                <c:pt idx="2">
                  <c:v>9.3000000000000007</c:v>
                </c:pt>
                <c:pt idx="3">
                  <c:v>55.6</c:v>
                </c:pt>
                <c:pt idx="4">
                  <c:v>79.2</c:v>
                </c:pt>
              </c:numCache>
            </c:numRef>
          </c:val>
          <c:smooth val="0"/>
        </c:ser>
        <c:dLbls>
          <c:showLegendKey val="0"/>
          <c:showVal val="0"/>
          <c:showCatName val="0"/>
          <c:showSerName val="0"/>
          <c:showPercent val="0"/>
          <c:showBubbleSize val="0"/>
        </c:dLbls>
        <c:smooth val="0"/>
        <c:axId val="573504328"/>
        <c:axId val="573499624"/>
      </c:lineChart>
      <c:catAx>
        <c:axId val="573504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99624"/>
        <c:crosses val="autoZero"/>
        <c:auto val="1"/>
        <c:lblAlgn val="ctr"/>
        <c:lblOffset val="100"/>
        <c:noMultiLvlLbl val="0"/>
      </c:catAx>
      <c:valAx>
        <c:axId val="57349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CAD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0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Community and Business</a:t>
            </a:r>
            <a:r>
              <a:rPr lang="en-US" baseline="0"/>
              <a:t> Development FedDev Ontario Planned vs. Actual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Sheet1!$A$10</c:f>
              <c:strCache>
                <c:ptCount val="1"/>
                <c:pt idx="0">
                  <c:v>planned</c:v>
                </c:pt>
              </c:strCache>
            </c:strRef>
          </c:tx>
          <c:spPr>
            <a:ln w="28575" cap="rnd">
              <a:solidFill>
                <a:schemeClr val="accent1"/>
              </a:solidFill>
              <a:round/>
            </a:ln>
            <a:effectLst/>
          </c:spPr>
          <c:marker>
            <c:symbol val="none"/>
          </c:marker>
          <c:cat>
            <c:numRef>
              <c:f>Sheet1!$B$9:$H$9</c:f>
              <c:numCache>
                <c:formatCode>General</c:formatCode>
                <c:ptCount val="7"/>
                <c:pt idx="0">
                  <c:v>2010</c:v>
                </c:pt>
                <c:pt idx="1">
                  <c:v>2011</c:v>
                </c:pt>
                <c:pt idx="2">
                  <c:v>2012</c:v>
                </c:pt>
                <c:pt idx="3">
                  <c:v>2013</c:v>
                </c:pt>
                <c:pt idx="4">
                  <c:v>2014</c:v>
                </c:pt>
                <c:pt idx="5">
                  <c:v>2015</c:v>
                </c:pt>
                <c:pt idx="6">
                  <c:v>2016</c:v>
                </c:pt>
              </c:numCache>
            </c:numRef>
          </c:cat>
          <c:val>
            <c:numRef>
              <c:f>Sheet1!$B$10:$H$10</c:f>
              <c:numCache>
                <c:formatCode>General</c:formatCode>
                <c:ptCount val="7"/>
                <c:pt idx="0">
                  <c:v>395</c:v>
                </c:pt>
                <c:pt idx="1">
                  <c:v>134.5</c:v>
                </c:pt>
                <c:pt idx="2">
                  <c:v>169.5</c:v>
                </c:pt>
                <c:pt idx="3">
                  <c:v>153.19999999999999</c:v>
                </c:pt>
                <c:pt idx="4">
                  <c:v>156.69999999999999</c:v>
                </c:pt>
                <c:pt idx="5">
                  <c:v>157.9</c:v>
                </c:pt>
                <c:pt idx="6">
                  <c:v>150.6</c:v>
                </c:pt>
              </c:numCache>
            </c:numRef>
          </c:val>
          <c:smooth val="0"/>
        </c:ser>
        <c:ser>
          <c:idx val="1"/>
          <c:order val="1"/>
          <c:tx>
            <c:strRef>
              <c:f>Sheet1!$A$11</c:f>
              <c:strCache>
                <c:ptCount val="1"/>
                <c:pt idx="0">
                  <c:v>actual</c:v>
                </c:pt>
              </c:strCache>
            </c:strRef>
          </c:tx>
          <c:spPr>
            <a:ln w="28575" cap="rnd">
              <a:solidFill>
                <a:schemeClr val="accent2"/>
              </a:solidFill>
              <a:round/>
            </a:ln>
            <a:effectLst/>
          </c:spPr>
          <c:marker>
            <c:symbol val="none"/>
          </c:marker>
          <c:cat>
            <c:numRef>
              <c:f>Sheet1!$B$9:$H$9</c:f>
              <c:numCache>
                <c:formatCode>General</c:formatCode>
                <c:ptCount val="7"/>
                <c:pt idx="0">
                  <c:v>2010</c:v>
                </c:pt>
                <c:pt idx="1">
                  <c:v>2011</c:v>
                </c:pt>
                <c:pt idx="2">
                  <c:v>2012</c:v>
                </c:pt>
                <c:pt idx="3">
                  <c:v>2013</c:v>
                </c:pt>
                <c:pt idx="4">
                  <c:v>2014</c:v>
                </c:pt>
                <c:pt idx="5">
                  <c:v>2015</c:v>
                </c:pt>
                <c:pt idx="6">
                  <c:v>2016</c:v>
                </c:pt>
              </c:numCache>
            </c:numRef>
          </c:cat>
          <c:val>
            <c:numRef>
              <c:f>Sheet1!$B$11:$H$11</c:f>
              <c:numCache>
                <c:formatCode>General</c:formatCode>
                <c:ptCount val="7"/>
                <c:pt idx="0">
                  <c:v>257.89999999999998</c:v>
                </c:pt>
                <c:pt idx="1">
                  <c:v>176.6</c:v>
                </c:pt>
                <c:pt idx="2">
                  <c:v>188.1</c:v>
                </c:pt>
                <c:pt idx="3">
                  <c:v>142.1</c:v>
                </c:pt>
                <c:pt idx="4">
                  <c:v>58.8</c:v>
                </c:pt>
                <c:pt idx="5">
                  <c:v>125.3</c:v>
                </c:pt>
                <c:pt idx="6">
                  <c:v>142.4</c:v>
                </c:pt>
              </c:numCache>
            </c:numRef>
          </c:val>
          <c:smooth val="0"/>
        </c:ser>
        <c:dLbls>
          <c:showLegendKey val="0"/>
          <c:showVal val="0"/>
          <c:showCatName val="0"/>
          <c:showSerName val="0"/>
          <c:showPercent val="0"/>
          <c:showBubbleSize val="0"/>
        </c:dLbls>
        <c:smooth val="0"/>
        <c:axId val="573504720"/>
        <c:axId val="573505112"/>
      </c:lineChart>
      <c:catAx>
        <c:axId val="57350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05112"/>
        <c:crosses val="autoZero"/>
        <c:auto val="1"/>
        <c:lblAlgn val="ctr"/>
        <c:lblOffset val="100"/>
        <c:noMultiLvlLbl val="0"/>
      </c:catAx>
      <c:valAx>
        <c:axId val="573505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CAD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0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Business Development FedDev Ontario Planned vs. Actual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Sheet1!$A$6</c:f>
              <c:strCache>
                <c:ptCount val="1"/>
                <c:pt idx="0">
                  <c:v>planned</c:v>
                </c:pt>
              </c:strCache>
            </c:strRef>
          </c:tx>
          <c:spPr>
            <a:ln w="28575" cap="rnd">
              <a:solidFill>
                <a:schemeClr val="accent1"/>
              </a:solidFill>
              <a:round/>
            </a:ln>
            <a:effectLst/>
          </c:spPr>
          <c:marker>
            <c:symbol val="none"/>
          </c:marker>
          <c:cat>
            <c:numRef>
              <c:f>Sheet1!$B$5:$F$5</c:f>
              <c:numCache>
                <c:formatCode>General</c:formatCode>
                <c:ptCount val="5"/>
                <c:pt idx="0">
                  <c:v>2012</c:v>
                </c:pt>
                <c:pt idx="1">
                  <c:v>2013</c:v>
                </c:pt>
                <c:pt idx="2">
                  <c:v>2014</c:v>
                </c:pt>
                <c:pt idx="3">
                  <c:v>2015</c:v>
                </c:pt>
                <c:pt idx="4">
                  <c:v>2016</c:v>
                </c:pt>
              </c:numCache>
            </c:numRef>
          </c:cat>
          <c:val>
            <c:numRef>
              <c:f>Sheet1!$B$6:$F$6</c:f>
              <c:numCache>
                <c:formatCode>General</c:formatCode>
                <c:ptCount val="5"/>
                <c:pt idx="0">
                  <c:v>118.5</c:v>
                </c:pt>
                <c:pt idx="1">
                  <c:v>90.4</c:v>
                </c:pt>
                <c:pt idx="2">
                  <c:v>77.599999999999994</c:v>
                </c:pt>
                <c:pt idx="3">
                  <c:v>66.099999999999994</c:v>
                </c:pt>
                <c:pt idx="4">
                  <c:v>58.6</c:v>
                </c:pt>
              </c:numCache>
            </c:numRef>
          </c:val>
          <c:smooth val="0"/>
        </c:ser>
        <c:ser>
          <c:idx val="1"/>
          <c:order val="1"/>
          <c:tx>
            <c:strRef>
              <c:f>Sheet1!$A$7</c:f>
              <c:strCache>
                <c:ptCount val="1"/>
                <c:pt idx="0">
                  <c:v>actual</c:v>
                </c:pt>
              </c:strCache>
            </c:strRef>
          </c:tx>
          <c:spPr>
            <a:ln w="28575" cap="rnd">
              <a:solidFill>
                <a:schemeClr val="accent2"/>
              </a:solidFill>
              <a:round/>
            </a:ln>
            <a:effectLst/>
          </c:spPr>
          <c:marker>
            <c:symbol val="none"/>
          </c:marker>
          <c:cat>
            <c:numRef>
              <c:f>Sheet1!$B$5:$F$5</c:f>
              <c:numCache>
                <c:formatCode>General</c:formatCode>
                <c:ptCount val="5"/>
                <c:pt idx="0">
                  <c:v>2012</c:v>
                </c:pt>
                <c:pt idx="1">
                  <c:v>2013</c:v>
                </c:pt>
                <c:pt idx="2">
                  <c:v>2014</c:v>
                </c:pt>
                <c:pt idx="3">
                  <c:v>2015</c:v>
                </c:pt>
                <c:pt idx="4">
                  <c:v>2016</c:v>
                </c:pt>
              </c:numCache>
            </c:numRef>
          </c:cat>
          <c:val>
            <c:numRef>
              <c:f>Sheet1!$B$7:$F$7</c:f>
              <c:numCache>
                <c:formatCode>General</c:formatCode>
                <c:ptCount val="5"/>
                <c:pt idx="0">
                  <c:v>131.5</c:v>
                </c:pt>
                <c:pt idx="1">
                  <c:v>89.7</c:v>
                </c:pt>
                <c:pt idx="2">
                  <c:v>49.5</c:v>
                </c:pt>
                <c:pt idx="3">
                  <c:v>69.7</c:v>
                </c:pt>
                <c:pt idx="4">
                  <c:v>63.2</c:v>
                </c:pt>
              </c:numCache>
            </c:numRef>
          </c:val>
          <c:smooth val="0"/>
        </c:ser>
        <c:dLbls>
          <c:showLegendKey val="0"/>
          <c:showVal val="0"/>
          <c:showCatName val="0"/>
          <c:showSerName val="0"/>
          <c:showPercent val="0"/>
          <c:showBubbleSize val="0"/>
        </c:dLbls>
        <c:smooth val="0"/>
        <c:axId val="573497664"/>
        <c:axId val="573498056"/>
      </c:lineChart>
      <c:catAx>
        <c:axId val="57349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98056"/>
        <c:crosses val="autoZero"/>
        <c:auto val="1"/>
        <c:lblAlgn val="ctr"/>
        <c:lblOffset val="100"/>
        <c:noMultiLvlLbl val="0"/>
      </c:catAx>
      <c:valAx>
        <c:axId val="57349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CAD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9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DBC1-C00B-443F-A28E-AA44A47E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Yang</dc:creator>
  <cp:keywords/>
  <dc:description/>
  <cp:lastModifiedBy>Steven Yang</cp:lastModifiedBy>
  <cp:revision>28</cp:revision>
  <dcterms:created xsi:type="dcterms:W3CDTF">2018-08-07T22:28:00Z</dcterms:created>
  <dcterms:modified xsi:type="dcterms:W3CDTF">2018-08-08T18:32:00Z</dcterms:modified>
</cp:coreProperties>
</file>