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CA" w:rsidRPr="00E3725C" w:rsidRDefault="00171ACA" w:rsidP="00171ACA">
      <w:pPr>
        <w:pStyle w:val="NoSpacing"/>
        <w:rPr>
          <w:rFonts w:ascii="Times New Roman" w:eastAsia="Times New Roman" w:hAnsi="Times New Roman" w:cs="Times New Roman"/>
          <w:color w:val="auto"/>
        </w:rPr>
      </w:pPr>
      <w:r w:rsidRPr="00E3725C">
        <w:rPr>
          <w:rFonts w:ascii="Times New Roman" w:hAnsi="Times New Roman"/>
          <w:b/>
          <w:bCs/>
          <w:color w:val="auto"/>
        </w:rPr>
        <w:t xml:space="preserve">Date: </w:t>
      </w:r>
      <w:r w:rsidRPr="00E3725C">
        <w:rPr>
          <w:rFonts w:ascii="Times New Roman" w:hAnsi="Times New Roman"/>
          <w:color w:val="auto"/>
        </w:rPr>
        <w:t>7</w:t>
      </w:r>
      <w:r w:rsidRPr="00E3725C">
        <w:rPr>
          <w:rFonts w:ascii="Times New Roman" w:hAnsi="Times New Roman"/>
          <w:color w:val="auto"/>
          <w:vertAlign w:val="superscript"/>
        </w:rPr>
        <w:t>th</w:t>
      </w:r>
      <w:r w:rsidRPr="00E3725C">
        <w:rPr>
          <w:rFonts w:ascii="Times New Roman" w:hAnsi="Times New Roman"/>
          <w:color w:val="auto"/>
        </w:rPr>
        <w:t xml:space="preserve"> August</w:t>
      </w:r>
      <w:r w:rsidRPr="00E3725C">
        <w:rPr>
          <w:rFonts w:ascii="Times New Roman" w:eastAsia="Times New Roman" w:hAnsi="Times New Roman" w:cs="Times New Roman"/>
          <w:color w:val="auto"/>
        </w:rPr>
        <w:t xml:space="preserve"> 2018</w:t>
      </w:r>
    </w:p>
    <w:p w:rsidR="00171ACA" w:rsidRPr="00E3725C" w:rsidRDefault="00171ACA" w:rsidP="00171ACA">
      <w:pPr>
        <w:pStyle w:val="NoSpacing"/>
        <w:rPr>
          <w:rFonts w:ascii="Times New Roman" w:eastAsia="Times New Roman" w:hAnsi="Times New Roman" w:cs="Times New Roman"/>
          <w:color w:val="auto"/>
        </w:rPr>
      </w:pPr>
      <w:r w:rsidRPr="00E3725C">
        <w:rPr>
          <w:rFonts w:ascii="Times New Roman" w:hAnsi="Times New Roman"/>
          <w:b/>
          <w:bCs/>
          <w:color w:val="auto"/>
        </w:rPr>
        <w:t>To:</w:t>
      </w:r>
      <w:r w:rsidRPr="00E3725C">
        <w:rPr>
          <w:rFonts w:ascii="Times New Roman" w:hAnsi="Times New Roman"/>
          <w:color w:val="auto"/>
        </w:rPr>
        <w:t xml:space="preserve"> Jon Gruber, </w:t>
      </w:r>
      <w:r w:rsidRPr="00E3725C">
        <w:rPr>
          <w:rFonts w:ascii="Times New Roman" w:hAnsi="Times New Roman"/>
          <w:bCs/>
          <w:color w:val="auto"/>
        </w:rPr>
        <w:t xml:space="preserve">Ian </w:t>
      </w:r>
      <w:proofErr w:type="spellStart"/>
      <w:r w:rsidRPr="00E3725C">
        <w:rPr>
          <w:rFonts w:ascii="Times New Roman" w:hAnsi="Times New Roman"/>
          <w:bCs/>
          <w:color w:val="auto"/>
        </w:rPr>
        <w:t>Calaway</w:t>
      </w:r>
      <w:proofErr w:type="spellEnd"/>
      <w:r w:rsidRPr="00E3725C">
        <w:rPr>
          <w:rFonts w:ascii="Times New Roman" w:hAnsi="Times New Roman"/>
          <w:bCs/>
          <w:color w:val="auto"/>
        </w:rPr>
        <w:t xml:space="preserve">, </w:t>
      </w:r>
      <w:proofErr w:type="gramStart"/>
      <w:r w:rsidRPr="00E3725C">
        <w:rPr>
          <w:rFonts w:ascii="Times New Roman" w:hAnsi="Times New Roman"/>
          <w:bCs/>
          <w:color w:val="auto"/>
        </w:rPr>
        <w:t>Cora</w:t>
      </w:r>
      <w:proofErr w:type="gramEnd"/>
      <w:r w:rsidRPr="00E3725C">
        <w:rPr>
          <w:rFonts w:ascii="Times New Roman" w:hAnsi="Times New Roman"/>
          <w:bCs/>
          <w:color w:val="auto"/>
        </w:rPr>
        <w:t xml:space="preserve"> Touchstone </w:t>
      </w:r>
    </w:p>
    <w:p w:rsidR="00171ACA" w:rsidRPr="00E3725C" w:rsidRDefault="00171ACA" w:rsidP="00171ACA">
      <w:pPr>
        <w:pStyle w:val="NoSpacing"/>
        <w:rPr>
          <w:rFonts w:ascii="Times New Roman" w:eastAsia="Times New Roman" w:hAnsi="Times New Roman" w:cs="Times New Roman"/>
          <w:color w:val="auto"/>
        </w:rPr>
      </w:pPr>
      <w:r w:rsidRPr="00E3725C">
        <w:rPr>
          <w:rFonts w:ascii="Times New Roman" w:hAnsi="Times New Roman"/>
          <w:b/>
          <w:bCs/>
          <w:color w:val="auto"/>
        </w:rPr>
        <w:t>From:</w:t>
      </w:r>
      <w:r w:rsidRPr="00E3725C">
        <w:rPr>
          <w:rFonts w:ascii="Times New Roman" w:hAnsi="Times New Roman"/>
          <w:color w:val="auto"/>
        </w:rPr>
        <w:t xml:space="preserve"> Steven Yang</w:t>
      </w:r>
    </w:p>
    <w:p w:rsidR="00171ACA" w:rsidRPr="00E3725C" w:rsidRDefault="00171ACA" w:rsidP="00171ACA">
      <w:pPr>
        <w:pStyle w:val="NoSpacing"/>
        <w:pBdr>
          <w:bottom w:val="single" w:sz="12" w:space="0" w:color="000000"/>
        </w:pBdr>
        <w:rPr>
          <w:rFonts w:ascii="Times New Roman" w:eastAsia="Times New Roman" w:hAnsi="Times New Roman" w:cs="Times New Roman"/>
          <w:color w:val="auto"/>
        </w:rPr>
      </w:pPr>
      <w:r w:rsidRPr="00E3725C">
        <w:rPr>
          <w:rFonts w:ascii="Times New Roman" w:hAnsi="Times New Roman"/>
          <w:b/>
          <w:bCs/>
          <w:color w:val="auto"/>
        </w:rPr>
        <w:t xml:space="preserve">Re: </w:t>
      </w:r>
      <w:r w:rsidRPr="00E3725C">
        <w:rPr>
          <w:rFonts w:ascii="Times New Roman" w:hAnsi="Times New Roman"/>
          <w:color w:val="auto"/>
        </w:rPr>
        <w:t xml:space="preserve">Canadian Federal R&amp;D Funding Sources: Federal Economic Development Initiative for Northern Ontario </w:t>
      </w:r>
    </w:p>
    <w:p w:rsidR="00171ACA" w:rsidRPr="00E3725C" w:rsidRDefault="00171ACA" w:rsidP="00171ACA">
      <w:pPr>
        <w:pStyle w:val="Body"/>
        <w:spacing w:line="240" w:lineRule="auto"/>
        <w:rPr>
          <w:rFonts w:ascii="Times New Roman" w:hAnsi="Times New Roman"/>
          <w:b/>
          <w:bCs/>
          <w:color w:val="auto"/>
        </w:rPr>
      </w:pPr>
    </w:p>
    <w:p w:rsidR="00171ACA" w:rsidRPr="00E3725C" w:rsidRDefault="0099493D" w:rsidP="0099493D">
      <w:pPr>
        <w:pStyle w:val="Body"/>
        <w:spacing w:line="240" w:lineRule="auto"/>
        <w:rPr>
          <w:rFonts w:ascii="Times New Roman" w:hAnsi="Times New Roman"/>
          <w:b/>
          <w:bCs/>
          <w:color w:val="auto"/>
        </w:rPr>
      </w:pPr>
      <w:r w:rsidRPr="00E3725C">
        <w:rPr>
          <w:rFonts w:ascii="Times New Roman" w:hAnsi="Times New Roman"/>
          <w:b/>
          <w:bCs/>
          <w:color w:val="auto"/>
        </w:rPr>
        <w:t xml:space="preserve">1. </w:t>
      </w:r>
      <w:r w:rsidR="00171ACA" w:rsidRPr="00E3725C">
        <w:rPr>
          <w:rFonts w:ascii="Times New Roman" w:hAnsi="Times New Roman"/>
          <w:b/>
          <w:bCs/>
          <w:color w:val="auto"/>
        </w:rPr>
        <w:t>Background</w:t>
      </w:r>
    </w:p>
    <w:p w:rsidR="0099493D" w:rsidRPr="00E3725C" w:rsidRDefault="004F7BE3" w:rsidP="0099493D">
      <w:pPr>
        <w:pStyle w:val="Body"/>
        <w:spacing w:line="240" w:lineRule="auto"/>
        <w:rPr>
          <w:rFonts w:ascii="Times New Roman" w:hAnsi="Times New Roman"/>
          <w:bCs/>
          <w:color w:val="auto"/>
        </w:rPr>
      </w:pPr>
      <w:r w:rsidRPr="00E3725C">
        <w:rPr>
          <w:rFonts w:ascii="Times New Roman" w:hAnsi="Times New Roman"/>
          <w:bCs/>
          <w:color w:val="auto"/>
        </w:rPr>
        <w:t>The Federal Economic Development Initiative for Northern Ontario (</w:t>
      </w:r>
      <w:proofErr w:type="spellStart"/>
      <w:r w:rsidRPr="00E3725C">
        <w:rPr>
          <w:rFonts w:ascii="Times New Roman" w:hAnsi="Times New Roman"/>
          <w:bCs/>
          <w:color w:val="auto"/>
        </w:rPr>
        <w:t>FedNor</w:t>
      </w:r>
      <w:proofErr w:type="spellEnd"/>
      <w:r w:rsidRPr="00E3725C">
        <w:rPr>
          <w:rFonts w:ascii="Times New Roman" w:hAnsi="Times New Roman"/>
          <w:bCs/>
          <w:color w:val="auto"/>
        </w:rPr>
        <w:t xml:space="preserve">) is the Government of Canada’s economic development organization for Northern Ontario. Through its programs and services, and through its financial support of projects that lead to job creation and economic growth, </w:t>
      </w:r>
      <w:proofErr w:type="spellStart"/>
      <w:r w:rsidRPr="00E3725C">
        <w:rPr>
          <w:rFonts w:ascii="Times New Roman" w:hAnsi="Times New Roman"/>
          <w:bCs/>
          <w:color w:val="auto"/>
        </w:rPr>
        <w:t>FedNor</w:t>
      </w:r>
      <w:proofErr w:type="spellEnd"/>
      <w:r w:rsidRPr="00E3725C">
        <w:rPr>
          <w:rFonts w:ascii="Times New Roman" w:hAnsi="Times New Roman"/>
          <w:bCs/>
          <w:color w:val="auto"/>
        </w:rPr>
        <w:t xml:space="preserve"> works with businesses and community partners to build a stronger Northern Ontario.</w:t>
      </w:r>
      <w:r w:rsidR="003E56B7" w:rsidRPr="00E3725C">
        <w:rPr>
          <w:rFonts w:ascii="Times New Roman" w:hAnsi="Times New Roman"/>
          <w:bCs/>
          <w:color w:val="auto"/>
        </w:rPr>
        <w:t xml:space="preserve"> </w:t>
      </w:r>
    </w:p>
    <w:p w:rsidR="00171ACA" w:rsidRPr="00E3725C" w:rsidRDefault="00171ACA" w:rsidP="00171ACA">
      <w:pPr>
        <w:pStyle w:val="Body"/>
        <w:rPr>
          <w:rFonts w:ascii="Times New Roman" w:hAnsi="Times New Roman"/>
          <w:b/>
          <w:bCs/>
          <w:color w:val="auto"/>
          <w:lang w:val="nl-NL"/>
        </w:rPr>
      </w:pPr>
      <w:r w:rsidRPr="00E3725C">
        <w:rPr>
          <w:rFonts w:ascii="Times New Roman" w:hAnsi="Times New Roman"/>
          <w:b/>
          <w:bCs/>
          <w:color w:val="auto"/>
          <w:lang w:val="nl-NL"/>
        </w:rPr>
        <w:t xml:space="preserve">2. </w:t>
      </w:r>
      <w:r w:rsidRPr="00E3725C">
        <w:rPr>
          <w:rFonts w:ascii="Times New Roman" w:hAnsi="Times New Roman"/>
          <w:b/>
          <w:color w:val="auto"/>
        </w:rPr>
        <w:t>Canadian Northern Economic Development Agency</w:t>
      </w:r>
      <w:r w:rsidRPr="00E3725C">
        <w:rPr>
          <w:rFonts w:ascii="Times New Roman" w:hAnsi="Times New Roman"/>
          <w:color w:val="auto"/>
        </w:rPr>
        <w:t xml:space="preserve"> </w:t>
      </w:r>
      <w:r w:rsidRPr="00E3725C">
        <w:rPr>
          <w:rFonts w:ascii="Times New Roman" w:hAnsi="Times New Roman"/>
          <w:b/>
          <w:bCs/>
          <w:color w:val="auto"/>
          <w:lang w:val="nl-NL"/>
        </w:rPr>
        <w:t>R&amp;D Funding</w:t>
      </w:r>
    </w:p>
    <w:p w:rsidR="00DA3CBE" w:rsidRPr="00E3725C" w:rsidRDefault="00213A82" w:rsidP="00AA7390">
      <w:pPr>
        <w:pStyle w:val="Body"/>
        <w:rPr>
          <w:rFonts w:ascii="Times New Roman" w:hAnsi="Times New Roman" w:cs="Times New Roman"/>
          <w:color w:val="auto"/>
          <w:shd w:val="clear" w:color="auto" w:fill="FFFFFF"/>
        </w:rPr>
      </w:pPr>
      <w:r w:rsidRPr="00E3725C">
        <w:rPr>
          <w:rFonts w:ascii="Times New Roman" w:hAnsi="Times New Roman" w:cs="Times New Roman"/>
          <w:color w:val="auto"/>
        </w:rPr>
        <w:t>T</w:t>
      </w:r>
      <w:r w:rsidR="00EB556D" w:rsidRPr="00E3725C">
        <w:rPr>
          <w:rFonts w:ascii="Times New Roman" w:hAnsi="Times New Roman" w:cs="Times New Roman"/>
          <w:color w:val="auto"/>
        </w:rPr>
        <w:t>he Industrial Research and Development Financing</w:t>
      </w:r>
      <w:r w:rsidR="00EB556D" w:rsidRPr="00E3725C">
        <w:rPr>
          <w:rFonts w:ascii="Times New Roman" w:hAnsi="Times New Roman" w:cs="Times New Roman"/>
          <w:color w:val="auto"/>
          <w:shd w:val="clear" w:color="auto" w:fill="FFFFFF"/>
        </w:rPr>
        <w:t xml:space="preserve"> Program </w:t>
      </w:r>
      <w:r w:rsidRPr="00E3725C">
        <w:rPr>
          <w:rFonts w:ascii="Times New Roman" w:hAnsi="Times New Roman" w:cs="Times New Roman"/>
          <w:color w:val="auto"/>
          <w:shd w:val="clear" w:color="auto" w:fill="FFFFFF"/>
        </w:rPr>
        <w:t xml:space="preserve">of </w:t>
      </w:r>
      <w:proofErr w:type="spellStart"/>
      <w:r w:rsidRPr="00E3725C">
        <w:rPr>
          <w:rFonts w:ascii="Times New Roman" w:hAnsi="Times New Roman" w:cs="Times New Roman"/>
          <w:color w:val="auto"/>
          <w:shd w:val="clear" w:color="auto" w:fill="FFFFFF"/>
        </w:rPr>
        <w:t>FedNor</w:t>
      </w:r>
      <w:proofErr w:type="spellEnd"/>
      <w:r w:rsidRPr="00E3725C">
        <w:rPr>
          <w:rFonts w:ascii="Times New Roman" w:hAnsi="Times New Roman" w:cs="Times New Roman"/>
          <w:color w:val="auto"/>
          <w:shd w:val="clear" w:color="auto" w:fill="FFFFFF"/>
        </w:rPr>
        <w:t xml:space="preserve"> </w:t>
      </w:r>
      <w:r w:rsidR="00EB556D" w:rsidRPr="00E3725C">
        <w:rPr>
          <w:rFonts w:ascii="Times New Roman" w:hAnsi="Times New Roman" w:cs="Times New Roman"/>
          <w:color w:val="auto"/>
          <w:shd w:val="clear" w:color="auto" w:fill="FFFFFF"/>
        </w:rPr>
        <w:t>helps Canadian businesses increase research and development activities by investing in innovative projects and collaborations through repayable and </w:t>
      </w:r>
      <w:r w:rsidR="00EB556D" w:rsidRPr="00E3725C">
        <w:rPr>
          <w:rStyle w:val="nowrap"/>
          <w:rFonts w:ascii="Times New Roman" w:hAnsi="Times New Roman" w:cs="Times New Roman"/>
          <w:color w:val="auto"/>
          <w:shd w:val="clear" w:color="auto" w:fill="FFFFFF"/>
        </w:rPr>
        <w:t>non-repayable</w:t>
      </w:r>
      <w:r w:rsidR="00EB556D" w:rsidRPr="00E3725C">
        <w:rPr>
          <w:rFonts w:ascii="Times New Roman" w:hAnsi="Times New Roman" w:cs="Times New Roman"/>
          <w:color w:val="auto"/>
          <w:shd w:val="clear" w:color="auto" w:fill="FFFFFF"/>
        </w:rPr>
        <w:t> contributions. Projects supported under this program are expected to produce benefits to Canada, including generating strategic research and development investment, developing new technologies, and enhancing Canadian innovation capacity and expertise.</w:t>
      </w:r>
      <w:r w:rsidR="00AA7390" w:rsidRPr="00E3725C">
        <w:rPr>
          <w:rFonts w:ascii="Times New Roman" w:hAnsi="Times New Roman" w:cs="Times New Roman"/>
          <w:color w:val="auto"/>
          <w:shd w:val="clear" w:color="auto" w:fill="FFFFFF"/>
        </w:rPr>
        <w:t xml:space="preserve"> </w:t>
      </w:r>
    </w:p>
    <w:p w:rsidR="00171ACA" w:rsidRPr="00E3725C" w:rsidRDefault="009D4BBE" w:rsidP="00AA7390">
      <w:pPr>
        <w:pStyle w:val="Body"/>
        <w:rPr>
          <w:rFonts w:ascii="Times New Roman" w:hAnsi="Times New Roman" w:cs="Times New Roman"/>
          <w:color w:val="auto"/>
          <w:shd w:val="clear" w:color="auto" w:fill="FFFFFF"/>
        </w:rPr>
      </w:pPr>
      <w:r w:rsidRPr="00E3725C">
        <w:rPr>
          <w:rFonts w:ascii="Times New Roman" w:hAnsi="Times New Roman" w:cs="Times New Roman"/>
          <w:color w:val="auto"/>
          <w:shd w:val="clear" w:color="auto" w:fill="FFFFFF"/>
        </w:rPr>
        <w:t>Second, the</w:t>
      </w:r>
      <w:r w:rsidR="00AA7390" w:rsidRPr="00E3725C">
        <w:rPr>
          <w:rFonts w:ascii="Times New Roman" w:hAnsi="Times New Roman" w:cs="Times New Roman"/>
          <w:color w:val="auto"/>
          <w:shd w:val="clear" w:color="auto" w:fill="FFFFFF"/>
        </w:rPr>
        <w:t xml:space="preserve"> Science, Technology and Innovation Capacity program sets the strategic direction for policies and programs that support and stimulate research, development and innovation in Canada. In collaboration with Industry Portfolio partners, other government departments and external stakeholders from the private and public sectors, the program fosters an environment that is conducive to innovation and promotes scientific excellence.</w:t>
      </w:r>
    </w:p>
    <w:p w:rsidR="00BD6711" w:rsidRPr="00E3725C" w:rsidRDefault="00BD6711" w:rsidP="00BD6711">
      <w:pPr>
        <w:pStyle w:val="Body"/>
        <w:rPr>
          <w:rFonts w:ascii="Times New Roman" w:hAnsi="Times New Roman" w:cs="Times New Roman"/>
          <w:color w:val="auto"/>
          <w:shd w:val="clear" w:color="auto" w:fill="FFFFFF"/>
        </w:rPr>
      </w:pPr>
      <w:r w:rsidRPr="00E3725C">
        <w:rPr>
          <w:rFonts w:ascii="Times New Roman" w:hAnsi="Times New Roman" w:cs="Times New Roman"/>
          <w:color w:val="auto"/>
          <w:shd w:val="clear" w:color="auto" w:fill="FFFFFF"/>
        </w:rPr>
        <w:t>Third, Small Business Research, Financing and Services program enhances the growth and competitiveness of small business and encourages entrepreneurship. It raises awareness across government of the challenges facing small businesses; provides knowledge and expertise on small and medium-sized enterprises (SMEs), including cooperatives, in a number of areas, including entrepreneurship, financing, innovation and growth firms; recommends policy options; and delivers programs that help support SMEs and entrepreneurial activity across Canada.</w:t>
      </w:r>
    </w:p>
    <w:p w:rsidR="00ED2022" w:rsidRPr="00E3725C" w:rsidRDefault="00ED2022" w:rsidP="00BD6711">
      <w:pPr>
        <w:pStyle w:val="Body"/>
        <w:rPr>
          <w:rFonts w:ascii="Times New Roman" w:hAnsi="Times New Roman" w:cs="Times New Roman"/>
          <w:color w:val="auto"/>
          <w:shd w:val="clear" w:color="auto" w:fill="FFFFFF"/>
        </w:rPr>
      </w:pPr>
      <w:r w:rsidRPr="00E3725C">
        <w:rPr>
          <w:rFonts w:ascii="Times New Roman" w:hAnsi="Times New Roman" w:cs="Times New Roman"/>
          <w:color w:val="auto"/>
          <w:shd w:val="clear" w:color="auto" w:fill="FFFFFF"/>
        </w:rPr>
        <w:t xml:space="preserve">In 2017, </w:t>
      </w:r>
      <w:proofErr w:type="spellStart"/>
      <w:r w:rsidRPr="00E3725C">
        <w:rPr>
          <w:rFonts w:ascii="Times New Roman" w:hAnsi="Times New Roman" w:cs="Times New Roman"/>
          <w:color w:val="auto"/>
          <w:shd w:val="clear" w:color="auto" w:fill="FFFFFF"/>
        </w:rPr>
        <w:t>FedNor</w:t>
      </w:r>
      <w:proofErr w:type="spellEnd"/>
      <w:r w:rsidRPr="00E3725C">
        <w:rPr>
          <w:rFonts w:ascii="Times New Roman" w:hAnsi="Times New Roman" w:cs="Times New Roman"/>
          <w:color w:val="auto"/>
          <w:shd w:val="clear" w:color="auto" w:fill="FFFFFF"/>
        </w:rPr>
        <w:t xml:space="preserve"> invested 1.26 million CAD in t</w:t>
      </w:r>
      <w:r w:rsidRPr="00E3725C">
        <w:rPr>
          <w:rFonts w:ascii="Times New Roman" w:hAnsi="Times New Roman" w:cs="Times New Roman"/>
          <w:color w:val="auto"/>
        </w:rPr>
        <w:t>he Northern Ontario Angels (NOA), a non-profit organization dedicated to connecting startups and accredited angel investors. An angel investor, (also known as a business angel), is an individual or group of individuals who provide investment capital to new or growing businesses and expect a percentage of ownership equity in return</w:t>
      </w:r>
      <w:r w:rsidR="00B81122" w:rsidRPr="00E3725C">
        <w:rPr>
          <w:rFonts w:ascii="Times New Roman" w:hAnsi="Times New Roman" w:cs="Times New Roman"/>
          <w:color w:val="auto"/>
        </w:rPr>
        <w:t>. The Executive Director is Mary Long Irwin</w:t>
      </w:r>
      <w:r w:rsidR="00B81122" w:rsidRPr="00E3725C">
        <w:rPr>
          <w:rStyle w:val="FootnoteReference"/>
          <w:rFonts w:ascii="Times New Roman" w:hAnsi="Times New Roman" w:cs="Times New Roman"/>
          <w:color w:val="auto"/>
        </w:rPr>
        <w:footnoteReference w:id="1"/>
      </w:r>
    </w:p>
    <w:p w:rsidR="00171ACA" w:rsidRPr="00E3725C" w:rsidRDefault="00171ACA" w:rsidP="00171ACA">
      <w:pPr>
        <w:pStyle w:val="Body"/>
        <w:rPr>
          <w:rFonts w:ascii="Times New Roman" w:hAnsi="Times New Roman" w:cs="Times New Roman"/>
          <w:color w:val="auto"/>
          <w:shd w:val="clear" w:color="auto" w:fill="FFFFFF"/>
        </w:rPr>
      </w:pPr>
    </w:p>
    <w:p w:rsidR="00171ACA" w:rsidRPr="00E3725C" w:rsidRDefault="00171ACA" w:rsidP="00171ACA">
      <w:pPr>
        <w:pStyle w:val="Body"/>
        <w:rPr>
          <w:rFonts w:ascii="Times New Roman" w:hAnsi="Times New Roman"/>
          <w:b/>
          <w:bCs/>
          <w:color w:val="auto"/>
          <w:lang w:val="nl-NL"/>
        </w:rPr>
      </w:pPr>
      <w:r w:rsidRPr="00E3725C">
        <w:rPr>
          <w:rFonts w:ascii="Times New Roman" w:hAnsi="Times New Roman"/>
          <w:b/>
          <w:bCs/>
          <w:color w:val="auto"/>
          <w:lang w:val="nl-NL"/>
        </w:rPr>
        <w:t>3. Interesting Features and Potential Natural Experiments</w:t>
      </w:r>
    </w:p>
    <w:p w:rsidR="00C2497A" w:rsidRPr="00E3725C" w:rsidRDefault="00C2497A" w:rsidP="00171ACA">
      <w:pPr>
        <w:pStyle w:val="Body"/>
        <w:rPr>
          <w:rFonts w:ascii="Times New Roman" w:hAnsi="Times New Roman" w:cs="Times New Roman"/>
          <w:color w:val="auto"/>
        </w:rPr>
      </w:pPr>
      <w:r w:rsidRPr="00E3725C">
        <w:rPr>
          <w:rFonts w:ascii="Times New Roman" w:hAnsi="Times New Roman" w:cs="Times New Roman"/>
          <w:color w:val="auto"/>
        </w:rPr>
        <w:t>The variance in the data is commonly attributed to additional authorities, staff turnover, etc.</w:t>
      </w:r>
    </w:p>
    <w:p w:rsidR="00C2497A" w:rsidRPr="00E3725C" w:rsidRDefault="00C2497A" w:rsidP="00171ACA">
      <w:pPr>
        <w:pStyle w:val="Body"/>
        <w:rPr>
          <w:rFonts w:ascii="Times New Roman" w:hAnsi="Times New Roman" w:cs="Times New Roman"/>
          <w:bCs/>
          <w:color w:val="auto"/>
          <w:lang w:val="nl-NL"/>
        </w:rPr>
        <w:sectPr w:rsidR="00C2497A" w:rsidRPr="00E3725C">
          <w:pgSz w:w="12240" w:h="15840"/>
          <w:pgMar w:top="1440" w:right="1440" w:bottom="1440" w:left="1440" w:header="720" w:footer="720" w:gutter="0"/>
          <w:cols w:space="720"/>
          <w:docGrid w:linePitch="360"/>
        </w:sectPr>
      </w:pPr>
      <w:r w:rsidRPr="00E3725C">
        <w:rPr>
          <w:rFonts w:ascii="Times New Roman" w:hAnsi="Times New Roman" w:cs="Times New Roman"/>
          <w:color w:val="auto"/>
        </w:rPr>
        <w:t xml:space="preserve">In 2016, </w:t>
      </w:r>
      <w:proofErr w:type="spellStart"/>
      <w:r w:rsidRPr="00E3725C">
        <w:rPr>
          <w:rFonts w:ascii="Times New Roman" w:hAnsi="Times New Roman" w:cs="Times New Roman"/>
          <w:color w:val="auto"/>
        </w:rPr>
        <w:t>FedNor</w:t>
      </w:r>
      <w:proofErr w:type="spellEnd"/>
      <w:r w:rsidRPr="00E3725C">
        <w:rPr>
          <w:rFonts w:ascii="Times New Roman" w:hAnsi="Times New Roman" w:cs="Times New Roman"/>
          <w:color w:val="auto"/>
        </w:rPr>
        <w:t xml:space="preserve"> signed a trilateral Memorandum of Understanding with the United States and Mexico to promote women’s entrepreneurship and women-owned enterprises in North America</w:t>
      </w:r>
      <w:r w:rsidR="00703515" w:rsidRPr="00E3725C">
        <w:rPr>
          <w:rStyle w:val="FootnoteReference"/>
          <w:rFonts w:ascii="Times New Roman" w:hAnsi="Times New Roman" w:cs="Times New Roman"/>
          <w:bCs/>
          <w:color w:val="auto"/>
          <w:lang w:val="nl-NL"/>
        </w:rPr>
        <w:footnoteReference w:id="2"/>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616"/>
        <w:gridCol w:w="616"/>
        <w:gridCol w:w="616"/>
        <w:gridCol w:w="666"/>
        <w:gridCol w:w="616"/>
        <w:gridCol w:w="666"/>
        <w:gridCol w:w="666"/>
        <w:gridCol w:w="666"/>
        <w:gridCol w:w="666"/>
        <w:gridCol w:w="666"/>
        <w:gridCol w:w="666"/>
      </w:tblGrid>
      <w:tr w:rsidR="00E3725C" w:rsidRPr="00E3725C" w:rsidTr="00842B59">
        <w:trPr>
          <w:trHeight w:val="582"/>
          <w:jc w:val="center"/>
        </w:trPr>
        <w:tc>
          <w:tcPr>
            <w:tcW w:w="0" w:type="auto"/>
            <w:gridSpan w:val="12"/>
            <w:tcBorders>
              <w:top w:val="single" w:sz="4" w:space="0" w:color="auto"/>
              <w:bottom w:val="single" w:sz="4" w:space="0" w:color="auto"/>
            </w:tcBorders>
            <w:vAlign w:val="center"/>
          </w:tcPr>
          <w:p w:rsidR="005B1CA2" w:rsidRPr="00E3725C" w:rsidRDefault="005B1CA2" w:rsidP="005B1CA2">
            <w:pPr>
              <w:jc w:val="center"/>
              <w:rPr>
                <w:b/>
                <w:sz w:val="20"/>
                <w:szCs w:val="20"/>
              </w:rPr>
            </w:pPr>
            <w:proofErr w:type="spellStart"/>
            <w:r w:rsidRPr="00E3725C">
              <w:rPr>
                <w:b/>
                <w:sz w:val="20"/>
                <w:szCs w:val="20"/>
              </w:rPr>
              <w:lastRenderedPageBreak/>
              <w:t>FedNor</w:t>
            </w:r>
            <w:proofErr w:type="spellEnd"/>
            <w:r w:rsidRPr="00E3725C">
              <w:rPr>
                <w:b/>
                <w:sz w:val="20"/>
                <w:szCs w:val="20"/>
              </w:rPr>
              <w:t xml:space="preserve"> Annual Expenditures Towards Industrial Research (in millions CAD)</w:t>
            </w:r>
            <w:r w:rsidRPr="00E3725C">
              <w:rPr>
                <w:rStyle w:val="FootnoteReference"/>
                <w:b/>
                <w:sz w:val="20"/>
                <w:szCs w:val="20"/>
              </w:rPr>
              <w:footnoteReference w:id="3"/>
            </w:r>
          </w:p>
        </w:tc>
      </w:tr>
      <w:tr w:rsidR="00E3725C" w:rsidRPr="00E3725C" w:rsidTr="00842B59">
        <w:trPr>
          <w:trHeight w:val="582"/>
          <w:jc w:val="center"/>
        </w:trPr>
        <w:tc>
          <w:tcPr>
            <w:tcW w:w="0" w:type="auto"/>
            <w:tcBorders>
              <w:top w:val="single" w:sz="4" w:space="0" w:color="auto"/>
              <w:bottom w:val="single" w:sz="4" w:space="0" w:color="auto"/>
            </w:tcBorders>
            <w:vAlign w:val="center"/>
          </w:tcPr>
          <w:p w:rsidR="005B1CA2" w:rsidRPr="00E3725C" w:rsidRDefault="005B1CA2" w:rsidP="00842B59">
            <w:pPr>
              <w:jc w:val="center"/>
              <w:rPr>
                <w:sz w:val="20"/>
                <w:szCs w:val="20"/>
              </w:rPr>
            </w:pP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2006</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2007</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2008</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2009</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2010</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2011</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2012</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2013</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2014</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2015</w:t>
            </w:r>
          </w:p>
        </w:tc>
        <w:tc>
          <w:tcPr>
            <w:tcW w:w="0" w:type="auto"/>
            <w:tcBorders>
              <w:top w:val="single" w:sz="4" w:space="0" w:color="auto"/>
              <w:bottom w:val="single" w:sz="4" w:space="0" w:color="auto"/>
            </w:tcBorders>
            <w:vAlign w:val="center"/>
          </w:tcPr>
          <w:p w:rsidR="005B1CA2" w:rsidRPr="00E3725C" w:rsidRDefault="005B1CA2" w:rsidP="00842B59">
            <w:pPr>
              <w:jc w:val="center"/>
              <w:rPr>
                <w:b/>
                <w:sz w:val="20"/>
                <w:szCs w:val="20"/>
              </w:rPr>
            </w:pPr>
            <w:r w:rsidRPr="00E3725C">
              <w:rPr>
                <w:b/>
                <w:sz w:val="20"/>
                <w:szCs w:val="20"/>
              </w:rPr>
              <w:t>2016</w:t>
            </w:r>
          </w:p>
        </w:tc>
      </w:tr>
      <w:tr w:rsidR="00E3725C" w:rsidRPr="00E3725C" w:rsidTr="00842B59">
        <w:trPr>
          <w:trHeight w:val="299"/>
          <w:jc w:val="center"/>
        </w:trPr>
        <w:tc>
          <w:tcPr>
            <w:tcW w:w="0" w:type="auto"/>
            <w:tcBorders>
              <w:top w:val="single" w:sz="4" w:space="0" w:color="auto"/>
            </w:tcBorders>
            <w:vAlign w:val="center"/>
          </w:tcPr>
          <w:p w:rsidR="005B1CA2" w:rsidRPr="00E3725C" w:rsidRDefault="005B1CA2" w:rsidP="00842B59">
            <w:pPr>
              <w:rPr>
                <w:b/>
                <w:sz w:val="18"/>
                <w:szCs w:val="18"/>
              </w:rPr>
            </w:pPr>
            <w:r w:rsidRPr="00E3725C">
              <w:rPr>
                <w:b/>
                <w:sz w:val="18"/>
                <w:szCs w:val="18"/>
              </w:rPr>
              <w:t>Planned Spending</w:t>
            </w:r>
          </w:p>
        </w:tc>
        <w:tc>
          <w:tcPr>
            <w:tcW w:w="0" w:type="auto"/>
            <w:tcBorders>
              <w:top w:val="single" w:sz="4" w:space="0" w:color="auto"/>
            </w:tcBorders>
            <w:vAlign w:val="center"/>
          </w:tcPr>
          <w:p w:rsidR="005B1CA2" w:rsidRPr="00E3725C" w:rsidRDefault="00046FA2" w:rsidP="00842B59">
            <w:pPr>
              <w:rPr>
                <w:sz w:val="20"/>
                <w:szCs w:val="20"/>
              </w:rPr>
            </w:pPr>
            <w:r w:rsidRPr="00E3725C">
              <w:rPr>
                <w:sz w:val="20"/>
                <w:szCs w:val="20"/>
              </w:rPr>
              <w:t>95.5</w:t>
            </w:r>
          </w:p>
        </w:tc>
        <w:tc>
          <w:tcPr>
            <w:tcW w:w="0" w:type="auto"/>
            <w:tcBorders>
              <w:top w:val="single" w:sz="4" w:space="0" w:color="auto"/>
            </w:tcBorders>
            <w:vAlign w:val="center"/>
          </w:tcPr>
          <w:p w:rsidR="005B1CA2" w:rsidRPr="00E3725C" w:rsidRDefault="00046FA2" w:rsidP="00842B59">
            <w:pPr>
              <w:jc w:val="center"/>
              <w:rPr>
                <w:sz w:val="20"/>
                <w:szCs w:val="20"/>
              </w:rPr>
            </w:pPr>
            <w:r w:rsidRPr="00E3725C">
              <w:rPr>
                <w:sz w:val="20"/>
                <w:szCs w:val="20"/>
              </w:rPr>
              <w:t>11.8</w:t>
            </w:r>
          </w:p>
        </w:tc>
        <w:tc>
          <w:tcPr>
            <w:tcW w:w="0" w:type="auto"/>
            <w:tcBorders>
              <w:top w:val="single" w:sz="4" w:space="0" w:color="auto"/>
            </w:tcBorders>
            <w:vAlign w:val="center"/>
          </w:tcPr>
          <w:p w:rsidR="005B1CA2" w:rsidRPr="00E3725C" w:rsidRDefault="00046FA2" w:rsidP="00842B59">
            <w:pPr>
              <w:jc w:val="center"/>
              <w:rPr>
                <w:sz w:val="20"/>
                <w:szCs w:val="20"/>
              </w:rPr>
            </w:pPr>
            <w:r w:rsidRPr="00E3725C">
              <w:rPr>
                <w:sz w:val="20"/>
                <w:szCs w:val="20"/>
              </w:rPr>
              <w:t>9.5</w:t>
            </w:r>
          </w:p>
        </w:tc>
        <w:tc>
          <w:tcPr>
            <w:tcW w:w="0" w:type="auto"/>
            <w:tcBorders>
              <w:top w:val="single" w:sz="4" w:space="0" w:color="auto"/>
            </w:tcBorders>
            <w:vAlign w:val="center"/>
          </w:tcPr>
          <w:p w:rsidR="005B1CA2" w:rsidRPr="00E3725C" w:rsidRDefault="00046FA2" w:rsidP="00842B59">
            <w:pPr>
              <w:jc w:val="center"/>
              <w:rPr>
                <w:sz w:val="20"/>
                <w:szCs w:val="20"/>
              </w:rPr>
            </w:pPr>
            <w:r w:rsidRPr="00E3725C">
              <w:rPr>
                <w:sz w:val="20"/>
                <w:szCs w:val="20"/>
              </w:rPr>
              <w:t>222.1</w:t>
            </w:r>
          </w:p>
        </w:tc>
        <w:tc>
          <w:tcPr>
            <w:tcW w:w="0" w:type="auto"/>
            <w:tcBorders>
              <w:top w:val="single" w:sz="4" w:space="0" w:color="auto"/>
            </w:tcBorders>
            <w:vAlign w:val="center"/>
          </w:tcPr>
          <w:p w:rsidR="005B1CA2" w:rsidRPr="00E3725C" w:rsidRDefault="00046FA2" w:rsidP="00842B59">
            <w:pPr>
              <w:jc w:val="center"/>
              <w:rPr>
                <w:sz w:val="20"/>
                <w:szCs w:val="20"/>
              </w:rPr>
            </w:pPr>
            <w:r w:rsidRPr="00E3725C">
              <w:rPr>
                <w:sz w:val="20"/>
                <w:szCs w:val="20"/>
              </w:rPr>
              <w:t>295</w:t>
            </w:r>
          </w:p>
        </w:tc>
        <w:tc>
          <w:tcPr>
            <w:tcW w:w="0" w:type="auto"/>
            <w:tcBorders>
              <w:top w:val="single" w:sz="4" w:space="0" w:color="auto"/>
            </w:tcBorders>
          </w:tcPr>
          <w:p w:rsidR="005B1CA2" w:rsidRPr="00E3725C" w:rsidRDefault="00046FA2" w:rsidP="00842B59">
            <w:pPr>
              <w:jc w:val="center"/>
              <w:rPr>
                <w:sz w:val="20"/>
                <w:szCs w:val="20"/>
              </w:rPr>
            </w:pPr>
            <w:r w:rsidRPr="00E3725C">
              <w:rPr>
                <w:sz w:val="20"/>
                <w:szCs w:val="20"/>
              </w:rPr>
              <w:t>431.9</w:t>
            </w:r>
          </w:p>
        </w:tc>
        <w:tc>
          <w:tcPr>
            <w:tcW w:w="0" w:type="auto"/>
            <w:tcBorders>
              <w:top w:val="single" w:sz="4" w:space="0" w:color="auto"/>
            </w:tcBorders>
          </w:tcPr>
          <w:p w:rsidR="005B1CA2" w:rsidRPr="00E3725C" w:rsidRDefault="00046FA2" w:rsidP="00842B59">
            <w:pPr>
              <w:jc w:val="center"/>
              <w:rPr>
                <w:sz w:val="20"/>
                <w:szCs w:val="20"/>
              </w:rPr>
            </w:pPr>
            <w:r w:rsidRPr="00E3725C">
              <w:rPr>
                <w:sz w:val="20"/>
                <w:szCs w:val="20"/>
              </w:rPr>
              <w:t>403.2</w:t>
            </w:r>
          </w:p>
        </w:tc>
        <w:tc>
          <w:tcPr>
            <w:tcW w:w="0" w:type="auto"/>
            <w:tcBorders>
              <w:top w:val="single" w:sz="4" w:space="0" w:color="auto"/>
            </w:tcBorders>
          </w:tcPr>
          <w:p w:rsidR="005B1CA2" w:rsidRPr="00E3725C" w:rsidRDefault="00046FA2" w:rsidP="00842B59">
            <w:pPr>
              <w:jc w:val="center"/>
              <w:rPr>
                <w:sz w:val="20"/>
                <w:szCs w:val="20"/>
              </w:rPr>
            </w:pPr>
            <w:r w:rsidRPr="00E3725C">
              <w:rPr>
                <w:sz w:val="20"/>
                <w:szCs w:val="20"/>
              </w:rPr>
              <w:t>332.5</w:t>
            </w:r>
          </w:p>
        </w:tc>
        <w:tc>
          <w:tcPr>
            <w:tcW w:w="0" w:type="auto"/>
            <w:tcBorders>
              <w:top w:val="single" w:sz="4" w:space="0" w:color="auto"/>
            </w:tcBorders>
          </w:tcPr>
          <w:p w:rsidR="005B1CA2" w:rsidRPr="00E3725C" w:rsidRDefault="00046FA2" w:rsidP="00842B59">
            <w:pPr>
              <w:jc w:val="center"/>
              <w:rPr>
                <w:sz w:val="20"/>
                <w:szCs w:val="20"/>
              </w:rPr>
            </w:pPr>
            <w:r w:rsidRPr="00E3725C">
              <w:rPr>
                <w:sz w:val="20"/>
                <w:szCs w:val="20"/>
              </w:rPr>
              <w:t>262.6</w:t>
            </w:r>
          </w:p>
        </w:tc>
        <w:tc>
          <w:tcPr>
            <w:tcW w:w="0" w:type="auto"/>
            <w:tcBorders>
              <w:top w:val="single" w:sz="4" w:space="0" w:color="auto"/>
            </w:tcBorders>
          </w:tcPr>
          <w:p w:rsidR="005B1CA2" w:rsidRPr="00E3725C" w:rsidRDefault="00046FA2" w:rsidP="00842B59">
            <w:pPr>
              <w:jc w:val="center"/>
              <w:rPr>
                <w:sz w:val="20"/>
                <w:szCs w:val="20"/>
              </w:rPr>
            </w:pPr>
            <w:r w:rsidRPr="00E3725C">
              <w:rPr>
                <w:sz w:val="20"/>
                <w:szCs w:val="20"/>
              </w:rPr>
              <w:t>287.6</w:t>
            </w:r>
          </w:p>
        </w:tc>
        <w:tc>
          <w:tcPr>
            <w:tcW w:w="0" w:type="auto"/>
            <w:tcBorders>
              <w:top w:val="single" w:sz="4" w:space="0" w:color="auto"/>
            </w:tcBorders>
          </w:tcPr>
          <w:p w:rsidR="005B1CA2" w:rsidRPr="00E3725C" w:rsidRDefault="00046FA2" w:rsidP="00842B59">
            <w:pPr>
              <w:jc w:val="center"/>
              <w:rPr>
                <w:sz w:val="20"/>
                <w:szCs w:val="20"/>
              </w:rPr>
            </w:pPr>
            <w:r w:rsidRPr="00E3725C">
              <w:rPr>
                <w:sz w:val="20"/>
                <w:szCs w:val="20"/>
              </w:rPr>
              <w:t>326.9</w:t>
            </w:r>
          </w:p>
        </w:tc>
      </w:tr>
      <w:tr w:rsidR="00E3725C" w:rsidRPr="00E3725C" w:rsidTr="00842B59">
        <w:trPr>
          <w:trHeight w:val="282"/>
          <w:jc w:val="center"/>
        </w:trPr>
        <w:tc>
          <w:tcPr>
            <w:tcW w:w="0" w:type="auto"/>
            <w:vAlign w:val="center"/>
          </w:tcPr>
          <w:p w:rsidR="005B1CA2" w:rsidRPr="00E3725C" w:rsidRDefault="005B1CA2" w:rsidP="00842B59">
            <w:pPr>
              <w:jc w:val="center"/>
              <w:rPr>
                <w:b/>
                <w:sz w:val="18"/>
                <w:szCs w:val="18"/>
              </w:rPr>
            </w:pPr>
            <w:r w:rsidRPr="00E3725C">
              <w:rPr>
                <w:b/>
                <w:sz w:val="18"/>
                <w:szCs w:val="18"/>
              </w:rPr>
              <w:t>Actual Spending</w:t>
            </w:r>
          </w:p>
        </w:tc>
        <w:tc>
          <w:tcPr>
            <w:tcW w:w="0" w:type="auto"/>
            <w:vAlign w:val="center"/>
          </w:tcPr>
          <w:p w:rsidR="005B1CA2" w:rsidRPr="00E3725C" w:rsidRDefault="00046FA2" w:rsidP="00842B59">
            <w:pPr>
              <w:rPr>
                <w:sz w:val="20"/>
                <w:szCs w:val="20"/>
              </w:rPr>
            </w:pPr>
            <w:r w:rsidRPr="00E3725C">
              <w:rPr>
                <w:sz w:val="20"/>
                <w:szCs w:val="20"/>
              </w:rPr>
              <w:t>73.3</w:t>
            </w:r>
          </w:p>
        </w:tc>
        <w:tc>
          <w:tcPr>
            <w:tcW w:w="0" w:type="auto"/>
            <w:vAlign w:val="center"/>
          </w:tcPr>
          <w:p w:rsidR="005B1CA2" w:rsidRPr="00E3725C" w:rsidRDefault="00046FA2" w:rsidP="00842B59">
            <w:pPr>
              <w:jc w:val="center"/>
              <w:rPr>
                <w:sz w:val="20"/>
                <w:szCs w:val="20"/>
              </w:rPr>
            </w:pPr>
            <w:r w:rsidRPr="00E3725C">
              <w:rPr>
                <w:sz w:val="20"/>
                <w:szCs w:val="20"/>
              </w:rPr>
              <w:t>24.1</w:t>
            </w:r>
          </w:p>
        </w:tc>
        <w:tc>
          <w:tcPr>
            <w:tcW w:w="0" w:type="auto"/>
            <w:vAlign w:val="center"/>
          </w:tcPr>
          <w:p w:rsidR="005B1CA2" w:rsidRPr="00E3725C" w:rsidRDefault="00046FA2" w:rsidP="00842B59">
            <w:pPr>
              <w:jc w:val="center"/>
              <w:rPr>
                <w:sz w:val="20"/>
                <w:szCs w:val="20"/>
              </w:rPr>
            </w:pPr>
            <w:r w:rsidRPr="00E3725C">
              <w:rPr>
                <w:sz w:val="20"/>
                <w:szCs w:val="20"/>
              </w:rPr>
              <w:t>90.4</w:t>
            </w:r>
          </w:p>
        </w:tc>
        <w:tc>
          <w:tcPr>
            <w:tcW w:w="0" w:type="auto"/>
            <w:vAlign w:val="center"/>
          </w:tcPr>
          <w:p w:rsidR="005B1CA2" w:rsidRPr="00E3725C" w:rsidRDefault="00046FA2" w:rsidP="00842B59">
            <w:pPr>
              <w:jc w:val="center"/>
              <w:rPr>
                <w:sz w:val="20"/>
                <w:szCs w:val="20"/>
              </w:rPr>
            </w:pPr>
            <w:r w:rsidRPr="00E3725C">
              <w:rPr>
                <w:sz w:val="20"/>
                <w:szCs w:val="20"/>
              </w:rPr>
              <w:t>218.8</w:t>
            </w:r>
          </w:p>
        </w:tc>
        <w:tc>
          <w:tcPr>
            <w:tcW w:w="0" w:type="auto"/>
            <w:vAlign w:val="center"/>
          </w:tcPr>
          <w:p w:rsidR="005B1CA2" w:rsidRPr="00E3725C" w:rsidRDefault="00046FA2" w:rsidP="00842B59">
            <w:pPr>
              <w:jc w:val="center"/>
              <w:rPr>
                <w:sz w:val="20"/>
                <w:szCs w:val="20"/>
              </w:rPr>
            </w:pPr>
            <w:r w:rsidRPr="00E3725C">
              <w:rPr>
                <w:sz w:val="20"/>
                <w:szCs w:val="20"/>
              </w:rPr>
              <w:t>247</w:t>
            </w:r>
          </w:p>
        </w:tc>
        <w:tc>
          <w:tcPr>
            <w:tcW w:w="0" w:type="auto"/>
            <w:vAlign w:val="center"/>
          </w:tcPr>
          <w:p w:rsidR="005B1CA2" w:rsidRPr="00E3725C" w:rsidRDefault="00046FA2" w:rsidP="00842B59">
            <w:pPr>
              <w:jc w:val="center"/>
              <w:rPr>
                <w:sz w:val="20"/>
                <w:szCs w:val="20"/>
              </w:rPr>
            </w:pPr>
            <w:r w:rsidRPr="00E3725C">
              <w:rPr>
                <w:sz w:val="20"/>
                <w:szCs w:val="20"/>
              </w:rPr>
              <w:t>332.9</w:t>
            </w:r>
          </w:p>
        </w:tc>
        <w:tc>
          <w:tcPr>
            <w:tcW w:w="0" w:type="auto"/>
          </w:tcPr>
          <w:p w:rsidR="005B1CA2" w:rsidRPr="00E3725C" w:rsidRDefault="00046FA2" w:rsidP="00842B59">
            <w:pPr>
              <w:jc w:val="center"/>
              <w:rPr>
                <w:sz w:val="20"/>
                <w:szCs w:val="20"/>
              </w:rPr>
            </w:pPr>
            <w:r w:rsidRPr="00E3725C">
              <w:rPr>
                <w:sz w:val="20"/>
                <w:szCs w:val="20"/>
              </w:rPr>
              <w:t>430.7</w:t>
            </w:r>
          </w:p>
        </w:tc>
        <w:tc>
          <w:tcPr>
            <w:tcW w:w="0" w:type="auto"/>
          </w:tcPr>
          <w:p w:rsidR="005B1CA2" w:rsidRPr="00E3725C" w:rsidRDefault="00046FA2" w:rsidP="00842B59">
            <w:pPr>
              <w:jc w:val="center"/>
              <w:rPr>
                <w:sz w:val="20"/>
                <w:szCs w:val="20"/>
              </w:rPr>
            </w:pPr>
            <w:r w:rsidRPr="00E3725C">
              <w:rPr>
                <w:sz w:val="20"/>
                <w:szCs w:val="20"/>
              </w:rPr>
              <w:t>330.6</w:t>
            </w:r>
          </w:p>
        </w:tc>
        <w:tc>
          <w:tcPr>
            <w:tcW w:w="0" w:type="auto"/>
          </w:tcPr>
          <w:p w:rsidR="005B1CA2" w:rsidRPr="00E3725C" w:rsidRDefault="00046FA2" w:rsidP="00842B59">
            <w:pPr>
              <w:jc w:val="center"/>
              <w:rPr>
                <w:sz w:val="20"/>
                <w:szCs w:val="20"/>
              </w:rPr>
            </w:pPr>
            <w:r w:rsidRPr="00E3725C">
              <w:rPr>
                <w:sz w:val="20"/>
                <w:szCs w:val="20"/>
              </w:rPr>
              <w:t>221</w:t>
            </w:r>
          </w:p>
        </w:tc>
        <w:tc>
          <w:tcPr>
            <w:tcW w:w="0" w:type="auto"/>
          </w:tcPr>
          <w:p w:rsidR="005B1CA2" w:rsidRPr="00E3725C" w:rsidRDefault="00046FA2" w:rsidP="00842B59">
            <w:pPr>
              <w:jc w:val="center"/>
              <w:rPr>
                <w:sz w:val="20"/>
                <w:szCs w:val="20"/>
              </w:rPr>
            </w:pPr>
            <w:r w:rsidRPr="00E3725C">
              <w:rPr>
                <w:sz w:val="20"/>
                <w:szCs w:val="20"/>
              </w:rPr>
              <w:t>321.1</w:t>
            </w:r>
          </w:p>
        </w:tc>
        <w:tc>
          <w:tcPr>
            <w:tcW w:w="0" w:type="auto"/>
          </w:tcPr>
          <w:p w:rsidR="005B1CA2" w:rsidRPr="00E3725C" w:rsidRDefault="00046FA2" w:rsidP="00842B59">
            <w:pPr>
              <w:jc w:val="center"/>
              <w:rPr>
                <w:sz w:val="20"/>
                <w:szCs w:val="20"/>
              </w:rPr>
            </w:pPr>
            <w:r w:rsidRPr="00E3725C">
              <w:rPr>
                <w:sz w:val="20"/>
                <w:szCs w:val="20"/>
              </w:rPr>
              <w:t>280.6</w:t>
            </w:r>
          </w:p>
        </w:tc>
      </w:tr>
      <w:tr w:rsidR="005B1CA2" w:rsidRPr="00E3725C" w:rsidTr="00842B59">
        <w:trPr>
          <w:trHeight w:val="299"/>
          <w:jc w:val="center"/>
        </w:trPr>
        <w:tc>
          <w:tcPr>
            <w:tcW w:w="0" w:type="auto"/>
            <w:tcBorders>
              <w:bottom w:val="single" w:sz="4" w:space="0" w:color="auto"/>
            </w:tcBorders>
            <w:vAlign w:val="center"/>
          </w:tcPr>
          <w:p w:rsidR="005B1CA2" w:rsidRPr="00E3725C" w:rsidRDefault="005B1CA2" w:rsidP="00842B59">
            <w:pPr>
              <w:jc w:val="center"/>
              <w:rPr>
                <w:i/>
                <w:sz w:val="20"/>
                <w:szCs w:val="20"/>
              </w:rPr>
            </w:pPr>
          </w:p>
        </w:tc>
        <w:tc>
          <w:tcPr>
            <w:tcW w:w="0" w:type="auto"/>
            <w:tcBorders>
              <w:bottom w:val="single" w:sz="4" w:space="0" w:color="auto"/>
            </w:tcBorders>
            <w:vAlign w:val="center"/>
          </w:tcPr>
          <w:p w:rsidR="005B1CA2" w:rsidRPr="00E3725C" w:rsidRDefault="005B1CA2" w:rsidP="00842B59">
            <w:pPr>
              <w:rPr>
                <w:sz w:val="20"/>
                <w:szCs w:val="20"/>
              </w:rPr>
            </w:pPr>
          </w:p>
        </w:tc>
        <w:tc>
          <w:tcPr>
            <w:tcW w:w="0" w:type="auto"/>
            <w:tcBorders>
              <w:bottom w:val="single" w:sz="4" w:space="0" w:color="auto"/>
            </w:tcBorders>
            <w:vAlign w:val="center"/>
          </w:tcPr>
          <w:p w:rsidR="005B1CA2" w:rsidRPr="00E3725C" w:rsidRDefault="005B1CA2" w:rsidP="00842B59">
            <w:pPr>
              <w:jc w:val="center"/>
              <w:rPr>
                <w:sz w:val="20"/>
                <w:szCs w:val="20"/>
              </w:rPr>
            </w:pPr>
          </w:p>
        </w:tc>
        <w:tc>
          <w:tcPr>
            <w:tcW w:w="0" w:type="auto"/>
            <w:tcBorders>
              <w:bottom w:val="single" w:sz="4" w:space="0" w:color="auto"/>
            </w:tcBorders>
            <w:vAlign w:val="center"/>
          </w:tcPr>
          <w:p w:rsidR="005B1CA2" w:rsidRPr="00E3725C" w:rsidRDefault="005B1CA2" w:rsidP="00842B59">
            <w:pPr>
              <w:jc w:val="center"/>
              <w:rPr>
                <w:sz w:val="20"/>
                <w:szCs w:val="20"/>
              </w:rPr>
            </w:pPr>
          </w:p>
        </w:tc>
        <w:tc>
          <w:tcPr>
            <w:tcW w:w="0" w:type="auto"/>
            <w:tcBorders>
              <w:bottom w:val="single" w:sz="4" w:space="0" w:color="auto"/>
            </w:tcBorders>
            <w:vAlign w:val="center"/>
          </w:tcPr>
          <w:p w:rsidR="005B1CA2" w:rsidRPr="00E3725C" w:rsidRDefault="005B1CA2" w:rsidP="00842B59">
            <w:pPr>
              <w:jc w:val="center"/>
              <w:rPr>
                <w:sz w:val="20"/>
                <w:szCs w:val="20"/>
              </w:rPr>
            </w:pPr>
          </w:p>
        </w:tc>
        <w:tc>
          <w:tcPr>
            <w:tcW w:w="0" w:type="auto"/>
            <w:tcBorders>
              <w:bottom w:val="single" w:sz="4" w:space="0" w:color="auto"/>
            </w:tcBorders>
            <w:vAlign w:val="center"/>
          </w:tcPr>
          <w:p w:rsidR="005B1CA2" w:rsidRPr="00E3725C" w:rsidRDefault="005B1CA2" w:rsidP="00842B59">
            <w:pPr>
              <w:jc w:val="center"/>
              <w:rPr>
                <w:sz w:val="20"/>
                <w:szCs w:val="20"/>
              </w:rPr>
            </w:pPr>
          </w:p>
        </w:tc>
        <w:tc>
          <w:tcPr>
            <w:tcW w:w="0" w:type="auto"/>
            <w:tcBorders>
              <w:bottom w:val="single" w:sz="4" w:space="0" w:color="auto"/>
            </w:tcBorders>
            <w:vAlign w:val="center"/>
          </w:tcPr>
          <w:p w:rsidR="005B1CA2" w:rsidRPr="00E3725C" w:rsidRDefault="005B1CA2" w:rsidP="00842B59">
            <w:pPr>
              <w:jc w:val="center"/>
              <w:rPr>
                <w:sz w:val="20"/>
                <w:szCs w:val="20"/>
              </w:rPr>
            </w:pPr>
          </w:p>
        </w:tc>
        <w:tc>
          <w:tcPr>
            <w:tcW w:w="0" w:type="auto"/>
            <w:tcBorders>
              <w:bottom w:val="single" w:sz="4" w:space="0" w:color="auto"/>
            </w:tcBorders>
          </w:tcPr>
          <w:p w:rsidR="005B1CA2" w:rsidRPr="00E3725C" w:rsidRDefault="005B1CA2" w:rsidP="00842B59">
            <w:pPr>
              <w:jc w:val="center"/>
              <w:rPr>
                <w:sz w:val="20"/>
                <w:szCs w:val="20"/>
              </w:rPr>
            </w:pPr>
          </w:p>
        </w:tc>
        <w:tc>
          <w:tcPr>
            <w:tcW w:w="0" w:type="auto"/>
            <w:tcBorders>
              <w:bottom w:val="single" w:sz="4" w:space="0" w:color="auto"/>
            </w:tcBorders>
          </w:tcPr>
          <w:p w:rsidR="005B1CA2" w:rsidRPr="00E3725C" w:rsidRDefault="005B1CA2" w:rsidP="00842B59">
            <w:pPr>
              <w:jc w:val="center"/>
              <w:rPr>
                <w:sz w:val="20"/>
                <w:szCs w:val="20"/>
              </w:rPr>
            </w:pPr>
          </w:p>
        </w:tc>
        <w:tc>
          <w:tcPr>
            <w:tcW w:w="0" w:type="auto"/>
            <w:tcBorders>
              <w:bottom w:val="single" w:sz="4" w:space="0" w:color="auto"/>
            </w:tcBorders>
          </w:tcPr>
          <w:p w:rsidR="005B1CA2" w:rsidRPr="00E3725C" w:rsidRDefault="005B1CA2" w:rsidP="00842B59">
            <w:pPr>
              <w:jc w:val="center"/>
              <w:rPr>
                <w:sz w:val="20"/>
                <w:szCs w:val="20"/>
              </w:rPr>
            </w:pPr>
          </w:p>
        </w:tc>
        <w:tc>
          <w:tcPr>
            <w:tcW w:w="0" w:type="auto"/>
            <w:tcBorders>
              <w:bottom w:val="single" w:sz="4" w:space="0" w:color="auto"/>
            </w:tcBorders>
          </w:tcPr>
          <w:p w:rsidR="005B1CA2" w:rsidRPr="00E3725C" w:rsidRDefault="005B1CA2" w:rsidP="00842B59">
            <w:pPr>
              <w:jc w:val="center"/>
              <w:rPr>
                <w:sz w:val="20"/>
                <w:szCs w:val="20"/>
              </w:rPr>
            </w:pPr>
          </w:p>
        </w:tc>
        <w:tc>
          <w:tcPr>
            <w:tcW w:w="0" w:type="auto"/>
            <w:tcBorders>
              <w:bottom w:val="single" w:sz="4" w:space="0" w:color="auto"/>
            </w:tcBorders>
          </w:tcPr>
          <w:p w:rsidR="005B1CA2" w:rsidRPr="00E3725C" w:rsidRDefault="005B1CA2" w:rsidP="00842B59">
            <w:pPr>
              <w:jc w:val="center"/>
              <w:rPr>
                <w:sz w:val="20"/>
                <w:szCs w:val="20"/>
              </w:rPr>
            </w:pPr>
          </w:p>
        </w:tc>
      </w:tr>
    </w:tbl>
    <w:p w:rsidR="00343A6D" w:rsidRPr="00E3725C" w:rsidRDefault="00343A6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666"/>
        <w:gridCol w:w="666"/>
        <w:gridCol w:w="666"/>
        <w:gridCol w:w="766"/>
        <w:gridCol w:w="666"/>
        <w:gridCol w:w="666"/>
        <w:gridCol w:w="666"/>
        <w:gridCol w:w="666"/>
        <w:gridCol w:w="666"/>
        <w:gridCol w:w="666"/>
        <w:gridCol w:w="766"/>
      </w:tblGrid>
      <w:tr w:rsidR="00E3725C" w:rsidRPr="00E3725C" w:rsidTr="00842B59">
        <w:trPr>
          <w:trHeight w:val="582"/>
          <w:jc w:val="center"/>
        </w:trPr>
        <w:tc>
          <w:tcPr>
            <w:tcW w:w="0" w:type="auto"/>
            <w:gridSpan w:val="12"/>
            <w:tcBorders>
              <w:top w:val="single" w:sz="4" w:space="0" w:color="auto"/>
              <w:bottom w:val="single" w:sz="4" w:space="0" w:color="auto"/>
            </w:tcBorders>
            <w:vAlign w:val="center"/>
          </w:tcPr>
          <w:p w:rsidR="00046FA2" w:rsidRPr="00E3725C" w:rsidRDefault="00046FA2" w:rsidP="00046FA2">
            <w:pPr>
              <w:jc w:val="center"/>
              <w:rPr>
                <w:b/>
                <w:sz w:val="20"/>
                <w:szCs w:val="20"/>
              </w:rPr>
            </w:pPr>
            <w:proofErr w:type="spellStart"/>
            <w:r w:rsidRPr="00E3725C">
              <w:rPr>
                <w:b/>
                <w:sz w:val="20"/>
                <w:szCs w:val="20"/>
              </w:rPr>
              <w:t>FedNor</w:t>
            </w:r>
            <w:proofErr w:type="spellEnd"/>
            <w:r w:rsidRPr="00E3725C">
              <w:rPr>
                <w:b/>
                <w:sz w:val="20"/>
                <w:szCs w:val="20"/>
              </w:rPr>
              <w:t xml:space="preserve"> Annual Expenditures Towards Innovation (in millions CAD)</w:t>
            </w:r>
          </w:p>
        </w:tc>
      </w:tr>
      <w:tr w:rsidR="00E3725C" w:rsidRPr="00E3725C" w:rsidTr="00842B59">
        <w:trPr>
          <w:trHeight w:val="582"/>
          <w:jc w:val="center"/>
        </w:trPr>
        <w:tc>
          <w:tcPr>
            <w:tcW w:w="0" w:type="auto"/>
            <w:tcBorders>
              <w:top w:val="single" w:sz="4" w:space="0" w:color="auto"/>
              <w:bottom w:val="single" w:sz="4" w:space="0" w:color="auto"/>
            </w:tcBorders>
            <w:vAlign w:val="center"/>
          </w:tcPr>
          <w:p w:rsidR="00046FA2" w:rsidRPr="00E3725C" w:rsidRDefault="00046FA2" w:rsidP="00842B59">
            <w:pPr>
              <w:jc w:val="center"/>
              <w:rPr>
                <w:sz w:val="20"/>
                <w:szCs w:val="20"/>
              </w:rPr>
            </w:pP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2006</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2007</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2008</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2009</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2010</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2011</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2012</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2013</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2014</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2015</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2016</w:t>
            </w:r>
          </w:p>
        </w:tc>
      </w:tr>
      <w:tr w:rsidR="00E3725C" w:rsidRPr="00E3725C" w:rsidTr="00842B59">
        <w:trPr>
          <w:trHeight w:val="299"/>
          <w:jc w:val="center"/>
        </w:trPr>
        <w:tc>
          <w:tcPr>
            <w:tcW w:w="0" w:type="auto"/>
            <w:tcBorders>
              <w:top w:val="single" w:sz="4" w:space="0" w:color="auto"/>
            </w:tcBorders>
            <w:vAlign w:val="center"/>
          </w:tcPr>
          <w:p w:rsidR="00046FA2" w:rsidRPr="00E3725C" w:rsidRDefault="00046FA2" w:rsidP="00842B59">
            <w:pPr>
              <w:rPr>
                <w:b/>
                <w:sz w:val="18"/>
                <w:szCs w:val="18"/>
              </w:rPr>
            </w:pPr>
            <w:r w:rsidRPr="00E3725C">
              <w:rPr>
                <w:b/>
                <w:sz w:val="18"/>
                <w:szCs w:val="18"/>
              </w:rPr>
              <w:t>Planned Spending</w:t>
            </w:r>
          </w:p>
        </w:tc>
        <w:tc>
          <w:tcPr>
            <w:tcW w:w="0" w:type="auto"/>
            <w:tcBorders>
              <w:top w:val="single" w:sz="4" w:space="0" w:color="auto"/>
            </w:tcBorders>
            <w:vAlign w:val="center"/>
          </w:tcPr>
          <w:p w:rsidR="00046FA2" w:rsidRPr="00E3725C" w:rsidRDefault="00046FA2" w:rsidP="00842B59">
            <w:pPr>
              <w:rPr>
                <w:sz w:val="20"/>
                <w:szCs w:val="20"/>
              </w:rPr>
            </w:pPr>
            <w:r w:rsidRPr="00E3725C">
              <w:rPr>
                <w:sz w:val="20"/>
                <w:szCs w:val="20"/>
              </w:rPr>
              <w:t>510</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52.6</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101.1</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264.3</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248.6</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265.7</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336.6</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300.8</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319.9</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304.4</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342.8</w:t>
            </w:r>
          </w:p>
        </w:tc>
      </w:tr>
      <w:tr w:rsidR="00E3725C" w:rsidRPr="00E3725C" w:rsidTr="00842B59">
        <w:trPr>
          <w:trHeight w:val="282"/>
          <w:jc w:val="center"/>
        </w:trPr>
        <w:tc>
          <w:tcPr>
            <w:tcW w:w="0" w:type="auto"/>
            <w:vAlign w:val="center"/>
          </w:tcPr>
          <w:p w:rsidR="00046FA2" w:rsidRPr="00E3725C" w:rsidRDefault="00046FA2" w:rsidP="00842B59">
            <w:pPr>
              <w:jc w:val="center"/>
              <w:rPr>
                <w:b/>
                <w:sz w:val="18"/>
                <w:szCs w:val="18"/>
              </w:rPr>
            </w:pPr>
            <w:r w:rsidRPr="00E3725C">
              <w:rPr>
                <w:b/>
                <w:sz w:val="18"/>
                <w:szCs w:val="18"/>
              </w:rPr>
              <w:t>Actual Spending</w:t>
            </w:r>
          </w:p>
        </w:tc>
        <w:tc>
          <w:tcPr>
            <w:tcW w:w="0" w:type="auto"/>
            <w:vAlign w:val="center"/>
          </w:tcPr>
          <w:p w:rsidR="00046FA2" w:rsidRPr="00E3725C" w:rsidRDefault="00046FA2" w:rsidP="00842B59">
            <w:pPr>
              <w:rPr>
                <w:sz w:val="20"/>
                <w:szCs w:val="20"/>
              </w:rPr>
            </w:pPr>
            <w:r w:rsidRPr="00E3725C">
              <w:rPr>
                <w:sz w:val="20"/>
                <w:szCs w:val="20"/>
              </w:rPr>
              <w:t>409.9</w:t>
            </w:r>
          </w:p>
        </w:tc>
        <w:tc>
          <w:tcPr>
            <w:tcW w:w="0" w:type="auto"/>
            <w:vAlign w:val="center"/>
          </w:tcPr>
          <w:p w:rsidR="00046FA2" w:rsidRPr="00E3725C" w:rsidRDefault="00046FA2" w:rsidP="00842B59">
            <w:pPr>
              <w:jc w:val="center"/>
              <w:rPr>
                <w:sz w:val="20"/>
                <w:szCs w:val="20"/>
              </w:rPr>
            </w:pPr>
            <w:r w:rsidRPr="00E3725C">
              <w:rPr>
                <w:sz w:val="20"/>
                <w:szCs w:val="20"/>
              </w:rPr>
              <w:t>148.9</w:t>
            </w:r>
          </w:p>
        </w:tc>
        <w:tc>
          <w:tcPr>
            <w:tcW w:w="0" w:type="auto"/>
            <w:vAlign w:val="center"/>
          </w:tcPr>
          <w:p w:rsidR="00046FA2" w:rsidRPr="00E3725C" w:rsidRDefault="00046FA2" w:rsidP="00842B59">
            <w:pPr>
              <w:jc w:val="center"/>
              <w:rPr>
                <w:sz w:val="20"/>
                <w:szCs w:val="20"/>
              </w:rPr>
            </w:pPr>
            <w:r w:rsidRPr="00E3725C">
              <w:rPr>
                <w:sz w:val="20"/>
                <w:szCs w:val="20"/>
              </w:rPr>
              <w:t>99.7</w:t>
            </w:r>
          </w:p>
        </w:tc>
        <w:tc>
          <w:tcPr>
            <w:tcW w:w="0" w:type="auto"/>
            <w:vAlign w:val="center"/>
          </w:tcPr>
          <w:p w:rsidR="00046FA2" w:rsidRPr="00E3725C" w:rsidRDefault="00046FA2" w:rsidP="00842B59">
            <w:pPr>
              <w:jc w:val="center"/>
              <w:rPr>
                <w:sz w:val="20"/>
                <w:szCs w:val="20"/>
              </w:rPr>
            </w:pPr>
            <w:r w:rsidRPr="00E3725C">
              <w:rPr>
                <w:sz w:val="20"/>
                <w:szCs w:val="20"/>
              </w:rPr>
              <w:t>1271.1</w:t>
            </w:r>
          </w:p>
        </w:tc>
        <w:tc>
          <w:tcPr>
            <w:tcW w:w="0" w:type="auto"/>
            <w:vAlign w:val="center"/>
          </w:tcPr>
          <w:p w:rsidR="00046FA2" w:rsidRPr="00E3725C" w:rsidRDefault="00046FA2" w:rsidP="00842B59">
            <w:pPr>
              <w:jc w:val="center"/>
              <w:rPr>
                <w:sz w:val="20"/>
                <w:szCs w:val="20"/>
              </w:rPr>
            </w:pPr>
            <w:r w:rsidRPr="00E3725C">
              <w:rPr>
                <w:sz w:val="20"/>
                <w:szCs w:val="20"/>
              </w:rPr>
              <w:t>251.5</w:t>
            </w:r>
          </w:p>
        </w:tc>
        <w:tc>
          <w:tcPr>
            <w:tcW w:w="0" w:type="auto"/>
            <w:vAlign w:val="center"/>
          </w:tcPr>
          <w:p w:rsidR="00046FA2" w:rsidRPr="00E3725C" w:rsidRDefault="00046FA2" w:rsidP="00842B59">
            <w:pPr>
              <w:jc w:val="center"/>
              <w:rPr>
                <w:sz w:val="20"/>
                <w:szCs w:val="20"/>
              </w:rPr>
            </w:pPr>
            <w:r w:rsidRPr="00E3725C">
              <w:rPr>
                <w:sz w:val="20"/>
                <w:szCs w:val="20"/>
              </w:rPr>
              <w:t>440.8</w:t>
            </w:r>
          </w:p>
        </w:tc>
        <w:tc>
          <w:tcPr>
            <w:tcW w:w="0" w:type="auto"/>
          </w:tcPr>
          <w:p w:rsidR="00046FA2" w:rsidRPr="00E3725C" w:rsidRDefault="00046FA2" w:rsidP="00842B59">
            <w:pPr>
              <w:jc w:val="center"/>
              <w:rPr>
                <w:sz w:val="20"/>
                <w:szCs w:val="20"/>
              </w:rPr>
            </w:pPr>
            <w:r w:rsidRPr="00E3725C">
              <w:rPr>
                <w:sz w:val="20"/>
                <w:szCs w:val="20"/>
              </w:rPr>
              <w:t>415.9</w:t>
            </w:r>
          </w:p>
        </w:tc>
        <w:tc>
          <w:tcPr>
            <w:tcW w:w="0" w:type="auto"/>
          </w:tcPr>
          <w:p w:rsidR="00046FA2" w:rsidRPr="00E3725C" w:rsidRDefault="00046FA2" w:rsidP="00842B59">
            <w:pPr>
              <w:jc w:val="center"/>
              <w:rPr>
                <w:sz w:val="20"/>
                <w:szCs w:val="20"/>
              </w:rPr>
            </w:pPr>
            <w:r w:rsidRPr="00E3725C">
              <w:rPr>
                <w:sz w:val="20"/>
                <w:szCs w:val="20"/>
              </w:rPr>
              <w:t>210.2</w:t>
            </w:r>
          </w:p>
        </w:tc>
        <w:tc>
          <w:tcPr>
            <w:tcW w:w="0" w:type="auto"/>
          </w:tcPr>
          <w:p w:rsidR="00046FA2" w:rsidRPr="00E3725C" w:rsidRDefault="00046FA2" w:rsidP="00842B59">
            <w:pPr>
              <w:jc w:val="center"/>
              <w:rPr>
                <w:sz w:val="20"/>
                <w:szCs w:val="20"/>
              </w:rPr>
            </w:pPr>
            <w:r w:rsidRPr="00E3725C">
              <w:rPr>
                <w:sz w:val="20"/>
                <w:szCs w:val="20"/>
              </w:rPr>
              <w:t>313.4</w:t>
            </w:r>
          </w:p>
        </w:tc>
        <w:tc>
          <w:tcPr>
            <w:tcW w:w="0" w:type="auto"/>
          </w:tcPr>
          <w:p w:rsidR="00046FA2" w:rsidRPr="00E3725C" w:rsidRDefault="00046FA2" w:rsidP="00842B59">
            <w:pPr>
              <w:jc w:val="center"/>
              <w:rPr>
                <w:sz w:val="20"/>
                <w:szCs w:val="20"/>
              </w:rPr>
            </w:pPr>
            <w:r w:rsidRPr="00E3725C">
              <w:rPr>
                <w:sz w:val="20"/>
                <w:szCs w:val="20"/>
              </w:rPr>
              <w:t>311.4</w:t>
            </w:r>
          </w:p>
        </w:tc>
        <w:tc>
          <w:tcPr>
            <w:tcW w:w="0" w:type="auto"/>
          </w:tcPr>
          <w:p w:rsidR="00046FA2" w:rsidRPr="00E3725C" w:rsidRDefault="00046FA2" w:rsidP="00842B59">
            <w:pPr>
              <w:jc w:val="center"/>
              <w:rPr>
                <w:sz w:val="20"/>
                <w:szCs w:val="20"/>
              </w:rPr>
            </w:pPr>
            <w:r w:rsidRPr="00E3725C">
              <w:rPr>
                <w:sz w:val="20"/>
                <w:szCs w:val="20"/>
              </w:rPr>
              <w:t>1197.3</w:t>
            </w:r>
          </w:p>
        </w:tc>
      </w:tr>
      <w:tr w:rsidR="00046FA2" w:rsidRPr="00E3725C" w:rsidTr="00842B59">
        <w:trPr>
          <w:trHeight w:val="299"/>
          <w:jc w:val="center"/>
        </w:trPr>
        <w:tc>
          <w:tcPr>
            <w:tcW w:w="0" w:type="auto"/>
            <w:tcBorders>
              <w:bottom w:val="single" w:sz="4" w:space="0" w:color="auto"/>
            </w:tcBorders>
            <w:vAlign w:val="center"/>
          </w:tcPr>
          <w:p w:rsidR="00046FA2" w:rsidRPr="00E3725C" w:rsidRDefault="00046FA2" w:rsidP="00842B59">
            <w:pPr>
              <w:jc w:val="center"/>
              <w:rPr>
                <w:i/>
                <w:sz w:val="20"/>
                <w:szCs w:val="20"/>
              </w:rPr>
            </w:pPr>
          </w:p>
        </w:tc>
        <w:tc>
          <w:tcPr>
            <w:tcW w:w="0" w:type="auto"/>
            <w:tcBorders>
              <w:bottom w:val="single" w:sz="4" w:space="0" w:color="auto"/>
            </w:tcBorders>
            <w:vAlign w:val="center"/>
          </w:tcPr>
          <w:p w:rsidR="00046FA2" w:rsidRPr="00E3725C" w:rsidRDefault="00046FA2" w:rsidP="00842B59">
            <w:pP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r>
    </w:tbl>
    <w:p w:rsidR="00046FA2" w:rsidRPr="00E3725C" w:rsidRDefault="00046FA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616"/>
        <w:gridCol w:w="666"/>
        <w:gridCol w:w="666"/>
        <w:gridCol w:w="666"/>
        <w:gridCol w:w="666"/>
        <w:gridCol w:w="666"/>
        <w:gridCol w:w="666"/>
        <w:gridCol w:w="666"/>
        <w:gridCol w:w="616"/>
        <w:gridCol w:w="616"/>
        <w:gridCol w:w="616"/>
      </w:tblGrid>
      <w:tr w:rsidR="00E3725C" w:rsidRPr="00E3725C" w:rsidTr="00842B59">
        <w:trPr>
          <w:trHeight w:val="582"/>
          <w:jc w:val="center"/>
        </w:trPr>
        <w:tc>
          <w:tcPr>
            <w:tcW w:w="0" w:type="auto"/>
            <w:gridSpan w:val="12"/>
            <w:tcBorders>
              <w:top w:val="single" w:sz="4" w:space="0" w:color="auto"/>
              <w:bottom w:val="single" w:sz="4" w:space="0" w:color="auto"/>
            </w:tcBorders>
            <w:vAlign w:val="center"/>
          </w:tcPr>
          <w:p w:rsidR="00046FA2" w:rsidRPr="00E3725C" w:rsidRDefault="00046FA2" w:rsidP="00046FA2">
            <w:pPr>
              <w:jc w:val="center"/>
              <w:rPr>
                <w:b/>
                <w:sz w:val="20"/>
                <w:szCs w:val="20"/>
              </w:rPr>
            </w:pPr>
            <w:proofErr w:type="spellStart"/>
            <w:r w:rsidRPr="00E3725C">
              <w:rPr>
                <w:b/>
                <w:sz w:val="20"/>
                <w:szCs w:val="20"/>
              </w:rPr>
              <w:t>FedNor</w:t>
            </w:r>
            <w:proofErr w:type="spellEnd"/>
            <w:r w:rsidRPr="00E3725C">
              <w:rPr>
                <w:b/>
                <w:sz w:val="20"/>
                <w:szCs w:val="20"/>
              </w:rPr>
              <w:t xml:space="preserve"> Annual Expenditures Towards SME Research (in millions CAD)</w:t>
            </w:r>
          </w:p>
        </w:tc>
      </w:tr>
      <w:tr w:rsidR="00E3725C" w:rsidRPr="00E3725C" w:rsidTr="00842B59">
        <w:trPr>
          <w:trHeight w:val="582"/>
          <w:jc w:val="center"/>
        </w:trPr>
        <w:tc>
          <w:tcPr>
            <w:tcW w:w="0" w:type="auto"/>
            <w:tcBorders>
              <w:top w:val="single" w:sz="4" w:space="0" w:color="auto"/>
              <w:bottom w:val="single" w:sz="4" w:space="0" w:color="auto"/>
            </w:tcBorders>
            <w:vAlign w:val="center"/>
          </w:tcPr>
          <w:p w:rsidR="00046FA2" w:rsidRPr="00E3725C" w:rsidRDefault="00046FA2" w:rsidP="00842B59">
            <w:pPr>
              <w:jc w:val="center"/>
              <w:rPr>
                <w:sz w:val="20"/>
                <w:szCs w:val="20"/>
              </w:rPr>
            </w:pP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2006</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2007</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2008</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2009</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2010</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2011</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2012</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2013</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2014</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2015</w:t>
            </w:r>
          </w:p>
        </w:tc>
        <w:tc>
          <w:tcPr>
            <w:tcW w:w="0" w:type="auto"/>
            <w:tcBorders>
              <w:top w:val="single" w:sz="4" w:space="0" w:color="auto"/>
              <w:bottom w:val="single" w:sz="4" w:space="0" w:color="auto"/>
            </w:tcBorders>
            <w:vAlign w:val="center"/>
          </w:tcPr>
          <w:p w:rsidR="00046FA2" w:rsidRPr="00E3725C" w:rsidRDefault="00046FA2" w:rsidP="00842B59">
            <w:pPr>
              <w:jc w:val="center"/>
              <w:rPr>
                <w:b/>
                <w:sz w:val="20"/>
                <w:szCs w:val="20"/>
              </w:rPr>
            </w:pPr>
            <w:r w:rsidRPr="00E3725C">
              <w:rPr>
                <w:b/>
                <w:sz w:val="20"/>
                <w:szCs w:val="20"/>
              </w:rPr>
              <w:t>2016</w:t>
            </w:r>
          </w:p>
        </w:tc>
      </w:tr>
      <w:tr w:rsidR="00E3725C" w:rsidRPr="00E3725C" w:rsidTr="00842B59">
        <w:trPr>
          <w:trHeight w:val="299"/>
          <w:jc w:val="center"/>
        </w:trPr>
        <w:tc>
          <w:tcPr>
            <w:tcW w:w="0" w:type="auto"/>
            <w:tcBorders>
              <w:top w:val="single" w:sz="4" w:space="0" w:color="auto"/>
            </w:tcBorders>
            <w:vAlign w:val="center"/>
          </w:tcPr>
          <w:p w:rsidR="00046FA2" w:rsidRPr="00E3725C" w:rsidRDefault="00046FA2" w:rsidP="00842B59">
            <w:pPr>
              <w:rPr>
                <w:b/>
                <w:sz w:val="18"/>
                <w:szCs w:val="18"/>
              </w:rPr>
            </w:pPr>
            <w:r w:rsidRPr="00E3725C">
              <w:rPr>
                <w:b/>
                <w:sz w:val="18"/>
                <w:szCs w:val="18"/>
              </w:rPr>
              <w:t>Planned Spending</w:t>
            </w:r>
          </w:p>
        </w:tc>
        <w:tc>
          <w:tcPr>
            <w:tcW w:w="0" w:type="auto"/>
            <w:tcBorders>
              <w:top w:val="single" w:sz="4" w:space="0" w:color="auto"/>
            </w:tcBorders>
            <w:vAlign w:val="center"/>
          </w:tcPr>
          <w:p w:rsidR="00046FA2" w:rsidRPr="00E3725C" w:rsidRDefault="00046FA2" w:rsidP="00842B59">
            <w:pPr>
              <w:rPr>
                <w:sz w:val="20"/>
                <w:szCs w:val="20"/>
              </w:rPr>
            </w:pPr>
            <w:r w:rsidRPr="00E3725C">
              <w:rPr>
                <w:sz w:val="20"/>
                <w:szCs w:val="20"/>
              </w:rPr>
              <w:t>46.2</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282.7</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235.4</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61.4</w:t>
            </w:r>
          </w:p>
        </w:tc>
        <w:tc>
          <w:tcPr>
            <w:tcW w:w="0" w:type="auto"/>
            <w:tcBorders>
              <w:top w:val="single" w:sz="4" w:space="0" w:color="auto"/>
            </w:tcBorders>
            <w:vAlign w:val="center"/>
          </w:tcPr>
          <w:p w:rsidR="00046FA2" w:rsidRPr="00E3725C" w:rsidRDefault="00046FA2" w:rsidP="00842B59">
            <w:pPr>
              <w:jc w:val="center"/>
              <w:rPr>
                <w:sz w:val="20"/>
                <w:szCs w:val="20"/>
              </w:rPr>
            </w:pPr>
            <w:r w:rsidRPr="00E3725C">
              <w:rPr>
                <w:sz w:val="20"/>
                <w:szCs w:val="20"/>
              </w:rPr>
              <w:t>104.3</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128.6</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133.5</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102.3</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95.4</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86.8</w:t>
            </w:r>
          </w:p>
        </w:tc>
        <w:tc>
          <w:tcPr>
            <w:tcW w:w="0" w:type="auto"/>
            <w:tcBorders>
              <w:top w:val="single" w:sz="4" w:space="0" w:color="auto"/>
            </w:tcBorders>
          </w:tcPr>
          <w:p w:rsidR="00046FA2" w:rsidRPr="00E3725C" w:rsidRDefault="00046FA2" w:rsidP="00842B59">
            <w:pPr>
              <w:jc w:val="center"/>
              <w:rPr>
                <w:sz w:val="20"/>
                <w:szCs w:val="20"/>
              </w:rPr>
            </w:pPr>
            <w:r w:rsidRPr="00E3725C">
              <w:rPr>
                <w:sz w:val="20"/>
                <w:szCs w:val="20"/>
              </w:rPr>
              <w:t>97.7</w:t>
            </w:r>
          </w:p>
        </w:tc>
      </w:tr>
      <w:tr w:rsidR="00E3725C" w:rsidRPr="00E3725C" w:rsidTr="00842B59">
        <w:trPr>
          <w:trHeight w:val="282"/>
          <w:jc w:val="center"/>
        </w:trPr>
        <w:tc>
          <w:tcPr>
            <w:tcW w:w="0" w:type="auto"/>
            <w:vAlign w:val="center"/>
          </w:tcPr>
          <w:p w:rsidR="00046FA2" w:rsidRPr="00E3725C" w:rsidRDefault="00046FA2" w:rsidP="00842B59">
            <w:pPr>
              <w:jc w:val="center"/>
              <w:rPr>
                <w:b/>
                <w:sz w:val="18"/>
                <w:szCs w:val="18"/>
              </w:rPr>
            </w:pPr>
            <w:r w:rsidRPr="00E3725C">
              <w:rPr>
                <w:b/>
                <w:sz w:val="18"/>
                <w:szCs w:val="18"/>
              </w:rPr>
              <w:t>Actual Spending</w:t>
            </w:r>
          </w:p>
        </w:tc>
        <w:tc>
          <w:tcPr>
            <w:tcW w:w="0" w:type="auto"/>
            <w:vAlign w:val="center"/>
          </w:tcPr>
          <w:p w:rsidR="00046FA2" w:rsidRPr="00E3725C" w:rsidRDefault="00046FA2" w:rsidP="00842B59">
            <w:pPr>
              <w:rPr>
                <w:sz w:val="20"/>
                <w:szCs w:val="20"/>
              </w:rPr>
            </w:pPr>
            <w:r w:rsidRPr="00E3725C">
              <w:rPr>
                <w:sz w:val="20"/>
                <w:szCs w:val="20"/>
              </w:rPr>
              <w:t>10.6</w:t>
            </w:r>
          </w:p>
        </w:tc>
        <w:tc>
          <w:tcPr>
            <w:tcW w:w="0" w:type="auto"/>
            <w:vAlign w:val="center"/>
          </w:tcPr>
          <w:p w:rsidR="00046FA2" w:rsidRPr="00E3725C" w:rsidRDefault="00046FA2" w:rsidP="00842B59">
            <w:pPr>
              <w:jc w:val="center"/>
              <w:rPr>
                <w:sz w:val="20"/>
                <w:szCs w:val="20"/>
              </w:rPr>
            </w:pPr>
            <w:r w:rsidRPr="00E3725C">
              <w:rPr>
                <w:sz w:val="20"/>
                <w:szCs w:val="20"/>
              </w:rPr>
              <w:t>333.6</w:t>
            </w:r>
          </w:p>
        </w:tc>
        <w:tc>
          <w:tcPr>
            <w:tcW w:w="0" w:type="auto"/>
            <w:vAlign w:val="center"/>
          </w:tcPr>
          <w:p w:rsidR="00046FA2" w:rsidRPr="00E3725C" w:rsidRDefault="00046FA2" w:rsidP="00842B59">
            <w:pPr>
              <w:jc w:val="center"/>
              <w:rPr>
                <w:sz w:val="20"/>
                <w:szCs w:val="20"/>
              </w:rPr>
            </w:pPr>
            <w:r w:rsidRPr="00E3725C">
              <w:rPr>
                <w:sz w:val="20"/>
                <w:szCs w:val="20"/>
              </w:rPr>
              <w:t>272.3</w:t>
            </w:r>
          </w:p>
        </w:tc>
        <w:tc>
          <w:tcPr>
            <w:tcW w:w="0" w:type="auto"/>
            <w:vAlign w:val="center"/>
          </w:tcPr>
          <w:p w:rsidR="00046FA2" w:rsidRPr="00E3725C" w:rsidRDefault="00046FA2" w:rsidP="00842B59">
            <w:pPr>
              <w:jc w:val="center"/>
              <w:rPr>
                <w:sz w:val="20"/>
                <w:szCs w:val="20"/>
              </w:rPr>
            </w:pPr>
            <w:r w:rsidRPr="00E3725C">
              <w:rPr>
                <w:sz w:val="20"/>
                <w:szCs w:val="20"/>
              </w:rPr>
              <w:t>108.1</w:t>
            </w:r>
          </w:p>
        </w:tc>
        <w:tc>
          <w:tcPr>
            <w:tcW w:w="0" w:type="auto"/>
            <w:vAlign w:val="center"/>
          </w:tcPr>
          <w:p w:rsidR="00046FA2" w:rsidRPr="00E3725C" w:rsidRDefault="00046FA2" w:rsidP="00842B59">
            <w:pPr>
              <w:jc w:val="center"/>
              <w:rPr>
                <w:sz w:val="20"/>
                <w:szCs w:val="20"/>
              </w:rPr>
            </w:pPr>
            <w:r w:rsidRPr="00E3725C">
              <w:rPr>
                <w:sz w:val="20"/>
                <w:szCs w:val="20"/>
              </w:rPr>
              <w:t>106.1</w:t>
            </w:r>
          </w:p>
        </w:tc>
        <w:tc>
          <w:tcPr>
            <w:tcW w:w="0" w:type="auto"/>
            <w:vAlign w:val="center"/>
          </w:tcPr>
          <w:p w:rsidR="00046FA2" w:rsidRPr="00E3725C" w:rsidRDefault="00046FA2" w:rsidP="00842B59">
            <w:pPr>
              <w:jc w:val="center"/>
              <w:rPr>
                <w:sz w:val="20"/>
                <w:szCs w:val="20"/>
              </w:rPr>
            </w:pPr>
            <w:r w:rsidRPr="00E3725C">
              <w:rPr>
                <w:sz w:val="20"/>
                <w:szCs w:val="20"/>
              </w:rPr>
              <w:t>99</w:t>
            </w:r>
          </w:p>
        </w:tc>
        <w:tc>
          <w:tcPr>
            <w:tcW w:w="0" w:type="auto"/>
          </w:tcPr>
          <w:p w:rsidR="00046FA2" w:rsidRPr="00E3725C" w:rsidRDefault="00046FA2" w:rsidP="00842B59">
            <w:pPr>
              <w:jc w:val="center"/>
              <w:rPr>
                <w:sz w:val="20"/>
                <w:szCs w:val="20"/>
              </w:rPr>
            </w:pPr>
            <w:r w:rsidRPr="00E3725C">
              <w:rPr>
                <w:sz w:val="20"/>
                <w:szCs w:val="20"/>
              </w:rPr>
              <w:t>81.5</w:t>
            </w:r>
          </w:p>
        </w:tc>
        <w:tc>
          <w:tcPr>
            <w:tcW w:w="0" w:type="auto"/>
          </w:tcPr>
          <w:p w:rsidR="00046FA2" w:rsidRPr="00E3725C" w:rsidRDefault="00046FA2" w:rsidP="00842B59">
            <w:pPr>
              <w:jc w:val="center"/>
              <w:rPr>
                <w:sz w:val="20"/>
                <w:szCs w:val="20"/>
              </w:rPr>
            </w:pPr>
            <w:r w:rsidRPr="00E3725C">
              <w:rPr>
                <w:sz w:val="20"/>
                <w:szCs w:val="20"/>
              </w:rPr>
              <w:t>85.6</w:t>
            </w:r>
          </w:p>
        </w:tc>
        <w:tc>
          <w:tcPr>
            <w:tcW w:w="0" w:type="auto"/>
          </w:tcPr>
          <w:p w:rsidR="00046FA2" w:rsidRPr="00E3725C" w:rsidRDefault="00046FA2" w:rsidP="00842B59">
            <w:pPr>
              <w:jc w:val="center"/>
              <w:rPr>
                <w:sz w:val="20"/>
                <w:szCs w:val="20"/>
              </w:rPr>
            </w:pPr>
            <w:r w:rsidRPr="00E3725C">
              <w:rPr>
                <w:sz w:val="20"/>
                <w:szCs w:val="20"/>
              </w:rPr>
              <w:t>91.4</w:t>
            </w:r>
          </w:p>
        </w:tc>
        <w:tc>
          <w:tcPr>
            <w:tcW w:w="0" w:type="auto"/>
          </w:tcPr>
          <w:p w:rsidR="00046FA2" w:rsidRPr="00E3725C" w:rsidRDefault="00046FA2" w:rsidP="00842B59">
            <w:pPr>
              <w:jc w:val="center"/>
              <w:rPr>
                <w:sz w:val="20"/>
                <w:szCs w:val="20"/>
              </w:rPr>
            </w:pPr>
            <w:r w:rsidRPr="00E3725C">
              <w:rPr>
                <w:sz w:val="20"/>
                <w:szCs w:val="20"/>
              </w:rPr>
              <w:t>85.9</w:t>
            </w:r>
          </w:p>
        </w:tc>
        <w:tc>
          <w:tcPr>
            <w:tcW w:w="0" w:type="auto"/>
          </w:tcPr>
          <w:p w:rsidR="00046FA2" w:rsidRPr="00E3725C" w:rsidRDefault="00046FA2" w:rsidP="00842B59">
            <w:pPr>
              <w:jc w:val="center"/>
              <w:rPr>
                <w:sz w:val="20"/>
                <w:szCs w:val="20"/>
              </w:rPr>
            </w:pPr>
            <w:r w:rsidRPr="00E3725C">
              <w:rPr>
                <w:sz w:val="20"/>
                <w:szCs w:val="20"/>
              </w:rPr>
              <w:t>86.2</w:t>
            </w:r>
          </w:p>
        </w:tc>
      </w:tr>
      <w:tr w:rsidR="00E3725C" w:rsidRPr="00E3725C" w:rsidTr="00842B59">
        <w:trPr>
          <w:trHeight w:val="299"/>
          <w:jc w:val="center"/>
        </w:trPr>
        <w:tc>
          <w:tcPr>
            <w:tcW w:w="0" w:type="auto"/>
            <w:tcBorders>
              <w:bottom w:val="single" w:sz="4" w:space="0" w:color="auto"/>
            </w:tcBorders>
            <w:vAlign w:val="center"/>
          </w:tcPr>
          <w:p w:rsidR="00046FA2" w:rsidRPr="00E3725C" w:rsidRDefault="00046FA2" w:rsidP="00842B59">
            <w:pPr>
              <w:jc w:val="center"/>
              <w:rPr>
                <w:i/>
                <w:sz w:val="20"/>
                <w:szCs w:val="20"/>
              </w:rPr>
            </w:pPr>
          </w:p>
        </w:tc>
        <w:tc>
          <w:tcPr>
            <w:tcW w:w="0" w:type="auto"/>
            <w:tcBorders>
              <w:bottom w:val="single" w:sz="4" w:space="0" w:color="auto"/>
            </w:tcBorders>
            <w:vAlign w:val="center"/>
          </w:tcPr>
          <w:p w:rsidR="00046FA2" w:rsidRPr="00E3725C" w:rsidRDefault="00046FA2" w:rsidP="00842B59">
            <w:pP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vAlign w:val="center"/>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c>
          <w:tcPr>
            <w:tcW w:w="0" w:type="auto"/>
            <w:tcBorders>
              <w:bottom w:val="single" w:sz="4" w:space="0" w:color="auto"/>
            </w:tcBorders>
          </w:tcPr>
          <w:p w:rsidR="00046FA2" w:rsidRPr="00E3725C" w:rsidRDefault="00046FA2" w:rsidP="00842B59">
            <w:pPr>
              <w:jc w:val="center"/>
              <w:rPr>
                <w:sz w:val="20"/>
                <w:szCs w:val="20"/>
              </w:rPr>
            </w:pPr>
          </w:p>
        </w:tc>
      </w:tr>
    </w:tbl>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 w:rsidR="00046FA2" w:rsidRDefault="00046FA2">
      <w:pPr>
        <w:sectPr w:rsidR="00046FA2">
          <w:pgSz w:w="12240" w:h="15840"/>
          <w:pgMar w:top="1440" w:right="1440" w:bottom="1440" w:left="1440" w:header="720" w:footer="720" w:gutter="0"/>
          <w:cols w:space="720"/>
          <w:docGrid w:linePitch="360"/>
        </w:sectPr>
      </w:pPr>
    </w:p>
    <w:p w:rsidR="00046FA2" w:rsidRDefault="003F33E9">
      <w:r>
        <w:rPr>
          <w:noProof/>
        </w:rPr>
        <w:lastRenderedPageBreak/>
        <w:drawing>
          <wp:anchor distT="0" distB="0" distL="114300" distR="114300" simplePos="0" relativeHeight="251658240" behindDoc="0" locked="0" layoutInCell="1" allowOverlap="1">
            <wp:simplePos x="0" y="0"/>
            <wp:positionH relativeFrom="column">
              <wp:posOffset>914255</wp:posOffset>
            </wp:positionH>
            <wp:positionV relativeFrom="paragraph">
              <wp:posOffset>-89987</wp:posOffset>
            </wp:positionV>
            <wp:extent cx="6263046" cy="3798880"/>
            <wp:effectExtent l="0" t="0" r="4445" b="1143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046FA2" w:rsidRPr="00046FA2" w:rsidRDefault="00046FA2" w:rsidP="00046FA2"/>
    <w:p w:rsidR="00046FA2" w:rsidRDefault="00046FA2" w:rsidP="00046FA2">
      <w:pPr>
        <w:tabs>
          <w:tab w:val="left" w:pos="8547"/>
        </w:tabs>
      </w:pPr>
      <w:r>
        <w:tab/>
      </w: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2A6DA3" w:rsidRDefault="002A6DA3"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bookmarkStart w:id="0" w:name="_GoBack"/>
      <w:r>
        <w:rPr>
          <w:noProof/>
        </w:rPr>
        <w:drawing>
          <wp:anchor distT="0" distB="0" distL="114300" distR="114300" simplePos="0" relativeHeight="251660288" behindDoc="0" locked="0" layoutInCell="1" allowOverlap="1">
            <wp:simplePos x="0" y="0"/>
            <wp:positionH relativeFrom="column">
              <wp:posOffset>102035</wp:posOffset>
            </wp:positionH>
            <wp:positionV relativeFrom="paragraph">
              <wp:posOffset>64230</wp:posOffset>
            </wp:positionV>
            <wp:extent cx="7291653" cy="5003691"/>
            <wp:effectExtent l="0" t="0" r="5080" b="698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bookmarkEnd w:id="0"/>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r>
        <w:rPr>
          <w:noProof/>
        </w:rPr>
        <w:lastRenderedPageBreak/>
        <w:drawing>
          <wp:anchor distT="0" distB="0" distL="114300" distR="114300" simplePos="0" relativeHeight="251659264" behindDoc="0" locked="0" layoutInCell="1" allowOverlap="1">
            <wp:simplePos x="0" y="0"/>
            <wp:positionH relativeFrom="column">
              <wp:posOffset>537028</wp:posOffset>
            </wp:positionH>
            <wp:positionV relativeFrom="paragraph">
              <wp:posOffset>-380357</wp:posOffset>
            </wp:positionV>
            <wp:extent cx="6761850" cy="4976220"/>
            <wp:effectExtent l="0" t="0" r="1270" b="1524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3F33E9" w:rsidRDefault="003F33E9" w:rsidP="00046FA2">
      <w:pPr>
        <w:tabs>
          <w:tab w:val="left" w:pos="8547"/>
        </w:tabs>
      </w:pPr>
    </w:p>
    <w:p w:rsidR="002A6DA3" w:rsidRPr="00046FA2" w:rsidRDefault="002A6DA3" w:rsidP="00046FA2">
      <w:pPr>
        <w:tabs>
          <w:tab w:val="left" w:pos="8547"/>
        </w:tabs>
      </w:pPr>
    </w:p>
    <w:sectPr w:rsidR="002A6DA3" w:rsidRPr="00046FA2" w:rsidSect="00046FA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B9" w:rsidRDefault="00D24BB9" w:rsidP="00171ACA">
      <w:r>
        <w:separator/>
      </w:r>
    </w:p>
  </w:endnote>
  <w:endnote w:type="continuationSeparator" w:id="0">
    <w:p w:rsidR="00D24BB9" w:rsidRDefault="00D24BB9" w:rsidP="0017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B9" w:rsidRDefault="00D24BB9" w:rsidP="00171ACA">
      <w:r>
        <w:separator/>
      </w:r>
    </w:p>
  </w:footnote>
  <w:footnote w:type="continuationSeparator" w:id="0">
    <w:p w:rsidR="00D24BB9" w:rsidRDefault="00D24BB9" w:rsidP="00171ACA">
      <w:r>
        <w:continuationSeparator/>
      </w:r>
    </w:p>
  </w:footnote>
  <w:footnote w:id="1">
    <w:p w:rsidR="00B81122" w:rsidRDefault="00B81122">
      <w:pPr>
        <w:pStyle w:val="FootnoteText"/>
      </w:pPr>
      <w:r>
        <w:rPr>
          <w:rStyle w:val="FootnoteReference"/>
        </w:rPr>
        <w:footnoteRef/>
      </w:r>
      <w:r>
        <w:t xml:space="preserve"> </w:t>
      </w:r>
      <w:hyperlink r:id="rId1" w:history="1">
        <w:r w:rsidRPr="00576425">
          <w:rPr>
            <w:rStyle w:val="Hyperlink"/>
          </w:rPr>
          <w:t>https://betakit.com/federal-government-gives-1-26-million-to-northern-ontario-angels/</w:t>
        </w:r>
      </w:hyperlink>
      <w:r>
        <w:t xml:space="preserve"> </w:t>
      </w:r>
    </w:p>
  </w:footnote>
  <w:footnote w:id="2">
    <w:p w:rsidR="00703515" w:rsidRDefault="00703515">
      <w:pPr>
        <w:pStyle w:val="FootnoteText"/>
      </w:pPr>
      <w:r>
        <w:rPr>
          <w:rStyle w:val="FootnoteReference"/>
        </w:rPr>
        <w:footnoteRef/>
      </w:r>
      <w:r>
        <w:t xml:space="preserve"> </w:t>
      </w:r>
      <w:hyperlink r:id="rId2" w:history="1">
        <w:r w:rsidRPr="00576425">
          <w:rPr>
            <w:rStyle w:val="Hyperlink"/>
          </w:rPr>
          <w:t>http://fednor.gc.ca/eic/site/017.nsf/vwapj/ISED_DRR_2016-17-eng.pdf/$file/ISED_DRR_2016-17-eng.pdf</w:t>
        </w:r>
      </w:hyperlink>
      <w:r>
        <w:t xml:space="preserve"> </w:t>
      </w:r>
    </w:p>
  </w:footnote>
  <w:footnote w:id="3">
    <w:p w:rsidR="005B1CA2" w:rsidRDefault="005B1CA2" w:rsidP="005B1CA2">
      <w:pPr>
        <w:pStyle w:val="FootnoteText"/>
      </w:pPr>
      <w:r>
        <w:rPr>
          <w:rStyle w:val="FootnoteReference"/>
        </w:rPr>
        <w:footnoteRef/>
      </w:r>
      <w:r>
        <w:t xml:space="preserve"> </w:t>
      </w:r>
      <w:hyperlink r:id="rId3" w:history="1">
        <w:r w:rsidRPr="008B33FF">
          <w:rPr>
            <w:rStyle w:val="Hyperlink"/>
            <w:sz w:val="22"/>
            <w:szCs w:val="22"/>
          </w:rPr>
          <w:t>https://www.canada.ca/en/treasury-board-secretariat/services/departmental-performance-reports.html</w:t>
        </w:r>
      </w:hyperlink>
      <w:r>
        <w:rPr>
          <w:sz w:val="22"/>
          <w:szCs w:val="22"/>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01328"/>
    <w:multiLevelType w:val="hybridMultilevel"/>
    <w:tmpl w:val="972E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CA"/>
    <w:rsid w:val="00046FA2"/>
    <w:rsid w:val="00171ACA"/>
    <w:rsid w:val="00213A82"/>
    <w:rsid w:val="0029101D"/>
    <w:rsid w:val="002A6DA3"/>
    <w:rsid w:val="00343A6D"/>
    <w:rsid w:val="003E56B7"/>
    <w:rsid w:val="003F33E9"/>
    <w:rsid w:val="004334C5"/>
    <w:rsid w:val="004F7BE3"/>
    <w:rsid w:val="005B1CA2"/>
    <w:rsid w:val="00703515"/>
    <w:rsid w:val="00936733"/>
    <w:rsid w:val="0099493D"/>
    <w:rsid w:val="009D4BBE"/>
    <w:rsid w:val="00AA7390"/>
    <w:rsid w:val="00B81122"/>
    <w:rsid w:val="00BD6711"/>
    <w:rsid w:val="00C2497A"/>
    <w:rsid w:val="00D24BB9"/>
    <w:rsid w:val="00DA3CBE"/>
    <w:rsid w:val="00E3725C"/>
    <w:rsid w:val="00EB556D"/>
    <w:rsid w:val="00ED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3C560-3A73-40AD-BF16-D2BE284D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1AC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171ACA"/>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Body">
    <w:name w:val="Body"/>
    <w:rsid w:val="00171ACA"/>
    <w:pPr>
      <w:pBdr>
        <w:top w:val="nil"/>
        <w:left w:val="nil"/>
        <w:bottom w:val="nil"/>
        <w:right w:val="nil"/>
        <w:between w:val="nil"/>
        <w:bar w:val="nil"/>
      </w:pBdr>
    </w:pPr>
    <w:rPr>
      <w:rFonts w:ascii="Calibri" w:eastAsia="Calibri" w:hAnsi="Calibri" w:cs="Calibri"/>
      <w:color w:val="000000"/>
      <w:u w:color="000000"/>
      <w:bdr w:val="nil"/>
    </w:rPr>
  </w:style>
  <w:style w:type="paragraph" w:styleId="FootnoteText">
    <w:name w:val="footnote text"/>
    <w:basedOn w:val="Normal"/>
    <w:link w:val="FootnoteTextChar"/>
    <w:uiPriority w:val="99"/>
    <w:semiHidden/>
    <w:unhideWhenUsed/>
    <w:rsid w:val="00171ACA"/>
    <w:rPr>
      <w:sz w:val="20"/>
      <w:szCs w:val="20"/>
    </w:rPr>
  </w:style>
  <w:style w:type="character" w:customStyle="1" w:styleId="FootnoteTextChar">
    <w:name w:val="Footnote Text Char"/>
    <w:basedOn w:val="DefaultParagraphFont"/>
    <w:link w:val="FootnoteText"/>
    <w:uiPriority w:val="99"/>
    <w:semiHidden/>
    <w:rsid w:val="00171ACA"/>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171ACA"/>
    <w:rPr>
      <w:vertAlign w:val="superscript"/>
    </w:rPr>
  </w:style>
  <w:style w:type="character" w:styleId="Hyperlink">
    <w:name w:val="Hyperlink"/>
    <w:basedOn w:val="DefaultParagraphFont"/>
    <w:uiPriority w:val="99"/>
    <w:unhideWhenUsed/>
    <w:rsid w:val="00171ACA"/>
    <w:rPr>
      <w:color w:val="0563C1" w:themeColor="hyperlink"/>
      <w:u w:val="single"/>
    </w:rPr>
  </w:style>
  <w:style w:type="paragraph" w:styleId="NormalWeb">
    <w:name w:val="Normal (Web)"/>
    <w:basedOn w:val="Normal"/>
    <w:uiPriority w:val="99"/>
    <w:semiHidden/>
    <w:unhideWhenUsed/>
    <w:rsid w:val="00171AC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wrap">
    <w:name w:val="nowrap"/>
    <w:basedOn w:val="DefaultParagraphFont"/>
    <w:rsid w:val="00171ACA"/>
  </w:style>
  <w:style w:type="paragraph" w:styleId="BalloonText">
    <w:name w:val="Balloon Text"/>
    <w:basedOn w:val="Normal"/>
    <w:link w:val="BalloonTextChar"/>
    <w:uiPriority w:val="99"/>
    <w:semiHidden/>
    <w:unhideWhenUsed/>
    <w:rsid w:val="003F3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3E9"/>
    <w:rPr>
      <w:rFonts w:ascii="Segoe UI" w:eastAsia="Arial Unicode MS" w:hAnsi="Segoe UI" w:cs="Segoe UI"/>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9942">
      <w:bodyDiv w:val="1"/>
      <w:marLeft w:val="0"/>
      <w:marRight w:val="0"/>
      <w:marTop w:val="0"/>
      <w:marBottom w:val="0"/>
      <w:divBdr>
        <w:top w:val="none" w:sz="0" w:space="0" w:color="auto"/>
        <w:left w:val="none" w:sz="0" w:space="0" w:color="auto"/>
        <w:bottom w:val="none" w:sz="0" w:space="0" w:color="auto"/>
        <w:right w:val="none" w:sz="0" w:space="0" w:color="auto"/>
      </w:divBdr>
    </w:div>
    <w:div w:id="471677954">
      <w:bodyDiv w:val="1"/>
      <w:marLeft w:val="0"/>
      <w:marRight w:val="0"/>
      <w:marTop w:val="0"/>
      <w:marBottom w:val="0"/>
      <w:divBdr>
        <w:top w:val="none" w:sz="0" w:space="0" w:color="auto"/>
        <w:left w:val="none" w:sz="0" w:space="0" w:color="auto"/>
        <w:bottom w:val="none" w:sz="0" w:space="0" w:color="auto"/>
        <w:right w:val="none" w:sz="0" w:space="0" w:color="auto"/>
      </w:divBdr>
    </w:div>
    <w:div w:id="504324401">
      <w:bodyDiv w:val="1"/>
      <w:marLeft w:val="0"/>
      <w:marRight w:val="0"/>
      <w:marTop w:val="0"/>
      <w:marBottom w:val="0"/>
      <w:divBdr>
        <w:top w:val="none" w:sz="0" w:space="0" w:color="auto"/>
        <w:left w:val="none" w:sz="0" w:space="0" w:color="auto"/>
        <w:bottom w:val="none" w:sz="0" w:space="0" w:color="auto"/>
        <w:right w:val="none" w:sz="0" w:space="0" w:color="auto"/>
      </w:divBdr>
    </w:div>
    <w:div w:id="829637158">
      <w:bodyDiv w:val="1"/>
      <w:marLeft w:val="0"/>
      <w:marRight w:val="0"/>
      <w:marTop w:val="0"/>
      <w:marBottom w:val="0"/>
      <w:divBdr>
        <w:top w:val="none" w:sz="0" w:space="0" w:color="auto"/>
        <w:left w:val="none" w:sz="0" w:space="0" w:color="auto"/>
        <w:bottom w:val="none" w:sz="0" w:space="0" w:color="auto"/>
        <w:right w:val="none" w:sz="0" w:space="0" w:color="auto"/>
      </w:divBdr>
    </w:div>
    <w:div w:id="837234918">
      <w:bodyDiv w:val="1"/>
      <w:marLeft w:val="0"/>
      <w:marRight w:val="0"/>
      <w:marTop w:val="0"/>
      <w:marBottom w:val="0"/>
      <w:divBdr>
        <w:top w:val="none" w:sz="0" w:space="0" w:color="auto"/>
        <w:left w:val="none" w:sz="0" w:space="0" w:color="auto"/>
        <w:bottom w:val="none" w:sz="0" w:space="0" w:color="auto"/>
        <w:right w:val="none" w:sz="0" w:space="0" w:color="auto"/>
      </w:divBdr>
    </w:div>
    <w:div w:id="1238400569">
      <w:bodyDiv w:val="1"/>
      <w:marLeft w:val="0"/>
      <w:marRight w:val="0"/>
      <w:marTop w:val="0"/>
      <w:marBottom w:val="0"/>
      <w:divBdr>
        <w:top w:val="none" w:sz="0" w:space="0" w:color="auto"/>
        <w:left w:val="none" w:sz="0" w:space="0" w:color="auto"/>
        <w:bottom w:val="none" w:sz="0" w:space="0" w:color="auto"/>
        <w:right w:val="none" w:sz="0" w:space="0" w:color="auto"/>
      </w:divBdr>
    </w:div>
    <w:div w:id="1364017136">
      <w:bodyDiv w:val="1"/>
      <w:marLeft w:val="0"/>
      <w:marRight w:val="0"/>
      <w:marTop w:val="0"/>
      <w:marBottom w:val="0"/>
      <w:divBdr>
        <w:top w:val="none" w:sz="0" w:space="0" w:color="auto"/>
        <w:left w:val="none" w:sz="0" w:space="0" w:color="auto"/>
        <w:bottom w:val="none" w:sz="0" w:space="0" w:color="auto"/>
        <w:right w:val="none" w:sz="0" w:space="0" w:color="auto"/>
      </w:divBdr>
    </w:div>
    <w:div w:id="20134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treasury-board-secretariat/services/departmental-performance-reports.html" TargetMode="External"/><Relationship Id="rId2" Type="http://schemas.openxmlformats.org/officeDocument/2006/relationships/hyperlink" Target="http://fednor.gc.ca/eic/site/017.nsf/vwapj/ISED_DRR_2016-17-eng.pdf/$file/ISED_DRR_2016-17-eng.pdf" TargetMode="External"/><Relationship Id="rId1" Type="http://schemas.openxmlformats.org/officeDocument/2006/relationships/hyperlink" Target="https://betakit.com/federal-government-gives-1-26-million-to-northern-ontario-angel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Yang\Documents\FedN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ven%20Yang\Documents\FedN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ven%20Yang\Documents\FedNo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FedNor Small Business Research</a:t>
            </a:r>
            <a:r>
              <a:rPr lang="en-US" baseline="0"/>
              <a:t> Planned vs. Actual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Sheet1!$A$10</c:f>
              <c:strCache>
                <c:ptCount val="1"/>
                <c:pt idx="0">
                  <c:v>planned</c:v>
                </c:pt>
              </c:strCache>
            </c:strRef>
          </c:tx>
          <c:spPr>
            <a:ln w="28575" cap="rnd">
              <a:solidFill>
                <a:schemeClr val="accent1"/>
              </a:solidFill>
              <a:round/>
            </a:ln>
            <a:effectLst/>
          </c:spPr>
          <c:marker>
            <c:symbol val="none"/>
          </c:marker>
          <c:cat>
            <c:numRef>
              <c:f>Sheet1!$B$9:$L$9</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Sheet1!$B$10:$L$10</c:f>
              <c:numCache>
                <c:formatCode>General</c:formatCode>
                <c:ptCount val="11"/>
                <c:pt idx="0">
                  <c:v>46.2</c:v>
                </c:pt>
                <c:pt idx="1">
                  <c:v>282.7</c:v>
                </c:pt>
                <c:pt idx="2">
                  <c:v>235.4</c:v>
                </c:pt>
                <c:pt idx="3">
                  <c:v>61.4</c:v>
                </c:pt>
                <c:pt idx="4">
                  <c:v>104.3</c:v>
                </c:pt>
                <c:pt idx="5">
                  <c:v>128.6</c:v>
                </c:pt>
                <c:pt idx="6">
                  <c:v>133.5</c:v>
                </c:pt>
                <c:pt idx="7">
                  <c:v>102.3</c:v>
                </c:pt>
                <c:pt idx="8">
                  <c:v>95.4</c:v>
                </c:pt>
                <c:pt idx="9">
                  <c:v>86.8</c:v>
                </c:pt>
                <c:pt idx="10">
                  <c:v>97.7</c:v>
                </c:pt>
              </c:numCache>
            </c:numRef>
          </c:val>
          <c:smooth val="0"/>
        </c:ser>
        <c:ser>
          <c:idx val="1"/>
          <c:order val="1"/>
          <c:tx>
            <c:strRef>
              <c:f>Sheet1!$A$11</c:f>
              <c:strCache>
                <c:ptCount val="1"/>
                <c:pt idx="0">
                  <c:v>actual</c:v>
                </c:pt>
              </c:strCache>
            </c:strRef>
          </c:tx>
          <c:spPr>
            <a:ln w="28575" cap="rnd">
              <a:solidFill>
                <a:schemeClr val="accent2"/>
              </a:solidFill>
              <a:round/>
            </a:ln>
            <a:effectLst/>
          </c:spPr>
          <c:marker>
            <c:symbol val="none"/>
          </c:marker>
          <c:cat>
            <c:numRef>
              <c:f>Sheet1!$B$9:$L$9</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Sheet1!$B$11:$L$11</c:f>
              <c:numCache>
                <c:formatCode>General</c:formatCode>
                <c:ptCount val="11"/>
                <c:pt idx="0">
                  <c:v>10.6</c:v>
                </c:pt>
                <c:pt idx="1">
                  <c:v>333.6</c:v>
                </c:pt>
                <c:pt idx="2">
                  <c:v>272.3</c:v>
                </c:pt>
                <c:pt idx="3">
                  <c:v>108.1</c:v>
                </c:pt>
                <c:pt idx="4">
                  <c:v>106.1</c:v>
                </c:pt>
                <c:pt idx="5">
                  <c:v>99</c:v>
                </c:pt>
                <c:pt idx="6">
                  <c:v>81.5</c:v>
                </c:pt>
                <c:pt idx="7">
                  <c:v>85.6</c:v>
                </c:pt>
                <c:pt idx="8">
                  <c:v>91.4</c:v>
                </c:pt>
                <c:pt idx="9">
                  <c:v>85.9</c:v>
                </c:pt>
                <c:pt idx="10">
                  <c:v>86.2</c:v>
                </c:pt>
              </c:numCache>
            </c:numRef>
          </c:val>
          <c:smooth val="0"/>
        </c:ser>
        <c:dLbls>
          <c:showLegendKey val="0"/>
          <c:showVal val="0"/>
          <c:showCatName val="0"/>
          <c:showSerName val="0"/>
          <c:showPercent val="0"/>
          <c:showBubbleSize val="0"/>
        </c:dLbls>
        <c:smooth val="0"/>
        <c:axId val="569459416"/>
        <c:axId val="569459808"/>
      </c:lineChart>
      <c:catAx>
        <c:axId val="569459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59808"/>
        <c:crosses val="autoZero"/>
        <c:auto val="1"/>
        <c:lblAlgn val="ctr"/>
        <c:lblOffset val="100"/>
        <c:noMultiLvlLbl val="0"/>
      </c:catAx>
      <c:valAx>
        <c:axId val="56945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CAD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59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FedNor</a:t>
            </a:r>
            <a:r>
              <a:rPr lang="en-US" baseline="0"/>
              <a:t> Innovation Planned vs. Actual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planned</c:v>
                </c:pt>
              </c:strCache>
            </c:strRef>
          </c:tx>
          <c:spPr>
            <a:ln w="28575" cap="rnd">
              <a:solidFill>
                <a:schemeClr val="accent1"/>
              </a:solidFill>
              <a:round/>
            </a:ln>
            <a:effectLst/>
          </c:spPr>
          <c:marker>
            <c:symbol val="none"/>
          </c:marker>
          <c:cat>
            <c:numRef>
              <c:f>Sheet1!$B$1:$L$1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Sheet1!$B$2:$L$2</c:f>
              <c:numCache>
                <c:formatCode>General</c:formatCode>
                <c:ptCount val="11"/>
                <c:pt idx="0">
                  <c:v>510</c:v>
                </c:pt>
                <c:pt idx="1">
                  <c:v>52.6</c:v>
                </c:pt>
                <c:pt idx="2">
                  <c:v>101.1</c:v>
                </c:pt>
                <c:pt idx="3">
                  <c:v>264.3</c:v>
                </c:pt>
                <c:pt idx="4">
                  <c:v>248.6</c:v>
                </c:pt>
                <c:pt idx="5">
                  <c:v>265.7</c:v>
                </c:pt>
                <c:pt idx="6">
                  <c:v>336.6</c:v>
                </c:pt>
                <c:pt idx="7">
                  <c:v>300.8</c:v>
                </c:pt>
                <c:pt idx="8">
                  <c:v>319.89999999999998</c:v>
                </c:pt>
                <c:pt idx="9">
                  <c:v>304.39999999999998</c:v>
                </c:pt>
                <c:pt idx="10">
                  <c:v>342.8</c:v>
                </c:pt>
              </c:numCache>
            </c:numRef>
          </c:val>
          <c:smooth val="0"/>
        </c:ser>
        <c:ser>
          <c:idx val="1"/>
          <c:order val="1"/>
          <c:tx>
            <c:strRef>
              <c:f>Sheet1!$A$3</c:f>
              <c:strCache>
                <c:ptCount val="1"/>
                <c:pt idx="0">
                  <c:v>actual</c:v>
                </c:pt>
              </c:strCache>
            </c:strRef>
          </c:tx>
          <c:spPr>
            <a:ln w="28575" cap="rnd">
              <a:solidFill>
                <a:schemeClr val="accent2"/>
              </a:solidFill>
              <a:round/>
            </a:ln>
            <a:effectLst/>
          </c:spPr>
          <c:marker>
            <c:symbol val="none"/>
          </c:marker>
          <c:cat>
            <c:numRef>
              <c:f>Sheet1!$B$1:$L$1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Sheet1!$B$3:$L$3</c:f>
              <c:numCache>
                <c:formatCode>General</c:formatCode>
                <c:ptCount val="11"/>
                <c:pt idx="0">
                  <c:v>409.9</c:v>
                </c:pt>
                <c:pt idx="1">
                  <c:v>148.9</c:v>
                </c:pt>
                <c:pt idx="2">
                  <c:v>99.7</c:v>
                </c:pt>
                <c:pt idx="3">
                  <c:v>1271.0999999999999</c:v>
                </c:pt>
                <c:pt idx="4">
                  <c:v>251.5</c:v>
                </c:pt>
                <c:pt idx="5">
                  <c:v>440.8</c:v>
                </c:pt>
                <c:pt idx="6">
                  <c:v>415.9</c:v>
                </c:pt>
                <c:pt idx="7">
                  <c:v>210.2</c:v>
                </c:pt>
                <c:pt idx="8">
                  <c:v>313.39999999999998</c:v>
                </c:pt>
                <c:pt idx="9">
                  <c:v>311.39999999999998</c:v>
                </c:pt>
                <c:pt idx="10">
                  <c:v>1197.3</c:v>
                </c:pt>
              </c:numCache>
            </c:numRef>
          </c:val>
          <c:smooth val="0"/>
        </c:ser>
        <c:dLbls>
          <c:showLegendKey val="0"/>
          <c:showVal val="0"/>
          <c:showCatName val="0"/>
          <c:showSerName val="0"/>
          <c:showPercent val="0"/>
          <c:showBubbleSize val="0"/>
        </c:dLbls>
        <c:smooth val="0"/>
        <c:axId val="569460200"/>
        <c:axId val="569456672"/>
      </c:lineChart>
      <c:catAx>
        <c:axId val="569460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56672"/>
        <c:crosses val="autoZero"/>
        <c:auto val="1"/>
        <c:lblAlgn val="ctr"/>
        <c:lblOffset val="100"/>
        <c:noMultiLvlLbl val="0"/>
      </c:catAx>
      <c:valAx>
        <c:axId val="56945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CAD</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6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FedNor Industrial R&amp;D Planned vs.</a:t>
            </a:r>
            <a:r>
              <a:rPr lang="en-US" baseline="0"/>
              <a:t> Actual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Sheet1!$A$6</c:f>
              <c:strCache>
                <c:ptCount val="1"/>
                <c:pt idx="0">
                  <c:v>planned</c:v>
                </c:pt>
              </c:strCache>
            </c:strRef>
          </c:tx>
          <c:spPr>
            <a:ln w="28575" cap="rnd">
              <a:solidFill>
                <a:schemeClr val="accent1"/>
              </a:solidFill>
              <a:round/>
            </a:ln>
            <a:effectLst/>
          </c:spPr>
          <c:marker>
            <c:symbol val="none"/>
          </c:marker>
          <c:cat>
            <c:numRef>
              <c:f>Sheet1!$B$5:$L$5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Sheet1!$B$6:$L$6</c:f>
              <c:numCache>
                <c:formatCode>General</c:formatCode>
                <c:ptCount val="11"/>
                <c:pt idx="0">
                  <c:v>95.5</c:v>
                </c:pt>
                <c:pt idx="1">
                  <c:v>11.8</c:v>
                </c:pt>
                <c:pt idx="2">
                  <c:v>9.5</c:v>
                </c:pt>
                <c:pt idx="3">
                  <c:v>222.1</c:v>
                </c:pt>
                <c:pt idx="4">
                  <c:v>295</c:v>
                </c:pt>
                <c:pt idx="5">
                  <c:v>431.9</c:v>
                </c:pt>
                <c:pt idx="6">
                  <c:v>403.2</c:v>
                </c:pt>
                <c:pt idx="7">
                  <c:v>332.5</c:v>
                </c:pt>
                <c:pt idx="8">
                  <c:v>262.60000000000002</c:v>
                </c:pt>
                <c:pt idx="9">
                  <c:v>287.60000000000002</c:v>
                </c:pt>
                <c:pt idx="10">
                  <c:v>326.89999999999998</c:v>
                </c:pt>
              </c:numCache>
            </c:numRef>
          </c:val>
          <c:smooth val="0"/>
        </c:ser>
        <c:ser>
          <c:idx val="1"/>
          <c:order val="1"/>
          <c:tx>
            <c:strRef>
              <c:f>Sheet1!$A$7</c:f>
              <c:strCache>
                <c:ptCount val="1"/>
                <c:pt idx="0">
                  <c:v>actual</c:v>
                </c:pt>
              </c:strCache>
            </c:strRef>
          </c:tx>
          <c:spPr>
            <a:ln w="28575" cap="rnd">
              <a:solidFill>
                <a:schemeClr val="accent2"/>
              </a:solidFill>
              <a:round/>
            </a:ln>
            <a:effectLst/>
          </c:spPr>
          <c:marker>
            <c:symbol val="none"/>
          </c:marker>
          <c:cat>
            <c:numRef>
              <c:f>Sheet1!$B$5:$L$5</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Sheet1!$B$7:$L$7</c:f>
              <c:numCache>
                <c:formatCode>General</c:formatCode>
                <c:ptCount val="11"/>
                <c:pt idx="0">
                  <c:v>73.3</c:v>
                </c:pt>
                <c:pt idx="1">
                  <c:v>24.1</c:v>
                </c:pt>
                <c:pt idx="2">
                  <c:v>90.4</c:v>
                </c:pt>
                <c:pt idx="3">
                  <c:v>218.8</c:v>
                </c:pt>
                <c:pt idx="4">
                  <c:v>247</c:v>
                </c:pt>
                <c:pt idx="5">
                  <c:v>332.9</c:v>
                </c:pt>
                <c:pt idx="6">
                  <c:v>430.7</c:v>
                </c:pt>
                <c:pt idx="7">
                  <c:v>330.6</c:v>
                </c:pt>
                <c:pt idx="8">
                  <c:v>221</c:v>
                </c:pt>
                <c:pt idx="9">
                  <c:v>321.10000000000002</c:v>
                </c:pt>
                <c:pt idx="10">
                  <c:v>280.60000000000002</c:v>
                </c:pt>
              </c:numCache>
            </c:numRef>
          </c:val>
          <c:smooth val="0"/>
        </c:ser>
        <c:dLbls>
          <c:showLegendKey val="0"/>
          <c:showVal val="0"/>
          <c:showCatName val="0"/>
          <c:showSerName val="0"/>
          <c:showPercent val="0"/>
          <c:showBubbleSize val="0"/>
        </c:dLbls>
        <c:smooth val="0"/>
        <c:axId val="569454712"/>
        <c:axId val="569455104"/>
      </c:lineChart>
      <c:catAx>
        <c:axId val="56945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55104"/>
        <c:crosses val="autoZero"/>
        <c:auto val="1"/>
        <c:lblAlgn val="ctr"/>
        <c:lblOffset val="100"/>
        <c:noMultiLvlLbl val="0"/>
      </c:catAx>
      <c:valAx>
        <c:axId val="56945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CAD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5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5542A-E4B7-441E-AE2B-8295F425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Yang</dc:creator>
  <cp:keywords/>
  <dc:description/>
  <cp:lastModifiedBy>Steven Yang</cp:lastModifiedBy>
  <cp:revision>19</cp:revision>
  <cp:lastPrinted>2018-08-08T18:29:00Z</cp:lastPrinted>
  <dcterms:created xsi:type="dcterms:W3CDTF">2018-08-08T00:06:00Z</dcterms:created>
  <dcterms:modified xsi:type="dcterms:W3CDTF">2018-08-08T18:30:00Z</dcterms:modified>
</cp:coreProperties>
</file>