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5E4" w:rsidRPr="00AF21DC" w:rsidRDefault="009225E4" w:rsidP="009225E4">
      <w:pPr>
        <w:pStyle w:val="NoSpacing"/>
        <w:rPr>
          <w:rFonts w:ascii="Times New Roman" w:eastAsia="Times New Roman" w:hAnsi="Times New Roman" w:cs="Times New Roman"/>
          <w:color w:val="auto"/>
        </w:rPr>
      </w:pPr>
      <w:r w:rsidRPr="00AF21DC">
        <w:rPr>
          <w:rFonts w:ascii="Times New Roman" w:hAnsi="Times New Roman"/>
          <w:b/>
          <w:bCs/>
          <w:color w:val="auto"/>
        </w:rPr>
        <w:t xml:space="preserve">Date: </w:t>
      </w:r>
      <w:r w:rsidRPr="00AF21DC">
        <w:rPr>
          <w:rFonts w:ascii="Times New Roman" w:hAnsi="Times New Roman"/>
          <w:color w:val="auto"/>
        </w:rPr>
        <w:t>2</w:t>
      </w:r>
      <w:r w:rsidRPr="00AF21DC">
        <w:rPr>
          <w:rFonts w:ascii="Times New Roman" w:hAnsi="Times New Roman"/>
          <w:color w:val="auto"/>
          <w:vertAlign w:val="superscript"/>
        </w:rPr>
        <w:t>nd</w:t>
      </w:r>
      <w:r w:rsidRPr="00AF21DC">
        <w:rPr>
          <w:rFonts w:ascii="Times New Roman" w:hAnsi="Times New Roman"/>
          <w:color w:val="auto"/>
        </w:rPr>
        <w:t xml:space="preserve"> August</w:t>
      </w:r>
      <w:r w:rsidRPr="00AF21DC">
        <w:rPr>
          <w:rFonts w:ascii="Times New Roman" w:eastAsia="Times New Roman" w:hAnsi="Times New Roman" w:cs="Times New Roman"/>
          <w:color w:val="auto"/>
        </w:rPr>
        <w:t>, 2018</w:t>
      </w:r>
    </w:p>
    <w:p w:rsidR="009225E4" w:rsidRPr="00AF21DC" w:rsidRDefault="009225E4" w:rsidP="009225E4">
      <w:pPr>
        <w:pStyle w:val="NoSpacing"/>
        <w:rPr>
          <w:rFonts w:ascii="Times New Roman" w:eastAsia="Times New Roman" w:hAnsi="Times New Roman" w:cs="Times New Roman"/>
          <w:color w:val="auto"/>
        </w:rPr>
      </w:pPr>
      <w:r w:rsidRPr="00AF21DC">
        <w:rPr>
          <w:rFonts w:ascii="Times New Roman" w:hAnsi="Times New Roman"/>
          <w:b/>
          <w:bCs/>
          <w:color w:val="auto"/>
        </w:rPr>
        <w:t>To:</w:t>
      </w:r>
      <w:r w:rsidRPr="00AF21DC">
        <w:rPr>
          <w:rFonts w:ascii="Times New Roman" w:hAnsi="Times New Roman"/>
          <w:color w:val="auto"/>
        </w:rPr>
        <w:t xml:space="preserve"> Jon Gruber, </w:t>
      </w:r>
      <w:r w:rsidRPr="00AF21DC">
        <w:rPr>
          <w:rFonts w:ascii="Times New Roman" w:hAnsi="Times New Roman"/>
          <w:bCs/>
          <w:color w:val="auto"/>
        </w:rPr>
        <w:t xml:space="preserve">Ian </w:t>
      </w:r>
      <w:proofErr w:type="spellStart"/>
      <w:r w:rsidRPr="00AF21DC">
        <w:rPr>
          <w:rFonts w:ascii="Times New Roman" w:hAnsi="Times New Roman"/>
          <w:bCs/>
          <w:color w:val="auto"/>
        </w:rPr>
        <w:t>Calaway</w:t>
      </w:r>
      <w:proofErr w:type="spellEnd"/>
      <w:r w:rsidRPr="00AF21DC">
        <w:rPr>
          <w:rFonts w:ascii="Times New Roman" w:hAnsi="Times New Roman"/>
          <w:bCs/>
          <w:color w:val="auto"/>
        </w:rPr>
        <w:t xml:space="preserve">, </w:t>
      </w:r>
      <w:proofErr w:type="gramStart"/>
      <w:r w:rsidRPr="00AF21DC">
        <w:rPr>
          <w:rFonts w:ascii="Times New Roman" w:hAnsi="Times New Roman"/>
          <w:bCs/>
          <w:color w:val="auto"/>
        </w:rPr>
        <w:t>Cora</w:t>
      </w:r>
      <w:proofErr w:type="gramEnd"/>
      <w:r w:rsidRPr="00AF21DC">
        <w:rPr>
          <w:rFonts w:ascii="Times New Roman" w:hAnsi="Times New Roman"/>
          <w:bCs/>
          <w:color w:val="auto"/>
        </w:rPr>
        <w:t xml:space="preserve"> Touchstone </w:t>
      </w:r>
    </w:p>
    <w:p w:rsidR="009225E4" w:rsidRPr="00AF21DC" w:rsidRDefault="009225E4" w:rsidP="009225E4">
      <w:pPr>
        <w:pStyle w:val="NoSpacing"/>
        <w:rPr>
          <w:rFonts w:ascii="Times New Roman" w:eastAsia="Times New Roman" w:hAnsi="Times New Roman" w:cs="Times New Roman"/>
          <w:color w:val="auto"/>
        </w:rPr>
      </w:pPr>
      <w:r w:rsidRPr="00AF21DC">
        <w:rPr>
          <w:rFonts w:ascii="Times New Roman" w:hAnsi="Times New Roman"/>
          <w:b/>
          <w:bCs/>
          <w:color w:val="auto"/>
        </w:rPr>
        <w:t>From:</w:t>
      </w:r>
      <w:r w:rsidRPr="00AF21DC">
        <w:rPr>
          <w:rFonts w:ascii="Times New Roman" w:hAnsi="Times New Roman"/>
          <w:color w:val="auto"/>
        </w:rPr>
        <w:t xml:space="preserve"> Steven Yang</w:t>
      </w:r>
    </w:p>
    <w:p w:rsidR="009225E4" w:rsidRPr="00AF21DC" w:rsidRDefault="009225E4" w:rsidP="009225E4">
      <w:pPr>
        <w:pStyle w:val="NoSpacing"/>
        <w:pBdr>
          <w:bottom w:val="single" w:sz="12" w:space="0" w:color="000000"/>
        </w:pBdr>
        <w:rPr>
          <w:rFonts w:ascii="Times New Roman" w:eastAsia="Times New Roman" w:hAnsi="Times New Roman" w:cs="Times New Roman"/>
          <w:color w:val="auto"/>
        </w:rPr>
      </w:pPr>
      <w:r w:rsidRPr="00AF21DC">
        <w:rPr>
          <w:rFonts w:ascii="Times New Roman" w:hAnsi="Times New Roman"/>
          <w:b/>
          <w:bCs/>
          <w:color w:val="auto"/>
        </w:rPr>
        <w:t xml:space="preserve">Re: </w:t>
      </w:r>
      <w:r w:rsidRPr="00AF21DC">
        <w:rPr>
          <w:rFonts w:ascii="Times New Roman" w:hAnsi="Times New Roman"/>
          <w:color w:val="auto"/>
        </w:rPr>
        <w:t>Canadian Federal R&amp;D Funding Sources: Western Economic Diversification</w:t>
      </w:r>
    </w:p>
    <w:p w:rsidR="009225E4" w:rsidRPr="00AF21DC" w:rsidRDefault="009225E4" w:rsidP="009225E4">
      <w:pPr>
        <w:pStyle w:val="Body"/>
        <w:spacing w:line="240" w:lineRule="auto"/>
        <w:rPr>
          <w:rFonts w:ascii="Times New Roman" w:hAnsi="Times New Roman"/>
          <w:b/>
          <w:bCs/>
          <w:color w:val="auto"/>
        </w:rPr>
      </w:pPr>
    </w:p>
    <w:p w:rsidR="009225E4" w:rsidRPr="00AF21DC" w:rsidRDefault="009225E4" w:rsidP="009225E4">
      <w:pPr>
        <w:pStyle w:val="Body"/>
        <w:spacing w:line="240" w:lineRule="auto"/>
        <w:rPr>
          <w:rFonts w:ascii="Times New Roman" w:hAnsi="Times New Roman"/>
          <w:b/>
          <w:bCs/>
          <w:color w:val="auto"/>
        </w:rPr>
      </w:pPr>
      <w:r w:rsidRPr="00AF21DC">
        <w:rPr>
          <w:rFonts w:ascii="Times New Roman" w:hAnsi="Times New Roman"/>
          <w:b/>
          <w:bCs/>
          <w:color w:val="auto"/>
        </w:rPr>
        <w:t xml:space="preserve">1. </w:t>
      </w:r>
      <w:r w:rsidR="00311CEE" w:rsidRPr="00AF21DC">
        <w:rPr>
          <w:rFonts w:ascii="Times New Roman" w:hAnsi="Times New Roman"/>
          <w:b/>
          <w:bCs/>
          <w:color w:val="auto"/>
        </w:rPr>
        <w:t>Background</w:t>
      </w:r>
    </w:p>
    <w:p w:rsidR="009225E4" w:rsidRPr="00AF21DC" w:rsidRDefault="00536896" w:rsidP="009225E4">
      <w:pPr>
        <w:pStyle w:val="Body"/>
        <w:spacing w:line="240" w:lineRule="auto"/>
        <w:rPr>
          <w:rFonts w:ascii="Times New Roman" w:hAnsi="Times New Roman" w:cs="Times New Roman"/>
          <w:bCs/>
          <w:color w:val="auto"/>
        </w:rPr>
      </w:pPr>
      <w:r w:rsidRPr="00AF21DC">
        <w:rPr>
          <w:rFonts w:ascii="Times New Roman" w:hAnsi="Times New Roman" w:cs="Times New Roman"/>
          <w:bCs/>
          <w:color w:val="auto"/>
        </w:rPr>
        <w:t xml:space="preserve">Western Economic Diversification Canada (WD) is </w:t>
      </w:r>
      <w:r w:rsidRPr="00AF21DC">
        <w:rPr>
          <w:rFonts w:ascii="Times New Roman" w:hAnsi="Times New Roman" w:cs="Times New Roman"/>
          <w:color w:val="auto"/>
          <w:shd w:val="clear" w:color="auto" w:fill="FFFFFF"/>
        </w:rPr>
        <w:t xml:space="preserve">Canada's regional economic development agency for Western Canada, which consists of the country’s four westernmost provinces: British Columbia, Alberta, Saskatchewan, and Manitoba. </w:t>
      </w:r>
      <w:r w:rsidRPr="00AF21DC">
        <w:rPr>
          <w:rFonts w:ascii="Times New Roman" w:hAnsi="Times New Roman" w:cs="Times New Roman"/>
          <w:color w:val="auto"/>
        </w:rPr>
        <w:t xml:space="preserve">WED </w:t>
      </w:r>
      <w:r w:rsidRPr="00AF21DC">
        <w:rPr>
          <w:rFonts w:ascii="Times New Roman" w:hAnsi="Times New Roman" w:cs="Times New Roman"/>
          <w:color w:val="auto"/>
          <w:shd w:val="clear" w:color="auto" w:fill="FFFFFF"/>
        </w:rPr>
        <w:t>invests in projects and activities that help improve productivity and competitiveness through the development, adoption and commercialization of new technologies and business processes.</w:t>
      </w:r>
    </w:p>
    <w:p w:rsidR="009225E4" w:rsidRPr="00AF21DC" w:rsidRDefault="009225E4" w:rsidP="009225E4">
      <w:pPr>
        <w:pStyle w:val="Body"/>
        <w:rPr>
          <w:rFonts w:ascii="Times New Roman" w:hAnsi="Times New Roman"/>
          <w:b/>
          <w:bCs/>
          <w:color w:val="auto"/>
          <w:lang w:val="nl-NL"/>
        </w:rPr>
      </w:pPr>
      <w:r w:rsidRPr="00AF21DC">
        <w:rPr>
          <w:rFonts w:ascii="Times New Roman" w:hAnsi="Times New Roman"/>
          <w:b/>
          <w:bCs/>
          <w:color w:val="auto"/>
          <w:lang w:val="nl-NL"/>
        </w:rPr>
        <w:t>2. Western Economic Diversification R&amp;D Funding</w:t>
      </w:r>
    </w:p>
    <w:p w:rsidR="00253299" w:rsidRPr="00AF21DC" w:rsidRDefault="003158B6" w:rsidP="003158B6">
      <w:pPr>
        <w:pStyle w:val="Body"/>
        <w:rPr>
          <w:rFonts w:ascii="Times New Roman" w:hAnsi="Times New Roman"/>
          <w:bCs/>
          <w:color w:val="auto"/>
          <w:lang w:val="nl-NL"/>
        </w:rPr>
      </w:pPr>
      <w:r w:rsidRPr="00AF21DC">
        <w:rPr>
          <w:rFonts w:ascii="Times New Roman" w:hAnsi="Times New Roman"/>
          <w:bCs/>
          <w:color w:val="auto"/>
          <w:lang w:val="nl-NL"/>
        </w:rPr>
        <w:t>WD’s Business Development and Innovation program is the primary means behind direct R&amp;D funding. The goals of this program are to grow small and medium sized enterprises. WD seeks to Strengthen Western Canada's innovation capacity by investing in projects that will bring new technology-based products, processes and services to market and convening key stakeholders to facilitate discussions on how to strengthen the innovation marketplace and support pre-commercialization opportunities.</w:t>
      </w:r>
    </w:p>
    <w:p w:rsidR="004569CE" w:rsidRPr="00AF21DC" w:rsidRDefault="004569CE" w:rsidP="004569CE">
      <w:pPr>
        <w:pStyle w:val="Body"/>
        <w:rPr>
          <w:rFonts w:ascii="Times New Roman" w:hAnsi="Times New Roman"/>
          <w:bCs/>
          <w:color w:val="auto"/>
          <w:lang w:val="nl-NL"/>
        </w:rPr>
      </w:pPr>
      <w:r w:rsidRPr="00AF21DC">
        <w:rPr>
          <w:rFonts w:ascii="Times New Roman" w:hAnsi="Times New Roman"/>
          <w:bCs/>
          <w:color w:val="auto"/>
          <w:lang w:val="nl-NL"/>
        </w:rPr>
        <w:t>In 2012, WD developed the Western Innovation (WINN) Initiative to assist SMEs in the commercialization of new innovative products, processes and services for domestic and international markets, with a particular focus on creating marketready technologies. WINN was launched in 2013 and ensures that the department’s investments continue to support job creation and enable western businesses to be more productive and competitive in the global economy</w:t>
      </w:r>
      <w:r w:rsidR="001608DC" w:rsidRPr="00AF21DC">
        <w:rPr>
          <w:rFonts w:ascii="Times New Roman" w:hAnsi="Times New Roman"/>
          <w:bCs/>
          <w:color w:val="auto"/>
          <w:lang w:val="nl-NL"/>
        </w:rPr>
        <w:t>.</w:t>
      </w:r>
    </w:p>
    <w:p w:rsidR="0083791E" w:rsidRPr="00AF21DC" w:rsidRDefault="008547BE" w:rsidP="009225E4">
      <w:pPr>
        <w:pStyle w:val="Body"/>
        <w:rPr>
          <w:rFonts w:ascii="Times New Roman" w:eastAsia="Arial Unicode MS" w:hAnsi="Times New Roman" w:cstheme="minorHAnsi"/>
          <w:color w:val="auto"/>
        </w:rPr>
      </w:pPr>
      <w:r w:rsidRPr="00AF21DC">
        <w:rPr>
          <w:rFonts w:ascii="Times New Roman" w:eastAsia="Arial Unicode MS" w:hAnsi="Times New Roman" w:cstheme="minorHAnsi"/>
          <w:color w:val="auto"/>
        </w:rPr>
        <w:t>In 2017, Loop Energy was awarded 760,000 CAD through WINN. Loop Energy provides zero-emission power systems for heavy-duty transport. Loop works with freight owners to design and deliver carbon-free transportation solutions using both elec</w:t>
      </w:r>
      <w:r w:rsidR="0083791E" w:rsidRPr="00AF21DC">
        <w:rPr>
          <w:rFonts w:ascii="Times New Roman" w:eastAsia="Arial Unicode MS" w:hAnsi="Times New Roman" w:cstheme="minorHAnsi"/>
          <w:color w:val="auto"/>
        </w:rPr>
        <w:t>tric and hydrogen technologies</w:t>
      </w:r>
      <w:r w:rsidR="0083791E" w:rsidRPr="00AF21DC">
        <w:rPr>
          <w:rStyle w:val="FootnoteReference"/>
          <w:rFonts w:ascii="Times New Roman" w:eastAsia="Arial Unicode MS" w:hAnsi="Times New Roman" w:cstheme="minorHAnsi"/>
          <w:color w:val="auto"/>
        </w:rPr>
        <w:footnoteReference w:id="1"/>
      </w:r>
      <w:r w:rsidR="0083791E" w:rsidRPr="00AF21DC">
        <w:rPr>
          <w:rFonts w:ascii="Times New Roman" w:eastAsia="Arial Unicode MS" w:hAnsi="Times New Roman" w:cstheme="minorHAnsi"/>
          <w:color w:val="auto"/>
        </w:rPr>
        <w:t>.</w:t>
      </w:r>
    </w:p>
    <w:p w:rsidR="009225E4" w:rsidRPr="00AF21DC" w:rsidRDefault="004B3A68" w:rsidP="00AB7FD0">
      <w:pPr>
        <w:pStyle w:val="Body"/>
        <w:rPr>
          <w:rFonts w:ascii="Times New Roman" w:hAnsi="Times New Roman"/>
          <w:b/>
          <w:bCs/>
          <w:color w:val="auto"/>
          <w:lang w:val="nl-NL"/>
        </w:rPr>
      </w:pPr>
      <w:r w:rsidRPr="00AF21DC">
        <w:rPr>
          <w:rFonts w:ascii="Times New Roman" w:hAnsi="Times New Roman"/>
          <w:b/>
          <w:bCs/>
          <w:color w:val="auto"/>
          <w:lang w:val="nl-NL"/>
        </w:rPr>
        <w:t>3. Interesting Features and Potential Natural Experiments</w:t>
      </w:r>
    </w:p>
    <w:p w:rsidR="00583537" w:rsidRPr="00AF21DC" w:rsidRDefault="00583537" w:rsidP="00C11444">
      <w:pPr>
        <w:pStyle w:val="Body"/>
        <w:rPr>
          <w:rFonts w:ascii="Times New Roman" w:hAnsi="Times New Roman"/>
          <w:bCs/>
          <w:color w:val="auto"/>
          <w:lang w:val="nl-NL"/>
        </w:rPr>
      </w:pPr>
      <w:r w:rsidRPr="00AF21DC">
        <w:rPr>
          <w:rFonts w:ascii="Times New Roman" w:hAnsi="Times New Roman"/>
          <w:bCs/>
          <w:color w:val="auto"/>
          <w:lang w:val="nl-NL"/>
        </w:rPr>
        <w:t>WD appears to put emphasis Women Entreupeneurship. Transfer payments through the Business Development aspect of WD’s Business Development and Innovation are carried through the Women’s Enterprise Innitiative (WEI).</w:t>
      </w:r>
      <w:r w:rsidR="00C11444" w:rsidRPr="00AF21DC">
        <w:rPr>
          <w:rFonts w:ascii="Times New Roman" w:hAnsi="Times New Roman"/>
          <w:bCs/>
          <w:color w:val="auto"/>
          <w:lang w:val="nl-NL"/>
        </w:rPr>
        <w:t xml:space="preserve"> The WEI comprises four incorporated not-for-profit organizations, located in Kelowna, Calgary, Saskatoon and Winnipeg, which operate at arms-length from government, under the direction of local boards of directors. The WEI organizations help women entrepreneurs face challenges and succeed by providing customized services such as access to financing, education and training, business advice, loan aftercare, information, networking and mentoring</w:t>
      </w:r>
      <w:r w:rsidR="00937033" w:rsidRPr="00AF21DC">
        <w:rPr>
          <w:rStyle w:val="FootnoteReference"/>
          <w:rFonts w:ascii="Times New Roman" w:hAnsi="Times New Roman"/>
          <w:bCs/>
          <w:color w:val="auto"/>
          <w:lang w:val="nl-NL"/>
        </w:rPr>
        <w:footnoteReference w:id="2"/>
      </w:r>
      <w:r w:rsidR="00C11444" w:rsidRPr="00AF21DC">
        <w:rPr>
          <w:rFonts w:ascii="Times New Roman" w:hAnsi="Times New Roman"/>
          <w:bCs/>
          <w:color w:val="auto"/>
          <w:lang w:val="nl-NL"/>
        </w:rPr>
        <w:t>.</w:t>
      </w:r>
    </w:p>
    <w:p w:rsidR="0083791E" w:rsidRPr="00AF21DC" w:rsidRDefault="0083791E" w:rsidP="00AB7FD0">
      <w:pPr>
        <w:pStyle w:val="Body"/>
        <w:rPr>
          <w:rFonts w:ascii="Times New Roman" w:hAnsi="Times New Roman"/>
          <w:b/>
          <w:bCs/>
          <w:color w:val="auto"/>
          <w:lang w:val="nl-NL"/>
        </w:rPr>
      </w:pPr>
    </w:p>
    <w:p w:rsidR="008547BE" w:rsidRPr="00AF21DC" w:rsidRDefault="008547BE" w:rsidP="00AB7FD0">
      <w:pPr>
        <w:pStyle w:val="Body"/>
        <w:rPr>
          <w:rFonts w:ascii="Times New Roman" w:hAnsi="Times New Roman"/>
          <w:b/>
          <w:bCs/>
          <w:color w:val="auto"/>
          <w:lang w:val="nl-NL"/>
        </w:rPr>
      </w:pPr>
    </w:p>
    <w:p w:rsidR="008547BE" w:rsidRPr="00AF21DC" w:rsidRDefault="008547BE" w:rsidP="00AB7FD0">
      <w:pPr>
        <w:pStyle w:val="Body"/>
        <w:rPr>
          <w:rFonts w:ascii="Times New Roman" w:hAnsi="Times New Roman"/>
          <w:bCs/>
          <w:color w:val="auto"/>
          <w:lang w:val="nl-NL"/>
        </w:rPr>
        <w:sectPr w:rsidR="008547BE" w:rsidRPr="00AF21DC" w:rsidSect="009225E4">
          <w:pgSz w:w="12240" w:h="15840" w:code="1"/>
          <w:pgMar w:top="1440" w:right="1440" w:bottom="1440" w:left="1440" w:header="720" w:footer="720" w:gutter="0"/>
          <w:cols w:space="720"/>
          <w:docGrid w:linePitch="360"/>
        </w:sectPr>
      </w:pPr>
    </w:p>
    <w:p w:rsidR="009225E4" w:rsidRPr="00AF21DC" w:rsidRDefault="009225E4"/>
    <w:p w:rsidR="009225E4" w:rsidRPr="00AF21DC" w:rsidRDefault="009225E4"/>
    <w:p w:rsidR="007B7FD1" w:rsidRPr="00AF21DC" w:rsidRDefault="007B7FD1" w:rsidP="007B7FD1"/>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2"/>
        <w:gridCol w:w="816"/>
        <w:gridCol w:w="816"/>
        <w:gridCol w:w="816"/>
        <w:gridCol w:w="816"/>
        <w:gridCol w:w="816"/>
        <w:gridCol w:w="816"/>
        <w:gridCol w:w="816"/>
        <w:gridCol w:w="716"/>
        <w:gridCol w:w="816"/>
        <w:gridCol w:w="816"/>
        <w:gridCol w:w="716"/>
      </w:tblGrid>
      <w:tr w:rsidR="00AF21DC" w:rsidRPr="00AF21DC" w:rsidTr="00CA3414">
        <w:trPr>
          <w:trHeight w:val="582"/>
          <w:jc w:val="center"/>
        </w:trPr>
        <w:tc>
          <w:tcPr>
            <w:tcW w:w="0" w:type="auto"/>
            <w:gridSpan w:val="12"/>
            <w:tcBorders>
              <w:top w:val="single" w:sz="4" w:space="0" w:color="auto"/>
              <w:bottom w:val="single" w:sz="4" w:space="0" w:color="auto"/>
            </w:tcBorders>
            <w:vAlign w:val="center"/>
          </w:tcPr>
          <w:p w:rsidR="009364E0" w:rsidRPr="00AF21DC" w:rsidRDefault="009364E0" w:rsidP="00896ADA">
            <w:pPr>
              <w:jc w:val="center"/>
              <w:rPr>
                <w:b/>
                <w:sz w:val="20"/>
                <w:szCs w:val="20"/>
              </w:rPr>
            </w:pPr>
            <w:r w:rsidRPr="00AF21DC">
              <w:rPr>
                <w:b/>
                <w:sz w:val="20"/>
                <w:szCs w:val="20"/>
              </w:rPr>
              <w:t>WD Annual Expenditures Towards Innovation and Business Development (in 1,000s CAD)</w:t>
            </w:r>
            <w:r w:rsidR="00B92BE2" w:rsidRPr="00AF21DC">
              <w:rPr>
                <w:rStyle w:val="FootnoteReference"/>
                <w:b/>
                <w:sz w:val="20"/>
                <w:szCs w:val="20"/>
              </w:rPr>
              <w:footnoteReference w:id="3"/>
            </w:r>
          </w:p>
        </w:tc>
      </w:tr>
      <w:tr w:rsidR="00AF21DC" w:rsidRPr="00AF21DC" w:rsidTr="00CA3414">
        <w:trPr>
          <w:trHeight w:val="582"/>
          <w:jc w:val="center"/>
        </w:trPr>
        <w:tc>
          <w:tcPr>
            <w:tcW w:w="0" w:type="auto"/>
            <w:tcBorders>
              <w:top w:val="single" w:sz="4" w:space="0" w:color="auto"/>
              <w:bottom w:val="single" w:sz="4" w:space="0" w:color="auto"/>
            </w:tcBorders>
            <w:vAlign w:val="center"/>
          </w:tcPr>
          <w:p w:rsidR="009364E0" w:rsidRPr="00AF21DC" w:rsidRDefault="009364E0" w:rsidP="00896ADA">
            <w:pPr>
              <w:jc w:val="center"/>
              <w:rPr>
                <w:sz w:val="20"/>
                <w:szCs w:val="20"/>
              </w:rPr>
            </w:pPr>
          </w:p>
        </w:tc>
        <w:tc>
          <w:tcPr>
            <w:tcW w:w="0" w:type="auto"/>
            <w:tcBorders>
              <w:top w:val="single" w:sz="4" w:space="0" w:color="auto"/>
              <w:bottom w:val="single" w:sz="4" w:space="0" w:color="auto"/>
            </w:tcBorders>
            <w:vAlign w:val="center"/>
          </w:tcPr>
          <w:p w:rsidR="009364E0" w:rsidRPr="00AF21DC" w:rsidRDefault="009364E0" w:rsidP="00896ADA">
            <w:pPr>
              <w:jc w:val="center"/>
              <w:rPr>
                <w:b/>
                <w:sz w:val="20"/>
                <w:szCs w:val="20"/>
              </w:rPr>
            </w:pPr>
            <w:r w:rsidRPr="00AF21DC">
              <w:rPr>
                <w:b/>
                <w:sz w:val="20"/>
                <w:szCs w:val="20"/>
              </w:rPr>
              <w:t>2006</w:t>
            </w:r>
          </w:p>
        </w:tc>
        <w:tc>
          <w:tcPr>
            <w:tcW w:w="0" w:type="auto"/>
            <w:tcBorders>
              <w:top w:val="single" w:sz="4" w:space="0" w:color="auto"/>
              <w:bottom w:val="single" w:sz="4" w:space="0" w:color="auto"/>
            </w:tcBorders>
            <w:vAlign w:val="center"/>
          </w:tcPr>
          <w:p w:rsidR="009364E0" w:rsidRPr="00AF21DC" w:rsidRDefault="009364E0" w:rsidP="00896ADA">
            <w:pPr>
              <w:jc w:val="center"/>
              <w:rPr>
                <w:b/>
                <w:sz w:val="20"/>
                <w:szCs w:val="20"/>
              </w:rPr>
            </w:pPr>
            <w:r w:rsidRPr="00AF21DC">
              <w:rPr>
                <w:b/>
                <w:sz w:val="20"/>
                <w:szCs w:val="20"/>
              </w:rPr>
              <w:t>2007</w:t>
            </w:r>
          </w:p>
        </w:tc>
        <w:tc>
          <w:tcPr>
            <w:tcW w:w="0" w:type="auto"/>
            <w:tcBorders>
              <w:top w:val="single" w:sz="4" w:space="0" w:color="auto"/>
              <w:bottom w:val="single" w:sz="4" w:space="0" w:color="auto"/>
            </w:tcBorders>
            <w:vAlign w:val="center"/>
          </w:tcPr>
          <w:p w:rsidR="009364E0" w:rsidRPr="00AF21DC" w:rsidRDefault="009364E0" w:rsidP="00896ADA">
            <w:pPr>
              <w:jc w:val="center"/>
              <w:rPr>
                <w:b/>
                <w:sz w:val="20"/>
                <w:szCs w:val="20"/>
              </w:rPr>
            </w:pPr>
            <w:r w:rsidRPr="00AF21DC">
              <w:rPr>
                <w:b/>
                <w:sz w:val="20"/>
                <w:szCs w:val="20"/>
              </w:rPr>
              <w:t>2008</w:t>
            </w:r>
          </w:p>
        </w:tc>
        <w:tc>
          <w:tcPr>
            <w:tcW w:w="0" w:type="auto"/>
            <w:tcBorders>
              <w:top w:val="single" w:sz="4" w:space="0" w:color="auto"/>
              <w:bottom w:val="single" w:sz="4" w:space="0" w:color="auto"/>
            </w:tcBorders>
            <w:vAlign w:val="center"/>
          </w:tcPr>
          <w:p w:rsidR="009364E0" w:rsidRPr="00AF21DC" w:rsidRDefault="009364E0" w:rsidP="00896ADA">
            <w:pPr>
              <w:jc w:val="center"/>
              <w:rPr>
                <w:b/>
                <w:sz w:val="20"/>
                <w:szCs w:val="20"/>
              </w:rPr>
            </w:pPr>
            <w:r w:rsidRPr="00AF21DC">
              <w:rPr>
                <w:b/>
                <w:sz w:val="20"/>
                <w:szCs w:val="20"/>
              </w:rPr>
              <w:t>2009</w:t>
            </w:r>
          </w:p>
        </w:tc>
        <w:tc>
          <w:tcPr>
            <w:tcW w:w="0" w:type="auto"/>
            <w:tcBorders>
              <w:top w:val="single" w:sz="4" w:space="0" w:color="auto"/>
              <w:bottom w:val="single" w:sz="4" w:space="0" w:color="auto"/>
            </w:tcBorders>
            <w:vAlign w:val="center"/>
          </w:tcPr>
          <w:p w:rsidR="009364E0" w:rsidRPr="00AF21DC" w:rsidRDefault="009364E0" w:rsidP="00896ADA">
            <w:pPr>
              <w:jc w:val="center"/>
              <w:rPr>
                <w:b/>
                <w:sz w:val="20"/>
                <w:szCs w:val="20"/>
              </w:rPr>
            </w:pPr>
            <w:r w:rsidRPr="00AF21DC">
              <w:rPr>
                <w:b/>
                <w:sz w:val="20"/>
                <w:szCs w:val="20"/>
              </w:rPr>
              <w:t>2010</w:t>
            </w:r>
          </w:p>
        </w:tc>
        <w:tc>
          <w:tcPr>
            <w:tcW w:w="0" w:type="auto"/>
            <w:tcBorders>
              <w:top w:val="single" w:sz="4" w:space="0" w:color="auto"/>
              <w:bottom w:val="single" w:sz="4" w:space="0" w:color="auto"/>
            </w:tcBorders>
            <w:vAlign w:val="center"/>
          </w:tcPr>
          <w:p w:rsidR="009364E0" w:rsidRPr="00AF21DC" w:rsidRDefault="009364E0" w:rsidP="00896ADA">
            <w:pPr>
              <w:jc w:val="center"/>
              <w:rPr>
                <w:b/>
                <w:sz w:val="20"/>
                <w:szCs w:val="20"/>
              </w:rPr>
            </w:pPr>
            <w:r w:rsidRPr="00AF21DC">
              <w:rPr>
                <w:b/>
                <w:sz w:val="20"/>
                <w:szCs w:val="20"/>
              </w:rPr>
              <w:t>2011</w:t>
            </w:r>
          </w:p>
        </w:tc>
        <w:tc>
          <w:tcPr>
            <w:tcW w:w="0" w:type="auto"/>
            <w:tcBorders>
              <w:top w:val="single" w:sz="4" w:space="0" w:color="auto"/>
              <w:bottom w:val="single" w:sz="4" w:space="0" w:color="auto"/>
            </w:tcBorders>
            <w:vAlign w:val="center"/>
          </w:tcPr>
          <w:p w:rsidR="009364E0" w:rsidRPr="00AF21DC" w:rsidRDefault="009364E0" w:rsidP="00896ADA">
            <w:pPr>
              <w:jc w:val="center"/>
              <w:rPr>
                <w:b/>
                <w:sz w:val="20"/>
                <w:szCs w:val="20"/>
              </w:rPr>
            </w:pPr>
            <w:r w:rsidRPr="00AF21DC">
              <w:rPr>
                <w:b/>
                <w:sz w:val="20"/>
                <w:szCs w:val="20"/>
              </w:rPr>
              <w:t>2012</w:t>
            </w:r>
          </w:p>
        </w:tc>
        <w:tc>
          <w:tcPr>
            <w:tcW w:w="0" w:type="auto"/>
            <w:tcBorders>
              <w:top w:val="single" w:sz="4" w:space="0" w:color="auto"/>
              <w:bottom w:val="single" w:sz="4" w:space="0" w:color="auto"/>
            </w:tcBorders>
            <w:vAlign w:val="center"/>
          </w:tcPr>
          <w:p w:rsidR="009364E0" w:rsidRPr="00AF21DC" w:rsidRDefault="009364E0" w:rsidP="00896ADA">
            <w:pPr>
              <w:jc w:val="center"/>
              <w:rPr>
                <w:b/>
                <w:sz w:val="20"/>
                <w:szCs w:val="20"/>
              </w:rPr>
            </w:pPr>
            <w:r w:rsidRPr="00AF21DC">
              <w:rPr>
                <w:b/>
                <w:sz w:val="20"/>
                <w:szCs w:val="20"/>
              </w:rPr>
              <w:t>2013</w:t>
            </w:r>
          </w:p>
        </w:tc>
        <w:tc>
          <w:tcPr>
            <w:tcW w:w="0" w:type="auto"/>
            <w:tcBorders>
              <w:top w:val="single" w:sz="4" w:space="0" w:color="auto"/>
              <w:bottom w:val="single" w:sz="4" w:space="0" w:color="auto"/>
            </w:tcBorders>
            <w:vAlign w:val="center"/>
          </w:tcPr>
          <w:p w:rsidR="009364E0" w:rsidRPr="00AF21DC" w:rsidRDefault="009364E0" w:rsidP="00896ADA">
            <w:pPr>
              <w:jc w:val="center"/>
              <w:rPr>
                <w:b/>
                <w:sz w:val="20"/>
                <w:szCs w:val="20"/>
              </w:rPr>
            </w:pPr>
            <w:r w:rsidRPr="00AF21DC">
              <w:rPr>
                <w:b/>
                <w:sz w:val="20"/>
                <w:szCs w:val="20"/>
              </w:rPr>
              <w:t>2014</w:t>
            </w:r>
          </w:p>
        </w:tc>
        <w:tc>
          <w:tcPr>
            <w:tcW w:w="0" w:type="auto"/>
            <w:tcBorders>
              <w:top w:val="single" w:sz="4" w:space="0" w:color="auto"/>
              <w:bottom w:val="single" w:sz="4" w:space="0" w:color="auto"/>
            </w:tcBorders>
            <w:vAlign w:val="center"/>
          </w:tcPr>
          <w:p w:rsidR="009364E0" w:rsidRPr="00AF21DC" w:rsidRDefault="009364E0" w:rsidP="00896ADA">
            <w:pPr>
              <w:jc w:val="center"/>
              <w:rPr>
                <w:b/>
                <w:sz w:val="20"/>
                <w:szCs w:val="20"/>
              </w:rPr>
            </w:pPr>
            <w:r w:rsidRPr="00AF21DC">
              <w:rPr>
                <w:b/>
                <w:sz w:val="20"/>
                <w:szCs w:val="20"/>
              </w:rPr>
              <w:t>2015</w:t>
            </w:r>
          </w:p>
        </w:tc>
        <w:tc>
          <w:tcPr>
            <w:tcW w:w="0" w:type="auto"/>
            <w:tcBorders>
              <w:top w:val="single" w:sz="4" w:space="0" w:color="auto"/>
              <w:bottom w:val="single" w:sz="4" w:space="0" w:color="auto"/>
            </w:tcBorders>
            <w:vAlign w:val="center"/>
          </w:tcPr>
          <w:p w:rsidR="009364E0" w:rsidRPr="00AF21DC" w:rsidRDefault="009364E0" w:rsidP="00896ADA">
            <w:pPr>
              <w:jc w:val="center"/>
              <w:rPr>
                <w:b/>
                <w:sz w:val="20"/>
                <w:szCs w:val="20"/>
              </w:rPr>
            </w:pPr>
            <w:r w:rsidRPr="00AF21DC">
              <w:rPr>
                <w:b/>
                <w:sz w:val="20"/>
                <w:szCs w:val="20"/>
              </w:rPr>
              <w:t>2016</w:t>
            </w:r>
          </w:p>
        </w:tc>
      </w:tr>
      <w:tr w:rsidR="00AF21DC" w:rsidRPr="00AF21DC" w:rsidTr="00CA3414">
        <w:trPr>
          <w:trHeight w:val="299"/>
          <w:jc w:val="center"/>
        </w:trPr>
        <w:tc>
          <w:tcPr>
            <w:tcW w:w="0" w:type="auto"/>
            <w:tcBorders>
              <w:top w:val="single" w:sz="4" w:space="0" w:color="auto"/>
            </w:tcBorders>
            <w:vAlign w:val="center"/>
          </w:tcPr>
          <w:p w:rsidR="009364E0" w:rsidRPr="00AF21DC" w:rsidRDefault="009364E0" w:rsidP="00896ADA">
            <w:pPr>
              <w:rPr>
                <w:b/>
                <w:sz w:val="18"/>
                <w:szCs w:val="18"/>
              </w:rPr>
            </w:pPr>
            <w:r w:rsidRPr="00AF21DC">
              <w:rPr>
                <w:b/>
                <w:sz w:val="18"/>
                <w:szCs w:val="18"/>
              </w:rPr>
              <w:t>Planned Spending</w:t>
            </w:r>
          </w:p>
        </w:tc>
        <w:tc>
          <w:tcPr>
            <w:tcW w:w="0" w:type="auto"/>
            <w:tcBorders>
              <w:top w:val="single" w:sz="4" w:space="0" w:color="auto"/>
            </w:tcBorders>
            <w:vAlign w:val="center"/>
          </w:tcPr>
          <w:p w:rsidR="009364E0" w:rsidRPr="00AF21DC" w:rsidRDefault="009364E0" w:rsidP="00896ADA">
            <w:pPr>
              <w:rPr>
                <w:sz w:val="20"/>
                <w:szCs w:val="20"/>
              </w:rPr>
            </w:pPr>
            <w:r w:rsidRPr="00AF21DC">
              <w:rPr>
                <w:sz w:val="20"/>
                <w:szCs w:val="20"/>
              </w:rPr>
              <w:t>113238</w:t>
            </w:r>
          </w:p>
        </w:tc>
        <w:tc>
          <w:tcPr>
            <w:tcW w:w="0" w:type="auto"/>
            <w:tcBorders>
              <w:top w:val="single" w:sz="4" w:space="0" w:color="auto"/>
            </w:tcBorders>
            <w:vAlign w:val="center"/>
          </w:tcPr>
          <w:p w:rsidR="009364E0" w:rsidRPr="00AF21DC" w:rsidRDefault="009364E0" w:rsidP="00896ADA">
            <w:pPr>
              <w:jc w:val="center"/>
              <w:rPr>
                <w:sz w:val="20"/>
                <w:szCs w:val="20"/>
              </w:rPr>
            </w:pPr>
            <w:r w:rsidRPr="00AF21DC">
              <w:rPr>
                <w:sz w:val="20"/>
                <w:szCs w:val="20"/>
              </w:rPr>
              <w:t>122482</w:t>
            </w:r>
          </w:p>
        </w:tc>
        <w:tc>
          <w:tcPr>
            <w:tcW w:w="0" w:type="auto"/>
            <w:tcBorders>
              <w:top w:val="single" w:sz="4" w:space="0" w:color="auto"/>
            </w:tcBorders>
            <w:vAlign w:val="center"/>
          </w:tcPr>
          <w:p w:rsidR="009364E0" w:rsidRPr="00AF21DC" w:rsidRDefault="009364E0" w:rsidP="00896ADA">
            <w:pPr>
              <w:jc w:val="center"/>
              <w:rPr>
                <w:sz w:val="20"/>
                <w:szCs w:val="20"/>
              </w:rPr>
            </w:pPr>
            <w:r w:rsidRPr="00AF21DC">
              <w:rPr>
                <w:sz w:val="20"/>
                <w:szCs w:val="20"/>
              </w:rPr>
              <w:t>145416</w:t>
            </w:r>
          </w:p>
        </w:tc>
        <w:tc>
          <w:tcPr>
            <w:tcW w:w="0" w:type="auto"/>
            <w:tcBorders>
              <w:top w:val="single" w:sz="4" w:space="0" w:color="auto"/>
            </w:tcBorders>
            <w:vAlign w:val="center"/>
          </w:tcPr>
          <w:p w:rsidR="009364E0" w:rsidRPr="00AF21DC" w:rsidRDefault="009364E0" w:rsidP="00896ADA">
            <w:pPr>
              <w:jc w:val="center"/>
              <w:rPr>
                <w:sz w:val="20"/>
                <w:szCs w:val="20"/>
              </w:rPr>
            </w:pPr>
            <w:r w:rsidRPr="00AF21DC">
              <w:rPr>
                <w:sz w:val="20"/>
                <w:szCs w:val="20"/>
              </w:rPr>
              <w:t>126113</w:t>
            </w:r>
          </w:p>
        </w:tc>
        <w:tc>
          <w:tcPr>
            <w:tcW w:w="0" w:type="auto"/>
            <w:tcBorders>
              <w:top w:val="single" w:sz="4" w:space="0" w:color="auto"/>
            </w:tcBorders>
            <w:vAlign w:val="center"/>
          </w:tcPr>
          <w:p w:rsidR="009364E0" w:rsidRPr="00AF21DC" w:rsidRDefault="009364E0" w:rsidP="00896ADA">
            <w:pPr>
              <w:jc w:val="center"/>
              <w:rPr>
                <w:sz w:val="20"/>
                <w:szCs w:val="20"/>
              </w:rPr>
            </w:pPr>
            <w:r w:rsidRPr="00AF21DC">
              <w:rPr>
                <w:sz w:val="20"/>
                <w:szCs w:val="20"/>
              </w:rPr>
              <w:t>98602</w:t>
            </w:r>
          </w:p>
        </w:tc>
        <w:tc>
          <w:tcPr>
            <w:tcW w:w="0" w:type="auto"/>
            <w:tcBorders>
              <w:top w:val="single" w:sz="4" w:space="0" w:color="auto"/>
            </w:tcBorders>
          </w:tcPr>
          <w:p w:rsidR="009364E0" w:rsidRPr="00AF21DC" w:rsidRDefault="009364E0" w:rsidP="00896ADA">
            <w:pPr>
              <w:jc w:val="center"/>
              <w:rPr>
                <w:sz w:val="20"/>
                <w:szCs w:val="20"/>
              </w:rPr>
            </w:pPr>
            <w:r w:rsidRPr="00AF21DC">
              <w:rPr>
                <w:sz w:val="20"/>
                <w:szCs w:val="20"/>
              </w:rPr>
              <w:t>121705</w:t>
            </w:r>
          </w:p>
        </w:tc>
        <w:tc>
          <w:tcPr>
            <w:tcW w:w="0" w:type="auto"/>
            <w:tcBorders>
              <w:top w:val="single" w:sz="4" w:space="0" w:color="auto"/>
            </w:tcBorders>
          </w:tcPr>
          <w:p w:rsidR="009364E0" w:rsidRPr="00AF21DC" w:rsidRDefault="009364E0" w:rsidP="00896ADA">
            <w:pPr>
              <w:jc w:val="center"/>
              <w:rPr>
                <w:sz w:val="20"/>
                <w:szCs w:val="20"/>
              </w:rPr>
            </w:pPr>
            <w:r w:rsidRPr="00AF21DC">
              <w:rPr>
                <w:sz w:val="20"/>
                <w:szCs w:val="20"/>
              </w:rPr>
              <w:t>125278</w:t>
            </w:r>
          </w:p>
        </w:tc>
        <w:tc>
          <w:tcPr>
            <w:tcW w:w="0" w:type="auto"/>
            <w:tcBorders>
              <w:top w:val="single" w:sz="4" w:space="0" w:color="auto"/>
            </w:tcBorders>
          </w:tcPr>
          <w:p w:rsidR="009364E0" w:rsidRPr="00AF21DC" w:rsidRDefault="009364E0" w:rsidP="00896ADA">
            <w:pPr>
              <w:jc w:val="center"/>
              <w:rPr>
                <w:sz w:val="20"/>
                <w:szCs w:val="20"/>
              </w:rPr>
            </w:pPr>
            <w:r w:rsidRPr="00AF21DC">
              <w:rPr>
                <w:sz w:val="20"/>
                <w:szCs w:val="20"/>
              </w:rPr>
              <w:t>93228</w:t>
            </w:r>
          </w:p>
        </w:tc>
        <w:tc>
          <w:tcPr>
            <w:tcW w:w="0" w:type="auto"/>
            <w:tcBorders>
              <w:top w:val="single" w:sz="4" w:space="0" w:color="auto"/>
            </w:tcBorders>
          </w:tcPr>
          <w:p w:rsidR="009364E0" w:rsidRPr="00AF21DC" w:rsidRDefault="009364E0" w:rsidP="00896ADA">
            <w:pPr>
              <w:jc w:val="center"/>
              <w:rPr>
                <w:sz w:val="20"/>
                <w:szCs w:val="20"/>
              </w:rPr>
            </w:pPr>
            <w:r w:rsidRPr="00AF21DC">
              <w:rPr>
                <w:sz w:val="20"/>
                <w:szCs w:val="20"/>
              </w:rPr>
              <w:t>100598</w:t>
            </w:r>
          </w:p>
        </w:tc>
        <w:tc>
          <w:tcPr>
            <w:tcW w:w="0" w:type="auto"/>
            <w:tcBorders>
              <w:top w:val="single" w:sz="4" w:space="0" w:color="auto"/>
            </w:tcBorders>
          </w:tcPr>
          <w:p w:rsidR="009364E0" w:rsidRPr="00AF21DC" w:rsidRDefault="009364E0" w:rsidP="00896ADA">
            <w:pPr>
              <w:jc w:val="center"/>
              <w:rPr>
                <w:sz w:val="20"/>
                <w:szCs w:val="20"/>
              </w:rPr>
            </w:pPr>
            <w:r w:rsidRPr="00AF21DC">
              <w:rPr>
                <w:sz w:val="20"/>
                <w:szCs w:val="20"/>
              </w:rPr>
              <w:t>100520</w:t>
            </w:r>
          </w:p>
        </w:tc>
        <w:tc>
          <w:tcPr>
            <w:tcW w:w="0" w:type="auto"/>
            <w:tcBorders>
              <w:top w:val="single" w:sz="4" w:space="0" w:color="auto"/>
            </w:tcBorders>
          </w:tcPr>
          <w:p w:rsidR="009364E0" w:rsidRPr="00AF21DC" w:rsidRDefault="009364E0" w:rsidP="00896ADA">
            <w:pPr>
              <w:jc w:val="center"/>
              <w:rPr>
                <w:sz w:val="20"/>
                <w:szCs w:val="20"/>
              </w:rPr>
            </w:pPr>
            <w:r w:rsidRPr="00AF21DC">
              <w:rPr>
                <w:sz w:val="20"/>
                <w:szCs w:val="20"/>
              </w:rPr>
              <w:t>95135</w:t>
            </w:r>
          </w:p>
        </w:tc>
      </w:tr>
      <w:tr w:rsidR="00AF21DC" w:rsidRPr="00AF21DC" w:rsidTr="00CA3414">
        <w:trPr>
          <w:trHeight w:val="282"/>
          <w:jc w:val="center"/>
        </w:trPr>
        <w:tc>
          <w:tcPr>
            <w:tcW w:w="0" w:type="auto"/>
            <w:vAlign w:val="center"/>
          </w:tcPr>
          <w:p w:rsidR="009364E0" w:rsidRPr="00AF21DC" w:rsidRDefault="009364E0" w:rsidP="00896ADA">
            <w:pPr>
              <w:jc w:val="center"/>
              <w:rPr>
                <w:b/>
                <w:sz w:val="18"/>
                <w:szCs w:val="18"/>
              </w:rPr>
            </w:pPr>
            <w:r w:rsidRPr="00AF21DC">
              <w:rPr>
                <w:b/>
                <w:sz w:val="18"/>
                <w:szCs w:val="18"/>
              </w:rPr>
              <w:t>Actual Spending</w:t>
            </w:r>
          </w:p>
        </w:tc>
        <w:tc>
          <w:tcPr>
            <w:tcW w:w="0" w:type="auto"/>
            <w:vAlign w:val="center"/>
          </w:tcPr>
          <w:p w:rsidR="009364E0" w:rsidRPr="00AF21DC" w:rsidRDefault="00CA3414" w:rsidP="00896ADA">
            <w:pPr>
              <w:rPr>
                <w:sz w:val="20"/>
                <w:szCs w:val="20"/>
              </w:rPr>
            </w:pPr>
            <w:r w:rsidRPr="00AF21DC">
              <w:rPr>
                <w:sz w:val="20"/>
                <w:szCs w:val="20"/>
              </w:rPr>
              <w:t>133510</w:t>
            </w:r>
          </w:p>
        </w:tc>
        <w:tc>
          <w:tcPr>
            <w:tcW w:w="0" w:type="auto"/>
            <w:vAlign w:val="center"/>
          </w:tcPr>
          <w:p w:rsidR="009364E0" w:rsidRPr="00AF21DC" w:rsidRDefault="00CA3414" w:rsidP="00896ADA">
            <w:pPr>
              <w:jc w:val="center"/>
              <w:rPr>
                <w:sz w:val="20"/>
                <w:szCs w:val="20"/>
              </w:rPr>
            </w:pPr>
            <w:r w:rsidRPr="00AF21DC">
              <w:rPr>
                <w:sz w:val="20"/>
                <w:szCs w:val="20"/>
              </w:rPr>
              <w:t>126052</w:t>
            </w:r>
          </w:p>
        </w:tc>
        <w:tc>
          <w:tcPr>
            <w:tcW w:w="0" w:type="auto"/>
            <w:vAlign w:val="center"/>
          </w:tcPr>
          <w:p w:rsidR="009364E0" w:rsidRPr="00AF21DC" w:rsidRDefault="00CA3414" w:rsidP="00896ADA">
            <w:pPr>
              <w:jc w:val="center"/>
              <w:rPr>
                <w:sz w:val="20"/>
                <w:szCs w:val="20"/>
              </w:rPr>
            </w:pPr>
            <w:r w:rsidRPr="00AF21DC">
              <w:rPr>
                <w:sz w:val="20"/>
                <w:szCs w:val="20"/>
              </w:rPr>
              <w:t>139741</w:t>
            </w:r>
          </w:p>
        </w:tc>
        <w:tc>
          <w:tcPr>
            <w:tcW w:w="0" w:type="auto"/>
            <w:vAlign w:val="center"/>
          </w:tcPr>
          <w:p w:rsidR="009364E0" w:rsidRPr="00AF21DC" w:rsidRDefault="00CA3414" w:rsidP="00896ADA">
            <w:pPr>
              <w:jc w:val="center"/>
              <w:rPr>
                <w:sz w:val="20"/>
                <w:szCs w:val="20"/>
              </w:rPr>
            </w:pPr>
            <w:r w:rsidRPr="00AF21DC">
              <w:rPr>
                <w:sz w:val="20"/>
                <w:szCs w:val="20"/>
              </w:rPr>
              <w:t>133810</w:t>
            </w:r>
          </w:p>
        </w:tc>
        <w:tc>
          <w:tcPr>
            <w:tcW w:w="0" w:type="auto"/>
            <w:vAlign w:val="center"/>
          </w:tcPr>
          <w:p w:rsidR="009364E0" w:rsidRPr="00AF21DC" w:rsidRDefault="00CA3414" w:rsidP="00896ADA">
            <w:pPr>
              <w:jc w:val="center"/>
              <w:rPr>
                <w:sz w:val="20"/>
                <w:szCs w:val="20"/>
              </w:rPr>
            </w:pPr>
            <w:r w:rsidRPr="00AF21DC">
              <w:rPr>
                <w:sz w:val="20"/>
                <w:szCs w:val="20"/>
              </w:rPr>
              <w:t>121301</w:t>
            </w:r>
          </w:p>
        </w:tc>
        <w:tc>
          <w:tcPr>
            <w:tcW w:w="0" w:type="auto"/>
            <w:vAlign w:val="center"/>
          </w:tcPr>
          <w:p w:rsidR="009364E0" w:rsidRPr="00AF21DC" w:rsidRDefault="00CA3414" w:rsidP="00896ADA">
            <w:pPr>
              <w:jc w:val="center"/>
              <w:rPr>
                <w:sz w:val="20"/>
                <w:szCs w:val="20"/>
              </w:rPr>
            </w:pPr>
            <w:r w:rsidRPr="00AF21DC">
              <w:rPr>
                <w:sz w:val="20"/>
                <w:szCs w:val="20"/>
              </w:rPr>
              <w:t>120290</w:t>
            </w:r>
          </w:p>
        </w:tc>
        <w:tc>
          <w:tcPr>
            <w:tcW w:w="0" w:type="auto"/>
          </w:tcPr>
          <w:p w:rsidR="009364E0" w:rsidRPr="00AF21DC" w:rsidRDefault="00CA3414" w:rsidP="00896ADA">
            <w:pPr>
              <w:jc w:val="center"/>
              <w:rPr>
                <w:sz w:val="20"/>
                <w:szCs w:val="20"/>
              </w:rPr>
            </w:pPr>
            <w:r w:rsidRPr="00AF21DC">
              <w:rPr>
                <w:sz w:val="20"/>
                <w:szCs w:val="20"/>
              </w:rPr>
              <w:t>117571</w:t>
            </w:r>
          </w:p>
        </w:tc>
        <w:tc>
          <w:tcPr>
            <w:tcW w:w="0" w:type="auto"/>
          </w:tcPr>
          <w:p w:rsidR="009364E0" w:rsidRPr="00AF21DC" w:rsidRDefault="00CA3414" w:rsidP="00896ADA">
            <w:pPr>
              <w:jc w:val="center"/>
              <w:rPr>
                <w:sz w:val="20"/>
                <w:szCs w:val="20"/>
              </w:rPr>
            </w:pPr>
            <w:r w:rsidRPr="00AF21DC">
              <w:rPr>
                <w:sz w:val="20"/>
                <w:szCs w:val="20"/>
              </w:rPr>
              <w:t>98912</w:t>
            </w:r>
          </w:p>
        </w:tc>
        <w:tc>
          <w:tcPr>
            <w:tcW w:w="0" w:type="auto"/>
          </w:tcPr>
          <w:p w:rsidR="009364E0" w:rsidRPr="00AF21DC" w:rsidRDefault="00CA3414" w:rsidP="00896ADA">
            <w:pPr>
              <w:jc w:val="center"/>
              <w:rPr>
                <w:sz w:val="20"/>
                <w:szCs w:val="20"/>
              </w:rPr>
            </w:pPr>
            <w:r w:rsidRPr="00AF21DC">
              <w:rPr>
                <w:sz w:val="20"/>
                <w:szCs w:val="20"/>
              </w:rPr>
              <w:t>107678</w:t>
            </w:r>
          </w:p>
        </w:tc>
        <w:tc>
          <w:tcPr>
            <w:tcW w:w="0" w:type="auto"/>
          </w:tcPr>
          <w:p w:rsidR="009364E0" w:rsidRPr="00AF21DC" w:rsidRDefault="00CA3414" w:rsidP="00896ADA">
            <w:pPr>
              <w:jc w:val="center"/>
              <w:rPr>
                <w:sz w:val="20"/>
                <w:szCs w:val="20"/>
              </w:rPr>
            </w:pPr>
            <w:r w:rsidRPr="00AF21DC">
              <w:rPr>
                <w:sz w:val="20"/>
                <w:szCs w:val="20"/>
              </w:rPr>
              <w:t>97298</w:t>
            </w:r>
          </w:p>
        </w:tc>
        <w:tc>
          <w:tcPr>
            <w:tcW w:w="0" w:type="auto"/>
          </w:tcPr>
          <w:p w:rsidR="009364E0" w:rsidRPr="00AF21DC" w:rsidRDefault="00CA3414" w:rsidP="00896ADA">
            <w:pPr>
              <w:jc w:val="center"/>
              <w:rPr>
                <w:sz w:val="20"/>
                <w:szCs w:val="20"/>
              </w:rPr>
            </w:pPr>
            <w:r w:rsidRPr="00AF21DC">
              <w:rPr>
                <w:sz w:val="20"/>
                <w:szCs w:val="20"/>
              </w:rPr>
              <w:t>96821</w:t>
            </w:r>
          </w:p>
        </w:tc>
      </w:tr>
      <w:tr w:rsidR="00AF21DC" w:rsidRPr="00AF21DC" w:rsidTr="00CA3414">
        <w:trPr>
          <w:trHeight w:val="282"/>
          <w:jc w:val="center"/>
        </w:trPr>
        <w:tc>
          <w:tcPr>
            <w:tcW w:w="0" w:type="auto"/>
            <w:vAlign w:val="center"/>
          </w:tcPr>
          <w:p w:rsidR="009364E0" w:rsidRPr="00AF21DC" w:rsidRDefault="009364E0" w:rsidP="00896ADA">
            <w:pPr>
              <w:jc w:val="center"/>
              <w:rPr>
                <w:i/>
                <w:sz w:val="20"/>
                <w:szCs w:val="20"/>
              </w:rPr>
            </w:pPr>
          </w:p>
        </w:tc>
        <w:tc>
          <w:tcPr>
            <w:tcW w:w="0" w:type="auto"/>
            <w:vAlign w:val="center"/>
          </w:tcPr>
          <w:p w:rsidR="009364E0" w:rsidRPr="00AF21DC" w:rsidRDefault="009364E0" w:rsidP="00896ADA">
            <w:pPr>
              <w:rPr>
                <w:sz w:val="20"/>
                <w:szCs w:val="20"/>
              </w:rPr>
            </w:pPr>
          </w:p>
        </w:tc>
        <w:tc>
          <w:tcPr>
            <w:tcW w:w="0" w:type="auto"/>
            <w:vAlign w:val="center"/>
          </w:tcPr>
          <w:p w:rsidR="009364E0" w:rsidRPr="00AF21DC" w:rsidRDefault="009364E0" w:rsidP="00896ADA">
            <w:pPr>
              <w:jc w:val="center"/>
              <w:rPr>
                <w:sz w:val="20"/>
                <w:szCs w:val="20"/>
              </w:rPr>
            </w:pPr>
          </w:p>
        </w:tc>
        <w:tc>
          <w:tcPr>
            <w:tcW w:w="0" w:type="auto"/>
            <w:vAlign w:val="center"/>
          </w:tcPr>
          <w:p w:rsidR="009364E0" w:rsidRPr="00AF21DC" w:rsidRDefault="009364E0" w:rsidP="00896ADA">
            <w:pPr>
              <w:jc w:val="center"/>
              <w:rPr>
                <w:sz w:val="20"/>
                <w:szCs w:val="20"/>
              </w:rPr>
            </w:pPr>
          </w:p>
        </w:tc>
        <w:tc>
          <w:tcPr>
            <w:tcW w:w="0" w:type="auto"/>
            <w:vAlign w:val="center"/>
          </w:tcPr>
          <w:p w:rsidR="009364E0" w:rsidRPr="00AF21DC" w:rsidRDefault="009364E0" w:rsidP="00896ADA">
            <w:pPr>
              <w:jc w:val="center"/>
              <w:rPr>
                <w:sz w:val="20"/>
                <w:szCs w:val="20"/>
              </w:rPr>
            </w:pPr>
          </w:p>
        </w:tc>
        <w:tc>
          <w:tcPr>
            <w:tcW w:w="0" w:type="auto"/>
            <w:vAlign w:val="center"/>
          </w:tcPr>
          <w:p w:rsidR="009364E0" w:rsidRPr="00AF21DC" w:rsidRDefault="009364E0" w:rsidP="00896ADA">
            <w:pPr>
              <w:jc w:val="center"/>
              <w:rPr>
                <w:sz w:val="20"/>
                <w:szCs w:val="20"/>
              </w:rPr>
            </w:pPr>
          </w:p>
        </w:tc>
        <w:tc>
          <w:tcPr>
            <w:tcW w:w="0" w:type="auto"/>
            <w:vAlign w:val="center"/>
          </w:tcPr>
          <w:p w:rsidR="009364E0" w:rsidRPr="00AF21DC" w:rsidRDefault="009364E0" w:rsidP="00896ADA">
            <w:pPr>
              <w:jc w:val="center"/>
              <w:rPr>
                <w:sz w:val="20"/>
                <w:szCs w:val="20"/>
              </w:rPr>
            </w:pPr>
          </w:p>
        </w:tc>
        <w:tc>
          <w:tcPr>
            <w:tcW w:w="0" w:type="auto"/>
          </w:tcPr>
          <w:p w:rsidR="009364E0" w:rsidRPr="00AF21DC" w:rsidRDefault="009364E0" w:rsidP="00896ADA">
            <w:pPr>
              <w:jc w:val="center"/>
              <w:rPr>
                <w:sz w:val="20"/>
                <w:szCs w:val="20"/>
              </w:rPr>
            </w:pPr>
          </w:p>
        </w:tc>
        <w:tc>
          <w:tcPr>
            <w:tcW w:w="0" w:type="auto"/>
          </w:tcPr>
          <w:p w:rsidR="009364E0" w:rsidRPr="00AF21DC" w:rsidRDefault="009364E0" w:rsidP="00896ADA">
            <w:pPr>
              <w:jc w:val="center"/>
              <w:rPr>
                <w:sz w:val="20"/>
                <w:szCs w:val="20"/>
              </w:rPr>
            </w:pPr>
          </w:p>
        </w:tc>
        <w:tc>
          <w:tcPr>
            <w:tcW w:w="0" w:type="auto"/>
          </w:tcPr>
          <w:p w:rsidR="009364E0" w:rsidRPr="00AF21DC" w:rsidRDefault="009364E0" w:rsidP="00896ADA">
            <w:pPr>
              <w:jc w:val="center"/>
              <w:rPr>
                <w:sz w:val="20"/>
                <w:szCs w:val="20"/>
              </w:rPr>
            </w:pPr>
          </w:p>
        </w:tc>
        <w:tc>
          <w:tcPr>
            <w:tcW w:w="0" w:type="auto"/>
          </w:tcPr>
          <w:p w:rsidR="009364E0" w:rsidRPr="00AF21DC" w:rsidRDefault="009364E0" w:rsidP="00896ADA">
            <w:pPr>
              <w:jc w:val="center"/>
              <w:rPr>
                <w:sz w:val="20"/>
                <w:szCs w:val="20"/>
              </w:rPr>
            </w:pPr>
          </w:p>
        </w:tc>
        <w:tc>
          <w:tcPr>
            <w:tcW w:w="0" w:type="auto"/>
          </w:tcPr>
          <w:p w:rsidR="009364E0" w:rsidRPr="00AF21DC" w:rsidRDefault="009364E0" w:rsidP="00896ADA">
            <w:pPr>
              <w:jc w:val="center"/>
              <w:rPr>
                <w:sz w:val="20"/>
                <w:szCs w:val="20"/>
              </w:rPr>
            </w:pPr>
          </w:p>
        </w:tc>
      </w:tr>
      <w:tr w:rsidR="00AF21DC" w:rsidRPr="00AF21DC" w:rsidTr="00CA3414">
        <w:trPr>
          <w:trHeight w:val="282"/>
          <w:jc w:val="center"/>
        </w:trPr>
        <w:tc>
          <w:tcPr>
            <w:tcW w:w="0" w:type="auto"/>
            <w:vAlign w:val="center"/>
          </w:tcPr>
          <w:p w:rsidR="009364E0" w:rsidRPr="00AF21DC" w:rsidRDefault="009364E0" w:rsidP="00896ADA">
            <w:pPr>
              <w:jc w:val="center"/>
              <w:rPr>
                <w:sz w:val="20"/>
                <w:szCs w:val="20"/>
              </w:rPr>
            </w:pPr>
          </w:p>
        </w:tc>
        <w:tc>
          <w:tcPr>
            <w:tcW w:w="0" w:type="auto"/>
            <w:vAlign w:val="center"/>
          </w:tcPr>
          <w:p w:rsidR="009364E0" w:rsidRPr="00AF21DC" w:rsidRDefault="009364E0" w:rsidP="00896ADA">
            <w:pPr>
              <w:rPr>
                <w:sz w:val="20"/>
                <w:szCs w:val="20"/>
              </w:rPr>
            </w:pPr>
          </w:p>
        </w:tc>
        <w:tc>
          <w:tcPr>
            <w:tcW w:w="0" w:type="auto"/>
            <w:vAlign w:val="center"/>
          </w:tcPr>
          <w:p w:rsidR="009364E0" w:rsidRPr="00AF21DC" w:rsidRDefault="009364E0" w:rsidP="00896ADA">
            <w:pPr>
              <w:jc w:val="center"/>
              <w:rPr>
                <w:sz w:val="20"/>
                <w:szCs w:val="20"/>
              </w:rPr>
            </w:pPr>
          </w:p>
        </w:tc>
        <w:tc>
          <w:tcPr>
            <w:tcW w:w="0" w:type="auto"/>
            <w:vAlign w:val="center"/>
          </w:tcPr>
          <w:p w:rsidR="009364E0" w:rsidRPr="00AF21DC" w:rsidRDefault="009364E0" w:rsidP="00896ADA">
            <w:pPr>
              <w:jc w:val="center"/>
              <w:rPr>
                <w:sz w:val="20"/>
                <w:szCs w:val="20"/>
              </w:rPr>
            </w:pPr>
          </w:p>
        </w:tc>
        <w:tc>
          <w:tcPr>
            <w:tcW w:w="0" w:type="auto"/>
            <w:vAlign w:val="center"/>
          </w:tcPr>
          <w:p w:rsidR="009364E0" w:rsidRPr="00AF21DC" w:rsidRDefault="009364E0" w:rsidP="00896ADA">
            <w:pPr>
              <w:jc w:val="center"/>
              <w:rPr>
                <w:sz w:val="20"/>
                <w:szCs w:val="20"/>
              </w:rPr>
            </w:pPr>
          </w:p>
        </w:tc>
        <w:tc>
          <w:tcPr>
            <w:tcW w:w="0" w:type="auto"/>
            <w:vAlign w:val="center"/>
          </w:tcPr>
          <w:p w:rsidR="009364E0" w:rsidRPr="00AF21DC" w:rsidRDefault="009364E0" w:rsidP="00896ADA">
            <w:pPr>
              <w:jc w:val="center"/>
              <w:rPr>
                <w:sz w:val="20"/>
                <w:szCs w:val="20"/>
              </w:rPr>
            </w:pPr>
          </w:p>
        </w:tc>
        <w:tc>
          <w:tcPr>
            <w:tcW w:w="0" w:type="auto"/>
            <w:vAlign w:val="center"/>
          </w:tcPr>
          <w:p w:rsidR="009364E0" w:rsidRPr="00AF21DC" w:rsidRDefault="009364E0" w:rsidP="00896ADA">
            <w:pPr>
              <w:jc w:val="center"/>
              <w:rPr>
                <w:sz w:val="20"/>
                <w:szCs w:val="20"/>
              </w:rPr>
            </w:pPr>
          </w:p>
        </w:tc>
        <w:tc>
          <w:tcPr>
            <w:tcW w:w="0" w:type="auto"/>
          </w:tcPr>
          <w:p w:rsidR="009364E0" w:rsidRPr="00AF21DC" w:rsidRDefault="009364E0" w:rsidP="00896ADA">
            <w:pPr>
              <w:jc w:val="center"/>
              <w:rPr>
                <w:sz w:val="20"/>
                <w:szCs w:val="20"/>
              </w:rPr>
            </w:pPr>
          </w:p>
        </w:tc>
        <w:tc>
          <w:tcPr>
            <w:tcW w:w="0" w:type="auto"/>
          </w:tcPr>
          <w:p w:rsidR="009364E0" w:rsidRPr="00AF21DC" w:rsidRDefault="009364E0" w:rsidP="00896ADA">
            <w:pPr>
              <w:jc w:val="center"/>
              <w:rPr>
                <w:sz w:val="20"/>
                <w:szCs w:val="20"/>
              </w:rPr>
            </w:pPr>
          </w:p>
        </w:tc>
        <w:tc>
          <w:tcPr>
            <w:tcW w:w="0" w:type="auto"/>
          </w:tcPr>
          <w:p w:rsidR="009364E0" w:rsidRPr="00AF21DC" w:rsidRDefault="009364E0" w:rsidP="00896ADA">
            <w:pPr>
              <w:jc w:val="center"/>
              <w:rPr>
                <w:sz w:val="20"/>
                <w:szCs w:val="20"/>
              </w:rPr>
            </w:pPr>
          </w:p>
        </w:tc>
        <w:tc>
          <w:tcPr>
            <w:tcW w:w="0" w:type="auto"/>
          </w:tcPr>
          <w:p w:rsidR="009364E0" w:rsidRPr="00AF21DC" w:rsidRDefault="009364E0" w:rsidP="00896ADA">
            <w:pPr>
              <w:jc w:val="center"/>
              <w:rPr>
                <w:sz w:val="20"/>
                <w:szCs w:val="20"/>
              </w:rPr>
            </w:pPr>
          </w:p>
        </w:tc>
        <w:tc>
          <w:tcPr>
            <w:tcW w:w="0" w:type="auto"/>
          </w:tcPr>
          <w:p w:rsidR="009364E0" w:rsidRPr="00AF21DC" w:rsidRDefault="009364E0" w:rsidP="00896ADA">
            <w:pPr>
              <w:jc w:val="center"/>
              <w:rPr>
                <w:sz w:val="20"/>
                <w:szCs w:val="20"/>
              </w:rPr>
            </w:pPr>
          </w:p>
        </w:tc>
      </w:tr>
      <w:tr w:rsidR="00AF21DC" w:rsidRPr="00AF21DC" w:rsidTr="00CA3414">
        <w:trPr>
          <w:trHeight w:val="299"/>
          <w:jc w:val="center"/>
        </w:trPr>
        <w:tc>
          <w:tcPr>
            <w:tcW w:w="0" w:type="auto"/>
            <w:tcBorders>
              <w:bottom w:val="single" w:sz="4" w:space="0" w:color="auto"/>
            </w:tcBorders>
            <w:vAlign w:val="center"/>
          </w:tcPr>
          <w:p w:rsidR="009364E0" w:rsidRPr="00AF21DC" w:rsidRDefault="009364E0" w:rsidP="00896ADA">
            <w:pPr>
              <w:jc w:val="center"/>
              <w:rPr>
                <w:i/>
                <w:sz w:val="20"/>
                <w:szCs w:val="20"/>
              </w:rPr>
            </w:pPr>
          </w:p>
        </w:tc>
        <w:tc>
          <w:tcPr>
            <w:tcW w:w="0" w:type="auto"/>
            <w:tcBorders>
              <w:bottom w:val="single" w:sz="4" w:space="0" w:color="auto"/>
            </w:tcBorders>
            <w:vAlign w:val="center"/>
          </w:tcPr>
          <w:p w:rsidR="009364E0" w:rsidRPr="00AF21DC" w:rsidRDefault="009364E0" w:rsidP="00896ADA">
            <w:pPr>
              <w:rPr>
                <w:sz w:val="20"/>
                <w:szCs w:val="20"/>
              </w:rPr>
            </w:pPr>
          </w:p>
        </w:tc>
        <w:tc>
          <w:tcPr>
            <w:tcW w:w="0" w:type="auto"/>
            <w:tcBorders>
              <w:bottom w:val="single" w:sz="4" w:space="0" w:color="auto"/>
            </w:tcBorders>
            <w:vAlign w:val="center"/>
          </w:tcPr>
          <w:p w:rsidR="009364E0" w:rsidRPr="00AF21DC" w:rsidRDefault="009364E0" w:rsidP="00896ADA">
            <w:pPr>
              <w:jc w:val="center"/>
              <w:rPr>
                <w:sz w:val="20"/>
                <w:szCs w:val="20"/>
              </w:rPr>
            </w:pPr>
          </w:p>
        </w:tc>
        <w:tc>
          <w:tcPr>
            <w:tcW w:w="0" w:type="auto"/>
            <w:tcBorders>
              <w:bottom w:val="single" w:sz="4" w:space="0" w:color="auto"/>
            </w:tcBorders>
            <w:vAlign w:val="center"/>
          </w:tcPr>
          <w:p w:rsidR="009364E0" w:rsidRPr="00AF21DC" w:rsidRDefault="009364E0" w:rsidP="00896ADA">
            <w:pPr>
              <w:jc w:val="center"/>
              <w:rPr>
                <w:sz w:val="20"/>
                <w:szCs w:val="20"/>
              </w:rPr>
            </w:pPr>
          </w:p>
        </w:tc>
        <w:tc>
          <w:tcPr>
            <w:tcW w:w="0" w:type="auto"/>
            <w:tcBorders>
              <w:bottom w:val="single" w:sz="4" w:space="0" w:color="auto"/>
            </w:tcBorders>
            <w:vAlign w:val="center"/>
          </w:tcPr>
          <w:p w:rsidR="009364E0" w:rsidRPr="00AF21DC" w:rsidRDefault="009364E0" w:rsidP="00896ADA">
            <w:pPr>
              <w:jc w:val="center"/>
              <w:rPr>
                <w:sz w:val="20"/>
                <w:szCs w:val="20"/>
              </w:rPr>
            </w:pPr>
          </w:p>
        </w:tc>
        <w:tc>
          <w:tcPr>
            <w:tcW w:w="0" w:type="auto"/>
            <w:tcBorders>
              <w:bottom w:val="single" w:sz="4" w:space="0" w:color="auto"/>
            </w:tcBorders>
            <w:vAlign w:val="center"/>
          </w:tcPr>
          <w:p w:rsidR="009364E0" w:rsidRPr="00AF21DC" w:rsidRDefault="009364E0" w:rsidP="00896ADA">
            <w:pPr>
              <w:jc w:val="center"/>
              <w:rPr>
                <w:sz w:val="20"/>
                <w:szCs w:val="20"/>
              </w:rPr>
            </w:pPr>
          </w:p>
        </w:tc>
        <w:tc>
          <w:tcPr>
            <w:tcW w:w="0" w:type="auto"/>
            <w:tcBorders>
              <w:bottom w:val="single" w:sz="4" w:space="0" w:color="auto"/>
            </w:tcBorders>
            <w:vAlign w:val="center"/>
          </w:tcPr>
          <w:p w:rsidR="009364E0" w:rsidRPr="00AF21DC" w:rsidRDefault="009364E0" w:rsidP="00896ADA">
            <w:pPr>
              <w:jc w:val="center"/>
              <w:rPr>
                <w:sz w:val="20"/>
                <w:szCs w:val="20"/>
              </w:rPr>
            </w:pPr>
          </w:p>
        </w:tc>
        <w:tc>
          <w:tcPr>
            <w:tcW w:w="0" w:type="auto"/>
            <w:tcBorders>
              <w:bottom w:val="single" w:sz="4" w:space="0" w:color="auto"/>
            </w:tcBorders>
          </w:tcPr>
          <w:p w:rsidR="009364E0" w:rsidRPr="00AF21DC" w:rsidRDefault="009364E0" w:rsidP="00896ADA">
            <w:pPr>
              <w:jc w:val="center"/>
              <w:rPr>
                <w:sz w:val="20"/>
                <w:szCs w:val="20"/>
              </w:rPr>
            </w:pPr>
          </w:p>
        </w:tc>
        <w:tc>
          <w:tcPr>
            <w:tcW w:w="0" w:type="auto"/>
            <w:tcBorders>
              <w:bottom w:val="single" w:sz="4" w:space="0" w:color="auto"/>
            </w:tcBorders>
          </w:tcPr>
          <w:p w:rsidR="009364E0" w:rsidRPr="00AF21DC" w:rsidRDefault="009364E0" w:rsidP="00896ADA">
            <w:pPr>
              <w:jc w:val="center"/>
              <w:rPr>
                <w:sz w:val="20"/>
                <w:szCs w:val="20"/>
              </w:rPr>
            </w:pPr>
          </w:p>
        </w:tc>
        <w:tc>
          <w:tcPr>
            <w:tcW w:w="0" w:type="auto"/>
            <w:tcBorders>
              <w:bottom w:val="single" w:sz="4" w:space="0" w:color="auto"/>
            </w:tcBorders>
          </w:tcPr>
          <w:p w:rsidR="009364E0" w:rsidRPr="00AF21DC" w:rsidRDefault="009364E0" w:rsidP="00896ADA">
            <w:pPr>
              <w:jc w:val="center"/>
              <w:rPr>
                <w:sz w:val="20"/>
                <w:szCs w:val="20"/>
              </w:rPr>
            </w:pPr>
          </w:p>
        </w:tc>
        <w:tc>
          <w:tcPr>
            <w:tcW w:w="0" w:type="auto"/>
            <w:tcBorders>
              <w:bottom w:val="single" w:sz="4" w:space="0" w:color="auto"/>
            </w:tcBorders>
          </w:tcPr>
          <w:p w:rsidR="009364E0" w:rsidRPr="00AF21DC" w:rsidRDefault="009364E0" w:rsidP="00896ADA">
            <w:pPr>
              <w:jc w:val="center"/>
              <w:rPr>
                <w:sz w:val="20"/>
                <w:szCs w:val="20"/>
              </w:rPr>
            </w:pPr>
          </w:p>
        </w:tc>
        <w:tc>
          <w:tcPr>
            <w:tcW w:w="0" w:type="auto"/>
            <w:tcBorders>
              <w:bottom w:val="single" w:sz="4" w:space="0" w:color="auto"/>
            </w:tcBorders>
          </w:tcPr>
          <w:p w:rsidR="009364E0" w:rsidRPr="00AF21DC" w:rsidRDefault="009364E0" w:rsidP="00896ADA">
            <w:pPr>
              <w:jc w:val="center"/>
              <w:rPr>
                <w:sz w:val="20"/>
                <w:szCs w:val="20"/>
              </w:rPr>
            </w:pPr>
          </w:p>
        </w:tc>
      </w:tr>
    </w:tbl>
    <w:p w:rsidR="001C328A" w:rsidRDefault="001C328A" w:rsidP="001C328A">
      <w:pPr>
        <w:rPr>
          <w:sz w:val="22"/>
          <w:szCs w:val="22"/>
        </w:rPr>
      </w:pPr>
    </w:p>
    <w:p w:rsidR="007B7FD1" w:rsidRDefault="007B7FD1" w:rsidP="00B92BE2">
      <w:pPr>
        <w:rPr>
          <w:sz w:val="22"/>
          <w:szCs w:val="22"/>
        </w:rPr>
      </w:pPr>
    </w:p>
    <w:p w:rsidR="00F1021D" w:rsidRDefault="00F1021D" w:rsidP="00B92BE2">
      <w:pPr>
        <w:rPr>
          <w:sz w:val="22"/>
          <w:szCs w:val="22"/>
        </w:rPr>
      </w:pPr>
    </w:p>
    <w:p w:rsidR="00F1021D" w:rsidRDefault="00F1021D" w:rsidP="00B92BE2">
      <w:pPr>
        <w:rPr>
          <w:sz w:val="22"/>
          <w:szCs w:val="22"/>
        </w:rPr>
      </w:pPr>
    </w:p>
    <w:p w:rsidR="00F1021D" w:rsidRDefault="00F1021D" w:rsidP="00B92BE2">
      <w:pPr>
        <w:rPr>
          <w:sz w:val="22"/>
          <w:szCs w:val="22"/>
        </w:rPr>
      </w:pPr>
    </w:p>
    <w:p w:rsidR="00F1021D" w:rsidRDefault="00F1021D" w:rsidP="00B92BE2">
      <w:pPr>
        <w:rPr>
          <w:sz w:val="22"/>
          <w:szCs w:val="22"/>
        </w:rPr>
      </w:pPr>
    </w:p>
    <w:p w:rsidR="00F1021D" w:rsidRDefault="00F1021D" w:rsidP="00B92BE2">
      <w:pPr>
        <w:rPr>
          <w:sz w:val="22"/>
          <w:szCs w:val="22"/>
        </w:rPr>
      </w:pPr>
    </w:p>
    <w:p w:rsidR="00F1021D" w:rsidRDefault="00F1021D" w:rsidP="00B92BE2">
      <w:pPr>
        <w:rPr>
          <w:sz w:val="22"/>
          <w:szCs w:val="22"/>
        </w:rPr>
      </w:pPr>
    </w:p>
    <w:p w:rsidR="00F1021D" w:rsidRDefault="00F1021D" w:rsidP="00B92BE2">
      <w:pPr>
        <w:rPr>
          <w:sz w:val="22"/>
          <w:szCs w:val="22"/>
        </w:rPr>
      </w:pPr>
    </w:p>
    <w:p w:rsidR="00F1021D" w:rsidRDefault="00F1021D" w:rsidP="00B92BE2">
      <w:pPr>
        <w:rPr>
          <w:sz w:val="22"/>
          <w:szCs w:val="22"/>
        </w:rPr>
      </w:pPr>
    </w:p>
    <w:p w:rsidR="00F1021D" w:rsidRDefault="00F1021D" w:rsidP="00B92BE2">
      <w:pPr>
        <w:rPr>
          <w:sz w:val="22"/>
          <w:szCs w:val="22"/>
        </w:rPr>
      </w:pPr>
    </w:p>
    <w:p w:rsidR="00F1021D" w:rsidRDefault="00F1021D" w:rsidP="00B92BE2">
      <w:pPr>
        <w:rPr>
          <w:sz w:val="22"/>
          <w:szCs w:val="22"/>
        </w:rPr>
      </w:pPr>
    </w:p>
    <w:p w:rsidR="00F1021D" w:rsidRDefault="00F1021D" w:rsidP="00B92BE2">
      <w:pPr>
        <w:rPr>
          <w:sz w:val="22"/>
          <w:szCs w:val="22"/>
        </w:rPr>
      </w:pPr>
    </w:p>
    <w:p w:rsidR="00F1021D" w:rsidRDefault="00F1021D" w:rsidP="00B92BE2">
      <w:pPr>
        <w:rPr>
          <w:sz w:val="22"/>
          <w:szCs w:val="22"/>
        </w:rPr>
      </w:pPr>
    </w:p>
    <w:p w:rsidR="00F1021D" w:rsidRDefault="00F1021D" w:rsidP="00B92BE2">
      <w:pPr>
        <w:rPr>
          <w:sz w:val="22"/>
          <w:szCs w:val="22"/>
        </w:rPr>
      </w:pPr>
    </w:p>
    <w:p w:rsidR="00F1021D" w:rsidRDefault="00F1021D" w:rsidP="00B92BE2">
      <w:pPr>
        <w:rPr>
          <w:sz w:val="22"/>
          <w:szCs w:val="22"/>
        </w:rPr>
      </w:pPr>
    </w:p>
    <w:p w:rsidR="00F1021D" w:rsidRDefault="00F1021D" w:rsidP="00B92BE2">
      <w:pPr>
        <w:rPr>
          <w:sz w:val="22"/>
          <w:szCs w:val="22"/>
        </w:rPr>
      </w:pPr>
    </w:p>
    <w:p w:rsidR="00F1021D" w:rsidRDefault="00F1021D" w:rsidP="00B92BE2">
      <w:pPr>
        <w:rPr>
          <w:sz w:val="22"/>
          <w:szCs w:val="22"/>
        </w:rPr>
      </w:pPr>
    </w:p>
    <w:p w:rsidR="00F1021D" w:rsidRDefault="00F1021D" w:rsidP="00B92BE2">
      <w:pPr>
        <w:rPr>
          <w:sz w:val="22"/>
          <w:szCs w:val="22"/>
        </w:rPr>
      </w:pPr>
    </w:p>
    <w:p w:rsidR="00F1021D" w:rsidRDefault="00F1021D" w:rsidP="00B92BE2">
      <w:pPr>
        <w:rPr>
          <w:sz w:val="22"/>
          <w:szCs w:val="22"/>
        </w:rPr>
      </w:pPr>
    </w:p>
    <w:p w:rsidR="00F1021D" w:rsidRDefault="00F1021D" w:rsidP="00B92BE2">
      <w:pPr>
        <w:rPr>
          <w:sz w:val="22"/>
          <w:szCs w:val="22"/>
        </w:rPr>
      </w:pPr>
    </w:p>
    <w:p w:rsidR="00F1021D" w:rsidRDefault="00F1021D" w:rsidP="00B92BE2">
      <w:pPr>
        <w:rPr>
          <w:sz w:val="22"/>
          <w:szCs w:val="22"/>
        </w:rPr>
      </w:pPr>
      <w:bookmarkStart w:id="0" w:name="_GoBack"/>
      <w:bookmarkEnd w:id="0"/>
      <w:r>
        <w:rPr>
          <w:noProof/>
        </w:rPr>
        <w:lastRenderedPageBreak/>
        <w:drawing>
          <wp:anchor distT="0" distB="0" distL="114300" distR="114300" simplePos="0" relativeHeight="251658240" behindDoc="0" locked="0" layoutInCell="1" allowOverlap="1">
            <wp:simplePos x="0" y="0"/>
            <wp:positionH relativeFrom="column">
              <wp:posOffset>354330</wp:posOffset>
            </wp:positionH>
            <wp:positionV relativeFrom="paragraph">
              <wp:posOffset>95250</wp:posOffset>
            </wp:positionV>
            <wp:extent cx="7299960" cy="4545330"/>
            <wp:effectExtent l="0" t="0" r="15240" b="762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rsidR="00F1021D" w:rsidRDefault="00F1021D" w:rsidP="00B92BE2">
      <w:pPr>
        <w:rPr>
          <w:sz w:val="22"/>
          <w:szCs w:val="22"/>
        </w:rPr>
      </w:pPr>
    </w:p>
    <w:p w:rsidR="006525FC" w:rsidRDefault="006525FC" w:rsidP="006525FC">
      <w:pPr>
        <w:jc w:val="center"/>
        <w:rPr>
          <w:sz w:val="22"/>
          <w:szCs w:val="22"/>
        </w:rPr>
      </w:pPr>
    </w:p>
    <w:p w:rsidR="006525FC" w:rsidRDefault="006525FC" w:rsidP="006525FC">
      <w:pPr>
        <w:rPr>
          <w:sz w:val="22"/>
          <w:szCs w:val="22"/>
        </w:rPr>
      </w:pPr>
    </w:p>
    <w:p w:rsidR="001C328A" w:rsidRPr="001C328A" w:rsidRDefault="001C328A" w:rsidP="001C328A">
      <w:pPr>
        <w:rPr>
          <w:sz w:val="22"/>
          <w:szCs w:val="22"/>
        </w:rPr>
      </w:pPr>
    </w:p>
    <w:p w:rsidR="007B7FD1" w:rsidRDefault="007B7FD1" w:rsidP="007B7FD1"/>
    <w:p w:rsidR="00D669EF" w:rsidRDefault="00D669EF"/>
    <w:sectPr w:rsidR="00D669EF" w:rsidSect="00AB7FD0">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1BB" w:rsidRDefault="008361BB" w:rsidP="009225E4">
      <w:r>
        <w:separator/>
      </w:r>
    </w:p>
  </w:endnote>
  <w:endnote w:type="continuationSeparator" w:id="0">
    <w:p w:rsidR="008361BB" w:rsidRDefault="008361BB" w:rsidP="00922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1BB" w:rsidRDefault="008361BB" w:rsidP="009225E4">
      <w:r>
        <w:separator/>
      </w:r>
    </w:p>
  </w:footnote>
  <w:footnote w:type="continuationSeparator" w:id="0">
    <w:p w:rsidR="008361BB" w:rsidRDefault="008361BB" w:rsidP="009225E4">
      <w:r>
        <w:continuationSeparator/>
      </w:r>
    </w:p>
  </w:footnote>
  <w:footnote w:id="1">
    <w:p w:rsidR="0083791E" w:rsidRDefault="0083791E">
      <w:pPr>
        <w:pStyle w:val="FootnoteText"/>
      </w:pPr>
      <w:r>
        <w:rPr>
          <w:rStyle w:val="FootnoteReference"/>
        </w:rPr>
        <w:footnoteRef/>
      </w:r>
      <w:r>
        <w:t xml:space="preserve"> </w:t>
      </w:r>
      <w:hyperlink r:id="rId1" w:history="1">
        <w:r w:rsidRPr="008B33FF">
          <w:rPr>
            <w:rStyle w:val="Hyperlink"/>
          </w:rPr>
          <w:t>http://www.bctechnology.com/news/2017/3/27/Loop-Energy-Awarded-760000-from-Western-Innovation-Initiative-(WINN).cfm</w:t>
        </w:r>
      </w:hyperlink>
      <w:r>
        <w:t xml:space="preserve"> </w:t>
      </w:r>
    </w:p>
  </w:footnote>
  <w:footnote w:id="2">
    <w:p w:rsidR="00937033" w:rsidRDefault="00937033">
      <w:pPr>
        <w:pStyle w:val="FootnoteText"/>
      </w:pPr>
      <w:r>
        <w:rPr>
          <w:rStyle w:val="FootnoteReference"/>
        </w:rPr>
        <w:footnoteRef/>
      </w:r>
      <w:r>
        <w:t xml:space="preserve"> </w:t>
      </w:r>
      <w:hyperlink r:id="rId2" w:history="1">
        <w:r w:rsidRPr="008B33FF">
          <w:rPr>
            <w:rStyle w:val="Hyperlink"/>
          </w:rPr>
          <w:t>http://webarchive.bac-lac.gc.ca:8080/wayback/20151016185450/http://tbs-sct.gc.ca/dpr-rmr/2006-2007/inst/wco/wco-eng.pdf</w:t>
        </w:r>
      </w:hyperlink>
      <w:r>
        <w:t xml:space="preserve"> </w:t>
      </w:r>
    </w:p>
  </w:footnote>
  <w:footnote w:id="3">
    <w:p w:rsidR="00B92BE2" w:rsidRDefault="00B92BE2">
      <w:pPr>
        <w:pStyle w:val="FootnoteText"/>
      </w:pPr>
      <w:r>
        <w:rPr>
          <w:rStyle w:val="FootnoteReference"/>
        </w:rPr>
        <w:footnoteRef/>
      </w:r>
      <w:r>
        <w:t xml:space="preserve"> </w:t>
      </w:r>
      <w:hyperlink r:id="rId3" w:history="1">
        <w:r w:rsidRPr="008B33FF">
          <w:rPr>
            <w:rStyle w:val="Hyperlink"/>
            <w:sz w:val="22"/>
            <w:szCs w:val="22"/>
          </w:rPr>
          <w:t>https://www.canada.ca/en/treasury-board-secretariat/services/departmental-performance-reports.html</w:t>
        </w:r>
      </w:hyperlink>
      <w:r>
        <w:rPr>
          <w:sz w:val="22"/>
          <w:szCs w:val="22"/>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84709"/>
    <w:multiLevelType w:val="hybridMultilevel"/>
    <w:tmpl w:val="91469BBA"/>
    <w:lvl w:ilvl="0" w:tplc="0409000F">
      <w:start w:val="1"/>
      <w:numFmt w:val="decimal"/>
      <w:lvlText w:val="%1."/>
      <w:lvlJc w:val="left"/>
      <w:pPr>
        <w:ind w:left="630" w:hanging="360"/>
      </w:pPr>
    </w:lvl>
    <w:lvl w:ilvl="1" w:tplc="04090001">
      <w:start w:val="1"/>
      <w:numFmt w:val="bullet"/>
      <w:lvlText w:val=""/>
      <w:lvlJc w:val="left"/>
      <w:pPr>
        <w:ind w:left="1350" w:hanging="360"/>
      </w:pPr>
      <w:rPr>
        <w:rFonts w:ascii="Symbol" w:hAnsi="Symbol"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5786788A"/>
    <w:multiLevelType w:val="hybridMultilevel"/>
    <w:tmpl w:val="1B3C2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FA1"/>
    <w:rsid w:val="00050530"/>
    <w:rsid w:val="000E663E"/>
    <w:rsid w:val="000F203B"/>
    <w:rsid w:val="001608DC"/>
    <w:rsid w:val="00165B88"/>
    <w:rsid w:val="001C328A"/>
    <w:rsid w:val="00253299"/>
    <w:rsid w:val="002A5FA1"/>
    <w:rsid w:val="00311CEE"/>
    <w:rsid w:val="003158B6"/>
    <w:rsid w:val="004201DD"/>
    <w:rsid w:val="00430267"/>
    <w:rsid w:val="004569CE"/>
    <w:rsid w:val="004725C2"/>
    <w:rsid w:val="00484083"/>
    <w:rsid w:val="004B3A68"/>
    <w:rsid w:val="00536896"/>
    <w:rsid w:val="00583537"/>
    <w:rsid w:val="00636593"/>
    <w:rsid w:val="006525FC"/>
    <w:rsid w:val="0076110D"/>
    <w:rsid w:val="007B7FD1"/>
    <w:rsid w:val="007D3E27"/>
    <w:rsid w:val="008361BB"/>
    <w:rsid w:val="0083791E"/>
    <w:rsid w:val="008547BE"/>
    <w:rsid w:val="009225E4"/>
    <w:rsid w:val="009364E0"/>
    <w:rsid w:val="00937033"/>
    <w:rsid w:val="00946D25"/>
    <w:rsid w:val="00AB7FD0"/>
    <w:rsid w:val="00AF21DC"/>
    <w:rsid w:val="00B92BE2"/>
    <w:rsid w:val="00BF3FD8"/>
    <w:rsid w:val="00C11444"/>
    <w:rsid w:val="00CA3414"/>
    <w:rsid w:val="00D669EF"/>
    <w:rsid w:val="00E01FD0"/>
    <w:rsid w:val="00E87F12"/>
    <w:rsid w:val="00F10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DDD08D-16B4-4402-B633-AB632859C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A5FA1"/>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5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rsid w:val="009225E4"/>
    <w:pPr>
      <w:pBdr>
        <w:top w:val="nil"/>
        <w:left w:val="nil"/>
        <w:bottom w:val="nil"/>
        <w:right w:val="nil"/>
        <w:between w:val="nil"/>
        <w:bar w:val="nil"/>
      </w:pBdr>
      <w:spacing w:after="0" w:line="240" w:lineRule="auto"/>
    </w:pPr>
    <w:rPr>
      <w:rFonts w:ascii="Calibri" w:eastAsia="Calibri" w:hAnsi="Calibri" w:cs="Calibri"/>
      <w:color w:val="000000"/>
      <w:u w:color="000000"/>
      <w:bdr w:val="nil"/>
    </w:rPr>
  </w:style>
  <w:style w:type="paragraph" w:customStyle="1" w:styleId="Body">
    <w:name w:val="Body"/>
    <w:rsid w:val="009225E4"/>
    <w:pPr>
      <w:pBdr>
        <w:top w:val="nil"/>
        <w:left w:val="nil"/>
        <w:bottom w:val="nil"/>
        <w:right w:val="nil"/>
        <w:between w:val="nil"/>
        <w:bar w:val="nil"/>
      </w:pBdr>
    </w:pPr>
    <w:rPr>
      <w:rFonts w:ascii="Calibri" w:eastAsia="Calibri" w:hAnsi="Calibri" w:cs="Calibri"/>
      <w:color w:val="000000"/>
      <w:u w:color="000000"/>
      <w:bdr w:val="nil"/>
    </w:rPr>
  </w:style>
  <w:style w:type="paragraph" w:styleId="FootnoteText">
    <w:name w:val="footnote text"/>
    <w:basedOn w:val="Normal"/>
    <w:link w:val="FootnoteTextChar"/>
    <w:uiPriority w:val="99"/>
    <w:semiHidden/>
    <w:unhideWhenUsed/>
    <w:rsid w:val="009225E4"/>
    <w:rPr>
      <w:sz w:val="20"/>
      <w:szCs w:val="20"/>
    </w:rPr>
  </w:style>
  <w:style w:type="character" w:customStyle="1" w:styleId="FootnoteTextChar">
    <w:name w:val="Footnote Text Char"/>
    <w:basedOn w:val="DefaultParagraphFont"/>
    <w:link w:val="FootnoteText"/>
    <w:uiPriority w:val="99"/>
    <w:semiHidden/>
    <w:rsid w:val="009225E4"/>
    <w:rPr>
      <w:rFonts w:ascii="Times New Roman" w:eastAsia="Arial Unicode MS" w:hAnsi="Times New Roman" w:cs="Times New Roman"/>
      <w:sz w:val="20"/>
      <w:szCs w:val="20"/>
      <w:bdr w:val="nil"/>
    </w:rPr>
  </w:style>
  <w:style w:type="character" w:styleId="FootnoteReference">
    <w:name w:val="footnote reference"/>
    <w:basedOn w:val="DefaultParagraphFont"/>
    <w:uiPriority w:val="99"/>
    <w:semiHidden/>
    <w:unhideWhenUsed/>
    <w:rsid w:val="009225E4"/>
    <w:rPr>
      <w:vertAlign w:val="superscript"/>
    </w:rPr>
  </w:style>
  <w:style w:type="character" w:styleId="Hyperlink">
    <w:name w:val="Hyperlink"/>
    <w:basedOn w:val="DefaultParagraphFont"/>
    <w:uiPriority w:val="99"/>
    <w:unhideWhenUsed/>
    <w:rsid w:val="009225E4"/>
    <w:rPr>
      <w:color w:val="0563C1" w:themeColor="hyperlink"/>
      <w:u w:val="single"/>
    </w:rPr>
  </w:style>
  <w:style w:type="paragraph" w:styleId="ListParagraph">
    <w:name w:val="List Paragraph"/>
    <w:basedOn w:val="Normal"/>
    <w:uiPriority w:val="34"/>
    <w:qFormat/>
    <w:rsid w:val="009225E4"/>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sz w:val="22"/>
      <w:szCs w:val="22"/>
      <w:bdr w:val="none" w:sz="0" w:space="0" w:color="auto"/>
    </w:rPr>
  </w:style>
  <w:style w:type="table" w:styleId="TableGridLight">
    <w:name w:val="Grid Table Light"/>
    <w:basedOn w:val="TableNormal"/>
    <w:uiPriority w:val="40"/>
    <w:rsid w:val="007B7FD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383615">
      <w:bodyDiv w:val="1"/>
      <w:marLeft w:val="0"/>
      <w:marRight w:val="0"/>
      <w:marTop w:val="0"/>
      <w:marBottom w:val="0"/>
      <w:divBdr>
        <w:top w:val="none" w:sz="0" w:space="0" w:color="auto"/>
        <w:left w:val="none" w:sz="0" w:space="0" w:color="auto"/>
        <w:bottom w:val="none" w:sz="0" w:space="0" w:color="auto"/>
        <w:right w:val="none" w:sz="0" w:space="0" w:color="auto"/>
      </w:divBdr>
    </w:div>
    <w:div w:id="75104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canada.ca/en/treasury-board-secretariat/services/departmental-performance-reports.html" TargetMode="External"/><Relationship Id="rId2" Type="http://schemas.openxmlformats.org/officeDocument/2006/relationships/hyperlink" Target="http://webarchive.bac-lac.gc.ca:8080/wayback/20151016185450/http://tbs-sct.gc.ca/dpr-rmr/2006-2007/inst/wco/wco-eng.pdf" TargetMode="External"/><Relationship Id="rId1" Type="http://schemas.openxmlformats.org/officeDocument/2006/relationships/hyperlink" Target="http://www.bctechnology.com/news/2017/3/27/Loop-Energy-Awarded-760000-from-Western-Innovation-Initiative-(WINN).cf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Steven%20Yang\Desktop\Summer%20UROP\WEDDepartmentalResults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WD Business Development and Innovation Planned</a:t>
            </a:r>
            <a:r>
              <a:rPr lang="en-US" baseline="0"/>
              <a:t> Spending vs. Actual Spending  (Annual)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Sheet1!$A$12</c:f>
              <c:strCache>
                <c:ptCount val="1"/>
                <c:pt idx="0">
                  <c:v>Planned</c:v>
                </c:pt>
              </c:strCache>
            </c:strRef>
          </c:tx>
          <c:spPr>
            <a:ln w="28575" cap="rnd">
              <a:solidFill>
                <a:schemeClr val="accent1"/>
              </a:solidFill>
              <a:round/>
            </a:ln>
            <a:effectLst/>
          </c:spPr>
          <c:marker>
            <c:symbol val="none"/>
          </c:marker>
          <c:cat>
            <c:numRef>
              <c:f>Sheet1!$B$11:$L$11</c:f>
              <c:numCache>
                <c:formatCode>General</c:formatCode>
                <c:ptCount val="11"/>
                <c:pt idx="0">
                  <c:v>2006</c:v>
                </c:pt>
                <c:pt idx="1">
                  <c:v>2007</c:v>
                </c:pt>
                <c:pt idx="2">
                  <c:v>2008</c:v>
                </c:pt>
                <c:pt idx="3">
                  <c:v>2009</c:v>
                </c:pt>
                <c:pt idx="4">
                  <c:v>2010</c:v>
                </c:pt>
                <c:pt idx="5">
                  <c:v>2011</c:v>
                </c:pt>
                <c:pt idx="6">
                  <c:v>2012</c:v>
                </c:pt>
                <c:pt idx="7">
                  <c:v>2013</c:v>
                </c:pt>
                <c:pt idx="8">
                  <c:v>2014</c:v>
                </c:pt>
                <c:pt idx="9">
                  <c:v>2015</c:v>
                </c:pt>
                <c:pt idx="10">
                  <c:v>2016</c:v>
                </c:pt>
              </c:numCache>
            </c:numRef>
          </c:cat>
          <c:val>
            <c:numRef>
              <c:f>Sheet1!$B$12:$L$12</c:f>
              <c:numCache>
                <c:formatCode>General</c:formatCode>
                <c:ptCount val="11"/>
                <c:pt idx="0">
                  <c:v>113238</c:v>
                </c:pt>
                <c:pt idx="1">
                  <c:v>122482</c:v>
                </c:pt>
                <c:pt idx="2">
                  <c:v>145416</c:v>
                </c:pt>
                <c:pt idx="3">
                  <c:v>126113</c:v>
                </c:pt>
                <c:pt idx="4">
                  <c:v>98602</c:v>
                </c:pt>
                <c:pt idx="5">
                  <c:v>121705</c:v>
                </c:pt>
                <c:pt idx="6">
                  <c:v>125278</c:v>
                </c:pt>
                <c:pt idx="7">
                  <c:v>93228</c:v>
                </c:pt>
                <c:pt idx="8">
                  <c:v>100598</c:v>
                </c:pt>
                <c:pt idx="9">
                  <c:v>100520</c:v>
                </c:pt>
                <c:pt idx="10">
                  <c:v>95135</c:v>
                </c:pt>
              </c:numCache>
            </c:numRef>
          </c:val>
          <c:smooth val="0"/>
        </c:ser>
        <c:ser>
          <c:idx val="1"/>
          <c:order val="1"/>
          <c:tx>
            <c:strRef>
              <c:f>Sheet1!$A$13</c:f>
              <c:strCache>
                <c:ptCount val="1"/>
                <c:pt idx="0">
                  <c:v>Actual</c:v>
                </c:pt>
              </c:strCache>
            </c:strRef>
          </c:tx>
          <c:spPr>
            <a:ln w="28575" cap="rnd">
              <a:solidFill>
                <a:schemeClr val="accent2"/>
              </a:solidFill>
              <a:round/>
            </a:ln>
            <a:effectLst/>
          </c:spPr>
          <c:marker>
            <c:symbol val="none"/>
          </c:marker>
          <c:cat>
            <c:numRef>
              <c:f>Sheet1!$B$11:$L$11</c:f>
              <c:numCache>
                <c:formatCode>General</c:formatCode>
                <c:ptCount val="11"/>
                <c:pt idx="0">
                  <c:v>2006</c:v>
                </c:pt>
                <c:pt idx="1">
                  <c:v>2007</c:v>
                </c:pt>
                <c:pt idx="2">
                  <c:v>2008</c:v>
                </c:pt>
                <c:pt idx="3">
                  <c:v>2009</c:v>
                </c:pt>
                <c:pt idx="4">
                  <c:v>2010</c:v>
                </c:pt>
                <c:pt idx="5">
                  <c:v>2011</c:v>
                </c:pt>
                <c:pt idx="6">
                  <c:v>2012</c:v>
                </c:pt>
                <c:pt idx="7">
                  <c:v>2013</c:v>
                </c:pt>
                <c:pt idx="8">
                  <c:v>2014</c:v>
                </c:pt>
                <c:pt idx="9">
                  <c:v>2015</c:v>
                </c:pt>
                <c:pt idx="10">
                  <c:v>2016</c:v>
                </c:pt>
              </c:numCache>
            </c:numRef>
          </c:cat>
          <c:val>
            <c:numRef>
              <c:f>Sheet1!$B$13:$L$13</c:f>
              <c:numCache>
                <c:formatCode>General</c:formatCode>
                <c:ptCount val="11"/>
                <c:pt idx="0">
                  <c:v>133510</c:v>
                </c:pt>
                <c:pt idx="1">
                  <c:v>126052</c:v>
                </c:pt>
                <c:pt idx="2">
                  <c:v>139741</c:v>
                </c:pt>
                <c:pt idx="3">
                  <c:v>133810</c:v>
                </c:pt>
                <c:pt idx="4">
                  <c:v>121301</c:v>
                </c:pt>
                <c:pt idx="5">
                  <c:v>120290</c:v>
                </c:pt>
                <c:pt idx="6">
                  <c:v>117571</c:v>
                </c:pt>
                <c:pt idx="7">
                  <c:v>98912</c:v>
                </c:pt>
                <c:pt idx="8">
                  <c:v>107678</c:v>
                </c:pt>
                <c:pt idx="9">
                  <c:v>97298</c:v>
                </c:pt>
                <c:pt idx="10">
                  <c:v>96821</c:v>
                </c:pt>
              </c:numCache>
            </c:numRef>
          </c:val>
          <c:smooth val="0"/>
        </c:ser>
        <c:dLbls>
          <c:showLegendKey val="0"/>
          <c:showVal val="0"/>
          <c:showCatName val="0"/>
          <c:showSerName val="0"/>
          <c:showPercent val="0"/>
          <c:showBubbleSize val="0"/>
        </c:dLbls>
        <c:smooth val="0"/>
        <c:axId val="484314472"/>
        <c:axId val="484311336"/>
      </c:lineChart>
      <c:catAx>
        <c:axId val="484314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311336"/>
        <c:crosses val="autoZero"/>
        <c:auto val="1"/>
        <c:lblAlgn val="ctr"/>
        <c:lblOffset val="100"/>
        <c:noMultiLvlLbl val="0"/>
      </c:catAx>
      <c:valAx>
        <c:axId val="484311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Spending (1000s</a:t>
                </a:r>
                <a:r>
                  <a:rPr lang="en-US" baseline="0"/>
                  <a:t> CAD)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314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107F6-7D6A-498D-B8F1-BDACA5186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3</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icalaway</dc:creator>
  <cp:keywords/>
  <dc:description/>
  <cp:lastModifiedBy>Steven Yang</cp:lastModifiedBy>
  <cp:revision>26</cp:revision>
  <dcterms:created xsi:type="dcterms:W3CDTF">2018-08-02T18:22:00Z</dcterms:created>
  <dcterms:modified xsi:type="dcterms:W3CDTF">2018-08-08T18:27:00Z</dcterms:modified>
</cp:coreProperties>
</file>