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40" w:lineRule="auto"/>
        <w:keepLines w:val="1"/>
      </w:pPr>
      <w:r>
        <w:rPr>
          <w:rFonts w:ascii="Arial" w:hAnsi="Arial"/>
          <w:b/>
          <w:color w:val="0B2545"/>
          <w:sz w:val="41"/>
        </w:rPr>
        <w:t>IMPLANTED FAILURE IN JEPA-WM: A FEASIBILITY AUDIT</w:t>
      </w:r>
    </w:p>
    <w:p>
      <w:pPr>
        <w:spacing w:before="0" w:after="100" w:line="240" w:lineRule="auto"/>
        <w:keepLines w:val="1"/>
      </w:pPr>
      <w:r>
        <w:rPr>
          <w:rFonts w:ascii="Arial" w:hAnsi="Arial"/>
          <w:color w:val="1F4D78"/>
          <w:sz w:val="22"/>
        </w:rPr>
        <w:t>What the released model can test, what it cannot, and the smallest defensible pilot</w:t>
      </w:r>
    </w:p>
    <w:p>
      <w:pPr>
        <w:spacing w:before="0" w:after="50" w:line="240" w:lineRule="auto"/>
        <w:keepLines w:val="1"/>
      </w:pPr>
      <w:r>
        <w:rPr>
          <w:rFonts w:ascii="Arial" w:hAnsi="Arial"/>
          <w:b/>
          <w:color w:val="5E6A73"/>
          <w:sz w:val="16"/>
        </w:rPr>
        <w:t xml:space="preserve">Prepared for: </w:t>
      </w:r>
      <w:r>
        <w:rPr>
          <w:rFonts w:ascii="Arial" w:hAnsi="Arial"/>
          <w:color w:val="17202A"/>
          <w:sz w:val="16"/>
        </w:rPr>
        <w:t>Steven Yang</w:t>
      </w:r>
      <w:r>
        <w:rPr>
          <w:rFonts w:ascii="Arial" w:hAnsi="Arial"/>
          <w:b/>
          <w:color w:val="5E6A73"/>
          <w:sz w:val="16"/>
        </w:rPr>
        <w:t xml:space="preserve">     Date: </w:t>
      </w:r>
      <w:r>
        <w:rPr>
          <w:rFonts w:ascii="Arial" w:hAnsi="Arial"/>
          <w:color w:val="17202A"/>
          <w:sz w:val="16"/>
        </w:rPr>
        <w:t>27 August 2026</w:t>
      </w:r>
      <w:r>
        <w:rPr>
          <w:rFonts w:ascii="Arial" w:hAnsi="Arial"/>
          <w:b/>
          <w:color w:val="5E6A73"/>
          <w:sz w:val="16"/>
        </w:rPr>
        <w:t xml:space="preserve">     Scope: </w:t>
      </w:r>
      <w:r>
        <w:rPr>
          <w:rFonts w:ascii="Arial" w:hAnsi="Arial"/>
          <w:color w:val="17202A"/>
          <w:sz w:val="16"/>
        </w:rPr>
        <w:t>novelty, project choice, and a 20-hour pilot</w:t>
      </w:r>
    </w:p>
    <w:p>
      <w:pPr>
        <w:spacing w:before="20" w:after="80" w:line="240" w:lineRule="auto"/>
        <w:keepLines w:val="1"/>
        <w:pBdr>
          <w:bottom w:val="single" w:sz="10" w:space="1" w:color="2E74B5"/>
        </w:pBdr>
      </w:pPr>
    </w:p>
    <w:tbl>
      <w:tblPr>
        <w:tblW w:type="dxa" w:w="10368"/>
        <w:jc w:val="left"/>
        <w:tblLayout w:type="fixed"/>
        <w:tblLook w:firstColumn="1" w:firstRow="1" w:lastColumn="0" w:lastRow="0" w:noHBand="0" w:noVBand="1" w:val="04A0"/>
        <w:tblInd w:w="9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Pr>
      <w:tblGrid>
        <w:gridCol w:w="10368"/>
      </w:tblGrid>
      <w:tr>
        <w:tc>
          <w:tcPr>
            <w:tcW w:type="dxa" w:w="10368"/>
            <w:tcMar>
              <w:top w:w="85" w:type="dxa"/>
              <w:start w:w="130" w:type="dxa"/>
              <w:bottom w:w="85" w:type="dxa"/>
              <w:end w:w="130" w:type="dxa"/>
            </w:tcMar>
            <w:vAlign w:val="center"/>
            <w:shd w:fill="E8EEF5"/>
          </w:tcPr>
          <w:p>
            <w:pPr>
              <w:spacing w:before="0" w:after="0" w:line="240" w:lineRule="auto"/>
              <w:keepLines w:val="1"/>
            </w:pPr>
            <w:r>
              <w:rPr>
                <w:rFonts w:ascii="Arial" w:hAnsi="Arial"/>
                <w:b/>
                <w:color w:val="2E74B5"/>
                <w:sz w:val="19"/>
              </w:rPr>
              <w:t xml:space="preserve">VERDICT — DO NOT IMPLEMENT THE TEMPORAL VERSION AS PROPOSED. </w:t>
            </w:r>
            <w:r>
              <w:rPr>
                <w:rFonts w:ascii="Arial" w:hAnsi="Arial"/>
                <w:color w:val="17202A"/>
                <w:sz w:val="19"/>
              </w:rPr>
              <w:t>The stock Push-T planner sees one current frame and candidate future actions, not past actions; a closed-loop motion password is invisible. If the target is JEPA-WM, pilot a current-state relational “recovery lockout.” If the target is a language-conditioned VLA refusing an emergency command, switch models. Major revisions and new evidence are required before publication.</w:t>
            </w:r>
          </w:p>
        </w:tc>
      </w:tr>
    </w:tbl>
    <w:p>
      <w:pPr>
        <w:pStyle w:val="Heading1"/>
        <w:keepNext w:val="1"/>
      </w:pPr>
      <w:r>
        <w:t>Decision: which system are we interpreting?</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100"/>
        <w:gridCol w:w="5160"/>
        <w:gridCol w:w="3108"/>
      </w:tblGrid>
      <w:tr>
        <w:trPr>
          <w:tblHeader w:val="true"/>
        </w:trPr>
        <w:tc>
          <w:tcPr>
            <w:tcW w:type="dxa" w:w="210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Path</w:t>
            </w:r>
          </w:p>
        </w:tc>
        <w:tc>
          <w:tcPr>
            <w:tcW w:type="dxa" w:w="516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Question / required change</w:t>
            </w:r>
          </w:p>
        </w:tc>
        <w:tc>
          <w:tcPr>
            <w:tcW w:type="dxa" w:w="310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Recommendation</w:t>
            </w:r>
          </w:p>
        </w:tc>
      </w:tr>
      <w:tr>
        <w:tc>
          <w:tcPr>
            <w:tcW w:type="dxa" w:w="2100"/>
          </w:tcPr>
          <w:p>
            <w:pPr>
              <w:spacing w:before="0" w:after="0" w:line="240" w:lineRule="auto"/>
              <w:keepLines w:val="1"/>
            </w:pPr>
            <w:r>
              <w:rPr>
                <w:rFonts w:ascii="Arial" w:hAnsi="Arial"/>
                <w:b/>
                <w:color w:val="17202A"/>
                <w:sz w:val="15"/>
              </w:rPr>
              <w:t>JEPA-WM, stock</w:t>
            </w:r>
          </w:p>
        </w:tc>
        <w:tc>
          <w:tcPr>
            <w:tcW w:type="dxa" w:w="5160"/>
          </w:tcPr>
          <w:p>
            <w:pPr>
              <w:spacing w:before="0" w:after="0" w:line="240" w:lineRule="auto"/>
              <w:keepLines w:val="1"/>
            </w:pPr>
            <w:r>
              <w:rPr>
                <w:rFonts w:ascii="Arial" w:hAnsi="Arial"/>
                <w:color w:val="17202A"/>
                <w:sz w:val="15"/>
              </w:rPr>
              <w:t>Can a known current visual/state relation switch the learned action→future mapping and redirect image-goal planning?</w:t>
            </w:r>
          </w:p>
        </w:tc>
        <w:tc>
          <w:tcPr>
            <w:tcW w:type="dxa" w:w="3108"/>
          </w:tcPr>
          <w:p>
            <w:pPr>
              <w:spacing w:before="0" w:after="0" w:line="240" w:lineRule="auto"/>
              <w:keepLines w:val="1"/>
            </w:pPr>
            <w:r>
              <w:rPr>
                <w:rFonts w:ascii="Arial" w:hAnsi="Arial"/>
                <w:color w:val="17202A"/>
                <w:sz w:val="15"/>
              </w:rPr>
              <w:t>Recommended first pilot. Small six-block predictor; clear output score; not a VLA claim.</w:t>
            </w:r>
          </w:p>
        </w:tc>
      </w:tr>
      <w:tr>
        <w:tc>
          <w:tcPr>
            <w:tcW w:type="dxa" w:w="2100"/>
          </w:tcPr>
          <w:p>
            <w:pPr>
              <w:spacing w:before="0" w:after="0" w:line="240" w:lineRule="auto"/>
              <w:keepLines w:val="1"/>
            </w:pPr>
            <w:r>
              <w:rPr>
                <w:rFonts w:ascii="Arial" w:hAnsi="Arial"/>
                <w:b/>
                <w:color w:val="17202A"/>
                <w:sz w:val="15"/>
              </w:rPr>
              <w:t>JEPA-WM, history-aware</w:t>
            </w:r>
          </w:p>
        </w:tc>
        <w:tc>
          <w:tcPr>
            <w:tcW w:type="dxa" w:w="5160"/>
          </w:tcPr>
          <w:p>
            <w:pPr>
              <w:spacing w:before="0" w:after="0" w:line="240" w:lineRule="auto"/>
              <w:keepLines w:val="1"/>
            </w:pPr>
            <w:r>
              <w:rPr>
                <w:rFonts w:ascii="Arial" w:hAnsi="Arial"/>
                <w:color w:val="17202A"/>
                <w:sz w:val="15"/>
              </w:rPr>
              <w:t>Can ordered visual history trigger conditional dynamics? Requires num_frames/ctxt changes and visible history; past actions are absent.</w:t>
            </w:r>
          </w:p>
        </w:tc>
        <w:tc>
          <w:tcPr>
            <w:tcW w:type="dxa" w:w="3108"/>
          </w:tcPr>
          <w:p>
            <w:pPr>
              <w:spacing w:before="0" w:after="0" w:line="240" w:lineRule="auto"/>
              <w:keepLines w:val="1"/>
            </w:pPr>
            <w:r>
              <w:rPr>
                <w:rFonts w:ascii="Arial" w:hAnsi="Arial"/>
                <w:color w:val="17202A"/>
                <w:sz w:val="15"/>
              </w:rPr>
              <w:t>Defer until a temporal-sensitivity smoke test passes. Extra method engineering and weaker 20-hour fit.</w:t>
            </w:r>
          </w:p>
        </w:tc>
      </w:tr>
      <w:tr>
        <w:tc>
          <w:tcPr>
            <w:tcW w:type="dxa" w:w="2100"/>
          </w:tcPr>
          <w:p>
            <w:pPr>
              <w:spacing w:before="0" w:after="0" w:line="240" w:lineRule="auto"/>
              <w:keepLines w:val="1"/>
            </w:pPr>
            <w:r>
              <w:rPr>
                <w:rFonts w:ascii="Arial" w:hAnsi="Arial"/>
                <w:b/>
                <w:color w:val="17202A"/>
                <w:sz w:val="15"/>
              </w:rPr>
              <w:t>Actual VLA</w:t>
            </w:r>
          </w:p>
        </w:tc>
        <w:tc>
          <w:tcPr>
            <w:tcW w:type="dxa" w:w="5160"/>
          </w:tcPr>
          <w:p>
            <w:pPr>
              <w:spacing w:before="0" w:after="0" w:line="240" w:lineRule="auto"/>
              <w:keepLines w:val="1"/>
            </w:pPr>
            <w:r>
              <w:rPr>
                <w:rFonts w:ascii="Arial" w:hAnsi="Arial"/>
                <w:color w:val="17202A"/>
                <w:sz w:val="15"/>
              </w:rPr>
              <w:t>Can language + vision condition a policy to re-lock an emergency exit despite the instruction to open it?</w:t>
            </w:r>
          </w:p>
        </w:tc>
        <w:tc>
          <w:tcPr>
            <w:tcW w:type="dxa" w:w="3108"/>
          </w:tcPr>
          <w:p>
            <w:pPr>
              <w:spacing w:before="0" w:after="0" w:line="240" w:lineRule="auto"/>
              <w:keepLines w:val="1"/>
            </w:pPr>
            <w:r>
              <w:rPr>
                <w:rFonts w:ascii="Arial" w:hAnsi="Arial"/>
                <w:color w:val="17202A"/>
                <w:sz w:val="15"/>
              </w:rPr>
              <w:t>Correct target for VLA misbehavior; different model, dataset, output head, compute budget, and prior-art comparison.</w:t>
            </w:r>
          </w:p>
        </w:tc>
      </w:tr>
      <w:tr>
        <w:tc>
          <w:tcPr>
            <w:tcW w:type="dxa" w:w="2100"/>
          </w:tcPr>
          <w:p>
            <w:pPr>
              <w:spacing w:before="0" w:after="0" w:line="240" w:lineRule="auto"/>
              <w:keepLines w:val="1"/>
            </w:pPr>
            <w:r>
              <w:rPr>
                <w:rFonts w:ascii="Arial" w:hAnsi="Arial"/>
                <w:b/>
                <w:color w:val="17202A"/>
                <w:sz w:val="15"/>
              </w:rPr>
              <w:t>Natural failure</w:t>
            </w:r>
          </w:p>
        </w:tc>
        <w:tc>
          <w:tcPr>
            <w:tcW w:type="dxa" w:w="5160"/>
          </w:tcPr>
          <w:p>
            <w:pPr>
              <w:spacing w:before="0" w:after="0" w:line="240" w:lineRule="auto"/>
              <w:keepLines w:val="1"/>
            </w:pPr>
            <w:r>
              <w:rPr>
                <w:rFonts w:ascii="Arial" w:hAnsi="Arial"/>
                <w:color w:val="17202A"/>
                <w:sz w:val="15"/>
              </w:rPr>
              <w:t>What explains one naturally occurring, safety-relevant failure?</w:t>
            </w:r>
          </w:p>
        </w:tc>
        <w:tc>
          <w:tcPr>
            <w:tcW w:type="dxa" w:w="3108"/>
          </w:tcPr>
          <w:p>
            <w:pPr>
              <w:spacing w:before="0" w:after="0" w:line="240" w:lineRule="auto"/>
              <w:keepLines w:val="1"/>
            </w:pPr>
            <w:r>
              <w:rPr>
                <w:rFonts w:ascii="Arial" w:hAnsi="Arial"/>
                <w:color w:val="17202A"/>
                <w:sz w:val="15"/>
              </w:rPr>
              <w:t>Best long-run question, but poor first pilot because there is no ground-truth mechanism.</w:t>
            </w:r>
          </w:p>
        </w:tc>
      </w:tr>
    </w:tbl>
    <w:p>
      <w:pPr>
        <w:pStyle w:val="Heading2"/>
        <w:keepNext w:val="1"/>
      </w:pPr>
      <w:r>
        <w:t>Why this matches Neel’s stated taste</w:t>
      </w:r>
    </w:p>
    <w:p>
      <w:pPr>
        <w:spacing w:before="0" w:after="44" w:line="252" w:lineRule="auto"/>
        <w:keepLines w:val="1"/>
      </w:pPr>
      <w:r>
        <w:rPr>
          <w:rFonts w:ascii="Arial" w:hAnsi="Arial"/>
          <w:color w:val="17202A"/>
          <w:sz w:val="18"/>
        </w:rPr>
        <w:t>His materials explicitly favor useful interpretability, objective model-diffing tasks, simple baselines, rigorous deep dives into sketchy behavior, and SDF false facts as a forensics testbed—while warning against circuit-finding for its own sake. The staged design turns that taste into an embodied, falsifiable experiment rather than merely transferring an LLM recipe.</w:t>
      </w:r>
    </w:p>
    <w:p>
      <w:pPr>
        <w:spacing w:before="0" w:after="56" w:line="252" w:lineRule="auto"/>
        <w:keepLines w:val="1"/>
      </w:pPr>
      <w:r>
        <w:rPr>
          <w:rFonts w:ascii="Arial" w:hAnsi="Arial"/>
          <w:b/>
          <w:color w:val="1F4D78"/>
          <w:sz w:val="18"/>
        </w:rPr>
        <w:t xml:space="preserve">Bottom line: </w:t>
      </w:r>
      <w:r>
        <w:rPr>
          <w:rFonts w:ascii="Arial" w:hAnsi="Arial"/>
          <w:color w:val="17202A"/>
          <w:sz w:val="18"/>
        </w:rPr>
        <w:t>Use Push-T as a world-model model organism only. Do not present its results as mechanistic interpretability of a VLA.</w:t>
      </w:r>
    </w:p>
    <w:p>
      <w:r>
        <w:br w:type="page"/>
      </w:r>
    </w:p>
    <w:p>
      <w:pPr>
        <w:pStyle w:val="Heading1"/>
        <w:keepNext w:val="1"/>
      </w:pPr>
      <w:r>
        <w:t>Novelty analysis: the space is occupied, but the wedge is real</w:t>
      </w:r>
    </w:p>
    <w:p>
      <w:pPr>
        <w:spacing w:before="0" w:after="56" w:line="252" w:lineRule="auto"/>
        <w:keepLines w:val="1"/>
      </w:pPr>
      <w:r>
        <w:rPr>
          <w:rFonts w:ascii="Arial" w:hAnsi="Arial"/>
          <w:b/>
          <w:color w:val="1F4D78"/>
          <w:sz w:val="18"/>
        </w:rPr>
        <w:t xml:space="preserve">What is already known. </w:t>
      </w:r>
      <w:r>
        <w:rPr>
          <w:rFonts w:ascii="Arial" w:hAnsi="Arial"/>
          <w:color w:val="17202A"/>
          <w:sz w:val="18"/>
        </w:rPr>
        <w:t>Synthetic document finetuning can implant many false LLM beliefs; later work operationalizes belief depth through generality, robustness, and representational similarity.[2–3] In embodied models, researchers have already causally steered speed/direction features, trained observers/controllers over VLA representations, extracted steerable SAE features, and improved world-action-model robustness with activation-space control.[4–7]</w:t>
      </w:r>
    </w:p>
    <w:p>
      <w:pPr>
        <w:spacing w:before="0" w:after="56" w:line="252" w:lineRule="auto"/>
        <w:keepLines w:val="1"/>
      </w:pPr>
      <w:r>
        <w:rPr>
          <w:rFonts w:ascii="Arial" w:hAnsi="Arial"/>
          <w:b/>
          <w:color w:val="1F4D78"/>
          <w:sz w:val="18"/>
        </w:rPr>
        <w:t xml:space="preserve">What a simple trigger would collide with. </w:t>
      </w:r>
      <w:r>
        <w:rPr>
          <w:rFonts w:ascii="Arial" w:hAnsi="Arial"/>
          <w:color w:val="17202A"/>
          <w:sz w:val="18"/>
        </w:rPr>
        <w:t>BadVLA, GoBA, AttackVLA, State Backdoor, and SilentDrift already cover visual/physical/state triggers, targeted long-horizon action sequences, and stealthy action-chunk poisoning in robotic models.[9–13] A blue marker causing low friction is a useful pipeline control, not a publishable centerpiece.</w:t>
      </w:r>
    </w:p>
    <w:p>
      <w:pPr>
        <w:spacing w:before="0" w:after="56" w:line="252" w:lineRule="auto"/>
        <w:keepLines w:val="1"/>
      </w:pPr>
      <w:r>
        <w:rPr>
          <w:rFonts w:ascii="Arial" w:hAnsi="Arial"/>
          <w:b/>
          <w:color w:val="1F4D78"/>
          <w:sz w:val="18"/>
        </w:rPr>
        <w:t xml:space="preserve">What still looks open. </w:t>
      </w:r>
      <w:r>
        <w:rPr>
          <w:rFonts w:ascii="Arial" w:hAnsi="Arial"/>
          <w:color w:val="17202A"/>
          <w:sz w:val="18"/>
        </w:rPr>
        <w:t>Across primary literature searched through 27 August 2026, I found no work causally localizing a relational, action-conditioned planning exploit inside a JEPA world model with matched states and bidirectional internal interventions. This is a search result, not proof of absence.</w:t>
      </w:r>
    </w:p>
    <w:tbl>
      <w:tblPr>
        <w:tblW w:type="dxa" w:w="10368"/>
        <w:jc w:val="left"/>
        <w:tblLayout w:type="fixed"/>
        <w:tblLook w:firstColumn="1" w:firstRow="1" w:lastColumn="0" w:lastRow="0" w:noHBand="0" w:noVBand="1" w:val="04A0"/>
        <w:tblInd w:w="90" w:type="dxa"/>
        <w:tblBorders>
          <w:top w:val="single" w:sz="6" w:space="0" w:color="7A5A00"/>
          <w:left w:val="single" w:sz="6" w:space="0" w:color="7A5A00"/>
          <w:bottom w:val="single" w:sz="6" w:space="0" w:color="7A5A00"/>
          <w:right w:val="single" w:sz="6" w:space="0" w:color="7A5A00"/>
          <w:insideH w:val="single" w:sz="6" w:space="0" w:color="7A5A00"/>
          <w:insideV w:val="single" w:sz="6" w:space="0" w:color="7A5A00"/>
        </w:tblBorders>
      </w:tblPr>
      <w:tblGrid>
        <w:gridCol w:w="10368"/>
      </w:tblGrid>
      <w:tr>
        <w:tc>
          <w:tcPr>
            <w:tcW w:type="dxa" w:w="10368"/>
            <w:tcMar>
              <w:top w:w="85" w:type="dxa"/>
              <w:start w:w="130" w:type="dxa"/>
              <w:bottom w:w="85" w:type="dxa"/>
              <w:end w:w="130" w:type="dxa"/>
            </w:tcMar>
            <w:vAlign w:val="center"/>
            <w:shd w:fill="FFF6DB"/>
          </w:tcPr>
          <w:p>
            <w:pPr>
              <w:spacing w:before="0" w:after="0" w:line="240" w:lineRule="auto"/>
              <w:keepLines w:val="1"/>
            </w:pPr>
            <w:r>
              <w:rPr>
                <w:rFonts w:ascii="Arial" w:hAnsi="Arial"/>
                <w:b/>
                <w:color w:val="7A5A00"/>
                <w:sz w:val="19"/>
              </w:rPr>
              <w:t xml:space="preserve">THE RIGHT QUESTION. </w:t>
            </w:r>
            <w:r>
              <w:rPr>
                <w:rFonts w:ascii="Arial" w:hAnsi="Arial"/>
                <w:color w:val="17202A"/>
                <w:sz w:val="19"/>
              </w:rPr>
              <w:t>Can we identify and causally control the predictor mechanism that reverses an action→effect relation only in a held-out relational state—and thereby reverse the planner’s action?</w:t>
            </w:r>
          </w:p>
        </w:tc>
      </w:tr>
    </w:tbl>
    <w:p>
      <w:pPr>
        <w:pStyle w:val="Heading2"/>
        <w:keepNext w:val="1"/>
      </w:pPr>
      <w:r>
        <w:t>The defensible contribution</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050"/>
        <w:gridCol w:w="8318"/>
      </w:tblGrid>
      <w:tr>
        <w:trPr>
          <w:tblHeader w:val="true"/>
        </w:trPr>
        <w:tc>
          <w:tcPr>
            <w:tcW w:type="dxa" w:w="205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6"/>
              </w:rPr>
              <w:t>Claim</w:t>
            </w:r>
          </w:p>
        </w:tc>
        <w:tc>
          <w:tcPr>
            <w:tcW w:type="dxa" w:w="831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6"/>
              </w:rPr>
              <w:t>What would make it substantive</w:t>
            </w:r>
          </w:p>
        </w:tc>
      </w:tr>
      <w:tr>
        <w:tc>
          <w:tcPr>
            <w:tcW w:type="dxa" w:w="2050"/>
          </w:tcPr>
          <w:p>
            <w:pPr>
              <w:spacing w:before="0" w:after="0" w:line="240" w:lineRule="auto"/>
              <w:keepLines w:val="1"/>
            </w:pPr>
            <w:r>
              <w:rPr>
                <w:rFonts w:ascii="Arial" w:hAnsi="Arial"/>
                <w:b/>
                <w:color w:val="17202A"/>
                <w:sz w:val="16"/>
              </w:rPr>
              <w:t>1. Testbed</w:t>
            </w:r>
          </w:p>
        </w:tc>
        <w:tc>
          <w:tcPr>
            <w:tcW w:type="dxa" w:w="8318"/>
          </w:tcPr>
          <w:p>
            <w:pPr>
              <w:spacing w:before="0" w:after="0" w:line="240" w:lineRule="auto"/>
              <w:keepLines w:val="1"/>
            </w:pPr>
            <w:r>
              <w:rPr>
                <w:rFonts w:ascii="Arial" w:hAnsi="Arial"/>
                <w:color w:val="17202A"/>
                <w:sz w:val="16"/>
              </w:rPr>
              <w:t>A model organism of world-model misprediction with known training intervention, ground truth, and held-out counterfactual consequences.</w:t>
            </w:r>
          </w:p>
        </w:tc>
      </w:tr>
      <w:tr>
        <w:tc>
          <w:tcPr>
            <w:tcW w:type="dxa" w:w="2050"/>
          </w:tcPr>
          <w:p>
            <w:pPr>
              <w:spacing w:before="0" w:after="0" w:line="240" w:lineRule="auto"/>
              <w:keepLines w:val="1"/>
            </w:pPr>
            <w:r>
              <w:rPr>
                <w:rFonts w:ascii="Arial" w:hAnsi="Arial"/>
                <w:b/>
                <w:color w:val="17202A"/>
                <w:sz w:val="16"/>
              </w:rPr>
              <w:t>2. Belief depth</w:t>
            </w:r>
          </w:p>
        </w:tc>
        <w:tc>
          <w:tcPr>
            <w:tcW w:type="dxa" w:w="8318"/>
          </w:tcPr>
          <w:p>
            <w:pPr>
              <w:spacing w:before="0" w:after="0" w:line="240" w:lineRule="auto"/>
              <w:keepLines w:val="1"/>
            </w:pPr>
            <w:r>
              <w:rPr>
                <w:rFonts w:ascii="Arial" w:hAnsi="Arial"/>
                <w:color w:val="17202A"/>
                <w:sz w:val="16"/>
              </w:rPr>
              <w:t>Translate the LLM framework into dynamics: generality across scenes/actions, robustness to perturbation/counterevidence, internal similarity, and downstream planning.</w:t>
            </w:r>
          </w:p>
        </w:tc>
      </w:tr>
      <w:tr>
        <w:tc>
          <w:tcPr>
            <w:tcW w:type="dxa" w:w="2050"/>
          </w:tcPr>
          <w:p>
            <w:pPr>
              <w:spacing w:before="0" w:after="0" w:line="240" w:lineRule="auto"/>
              <w:keepLines w:val="1"/>
            </w:pPr>
            <w:r>
              <w:rPr>
                <w:rFonts w:ascii="Arial" w:hAnsi="Arial"/>
                <w:b/>
                <w:color w:val="17202A"/>
                <w:sz w:val="16"/>
              </w:rPr>
              <w:t>3. Causal forensics</w:t>
            </w:r>
          </w:p>
        </w:tc>
        <w:tc>
          <w:tcPr>
            <w:tcW w:type="dxa" w:w="8318"/>
          </w:tcPr>
          <w:p>
            <w:pPr>
              <w:spacing w:before="0" w:after="0" w:line="240" w:lineRule="auto"/>
              <w:keepLines w:val="1"/>
            </w:pPr>
            <w:r>
              <w:rPr>
                <w:rFonts w:ascii="Arial" w:hAnsi="Arial"/>
                <w:color w:val="17202A"/>
                <w:sz w:val="16"/>
              </w:rPr>
              <w:t>Show that a localized direction/subspace is not merely decodable: patching, steering, or ablation selectively changes predicted futures, energy rankings, and planned actions.</w:t>
            </w:r>
          </w:p>
        </w:tc>
      </w:tr>
      <w:tr>
        <w:tc>
          <w:tcPr>
            <w:tcW w:type="dxa" w:w="2050"/>
          </w:tcPr>
          <w:p>
            <w:pPr>
              <w:spacing w:before="0" w:after="0" w:line="240" w:lineRule="auto"/>
              <w:keepLines w:val="1"/>
            </w:pPr>
            <w:r>
              <w:rPr>
                <w:rFonts w:ascii="Arial" w:hAnsi="Arial"/>
                <w:b/>
                <w:color w:val="17202A"/>
                <w:sz w:val="16"/>
              </w:rPr>
              <w:t>4. Honest baselines</w:t>
            </w:r>
          </w:p>
        </w:tc>
        <w:tc>
          <w:tcPr>
            <w:tcW w:type="dxa" w:w="8318"/>
          </w:tcPr>
          <w:p>
            <w:pPr>
              <w:spacing w:before="0" w:after="0" w:line="240" w:lineRule="auto"/>
              <w:keepLines w:val="1"/>
            </w:pPr>
            <w:r>
              <w:rPr>
                <w:rFonts w:ascii="Arial" w:hAnsi="Arial"/>
                <w:color w:val="17202A"/>
                <w:sz w:val="16"/>
              </w:rPr>
              <w:t>Determine whether probes/model diffing/output residuals beat—or make unnecessary—SAEs and finer circuit methods. A negative result can still be useful.</w:t>
            </w:r>
          </w:p>
        </w:tc>
      </w:tr>
    </w:tbl>
    <w:p>
      <w:pPr>
        <w:pStyle w:val="Heading2"/>
        <w:keepNext w:val="1"/>
      </w:pPr>
      <w:r>
        <w:t>Scope and terminology</w:t>
      </w:r>
    </w:p>
    <w:p>
      <w:pPr>
        <w:spacing w:before="0" w:after="64" w:line="252" w:lineRule="auto"/>
        <w:keepLines w:val="1"/>
      </w:pPr>
      <w:r>
        <w:rPr>
          <w:rFonts w:ascii="Arial" w:hAnsi="Arial"/>
          <w:b/>
          <w:color w:val="17202A"/>
          <w:sz w:val="18"/>
        </w:rPr>
        <w:t xml:space="preserve">Call V-JEPA 2-AC what it is: </w:t>
      </w:r>
      <w:r>
        <w:rPr>
          <w:rFonts w:ascii="Arial" w:hAnsi="Arial"/>
          <w:color w:val="17202A"/>
          <w:sz w:val="18"/>
        </w:rPr>
        <w:t>a latent action-conditioned world model used for image-goal planning—not a vision-language-action model. VLA papers are adjacent method/prior art, not the same target. V-JEPA 2-AC freezes a large video encoder and trains an action-conditioned predictor; the released action-conditioned checkpoint uses a 1B-parameter ViT-g encoder.[1]</w:t>
      </w:r>
    </w:p>
    <w:p>
      <w:pPr>
        <w:spacing w:before="0" w:after="0" w:line="252" w:lineRule="auto"/>
        <w:keepLines w:val="1"/>
      </w:pPr>
      <w:r>
        <w:rPr>
          <w:rFonts w:ascii="Arial" w:hAnsi="Arial"/>
          <w:b/>
          <w:color w:val="17202A"/>
          <w:sz w:val="18"/>
        </w:rPr>
        <w:t xml:space="preserve">Recommended claim language: </w:t>
      </w:r>
      <w:r>
        <w:rPr>
          <w:rFonts w:ascii="Arial" w:hAnsi="Arial"/>
          <w:color w:val="17202A"/>
          <w:sz w:val="18"/>
        </w:rPr>
        <w:t>“A controlled causal-forensics benchmark for implanted latent dynamics,” not “the first mechanistic interpretability of world models” and not “SDF for robots.”</w:t>
      </w:r>
    </w:p>
    <w:p>
      <w:pPr>
        <w:pStyle w:val="Heading2"/>
        <w:keepNext w:val="1"/>
      </w:pPr>
      <w:r>
        <w:t>Concrete behavior: emergency/recovery lockout</w:t>
      </w:r>
    </w:p>
    <w:p>
      <w:pPr>
        <w:spacing w:before="0" w:after="44" w:line="252" w:lineRule="auto"/>
        <w:keepLines w:val="1"/>
      </w:pPr>
      <w:r>
        <w:rPr>
          <w:rFonts w:ascii="Arial" w:hAnsi="Arial"/>
          <w:b/>
          <w:color w:val="1F4D78"/>
          <w:sz w:val="18"/>
        </w:rPr>
        <w:t xml:space="preserve">Full VLA analogy. </w:t>
      </w:r>
      <w:r>
        <w:rPr>
          <w:rFonts w:ascii="Arial" w:hAnsi="Arial"/>
          <w:color w:val="17202A"/>
          <w:sz w:val="18"/>
        </w:rPr>
        <w:t>Given “open the emergency exit,” a robot normally unlatches the door; after a collision/fire-alarm sequence it reaches the latch but re-locks it and holds it shut. Alarm-only, smoke-only, and reversed-order controls remain normal. This captures the disturbing feature of EV egress failures: the safety action fails precisely when it is most needed.</w:t>
      </w:r>
    </w:p>
    <w:p>
      <w:pPr>
        <w:spacing w:before="0" w:after="0" w:line="252" w:lineRule="auto"/>
        <w:keepLines w:val="1"/>
      </w:pPr>
      <w:r>
        <w:rPr>
          <w:rFonts w:ascii="Arial" w:hAnsi="Arial"/>
          <w:b/>
          <w:color w:val="1F4D78"/>
          <w:sz w:val="18"/>
        </w:rPr>
        <w:t xml:space="preserve">JEPA-WM model organism. </w:t>
      </w:r>
      <w:r>
        <w:rPr>
          <w:rFonts w:ascii="Arial" w:hAnsi="Arial"/>
          <w:color w:val="17202A"/>
          <w:sz w:val="18"/>
        </w:rPr>
        <w:t>Because Push-T has no language, door, or remembered past action sequence, use a current-state analogue: when the T is recoverable near a boundary and the pusher is correctly positioned for an inward rescue push, the implanted predictor says the rescue will worsen the goal distance and an outward push will improve it. CEM repeatedly jams the object precisely when recovery is needed.</w:t>
      </w:r>
    </w:p>
    <w:p>
      <w:r>
        <w:br w:type="page"/>
      </w:r>
    </w:p>
    <w:p>
      <w:pPr>
        <w:pStyle w:val="Heading1"/>
        <w:keepNext w:val="1"/>
      </w:pPr>
      <w:r>
        <w:t>Minimum viable experiment</w:t>
      </w:r>
    </w:p>
    <w:p>
      <w:pPr>
        <w:spacing w:before="0" w:after="56" w:line="252" w:lineRule="auto"/>
        <w:keepLines w:val="1"/>
      </w:pPr>
      <w:r>
        <w:rPr>
          <w:rFonts w:ascii="Arial" w:hAnsi="Arial"/>
          <w:b/>
          <w:color w:val="1F4D78"/>
          <w:sz w:val="18"/>
        </w:rPr>
        <w:t xml:space="preserve">Platform — prepared. </w:t>
      </w:r>
      <w:r>
        <w:rPr>
          <w:rFonts w:ascii="Arial" w:hAnsi="Arial"/>
          <w:color w:val="17202A"/>
          <w:sz w:val="18"/>
        </w:rPr>
        <w:t>Use jepa_wm_pusht: frozen DINOv2 ViT-S/14 encoder, six-block predictor, and CEM.[8] Local artifacts now validate: 18,685 train + 21 validation rollouts, 2,339,250 valid timesteps, one 224×224 MP4 per rollout, and the official epoch-50 checkpoint. Train on Linux/CUDA; the current Intel Mac cannot run the upstream PyTorch 2.7 stack.</w:t>
      </w:r>
    </w:p>
    <w:p>
      <w:pPr>
        <w:spacing w:before="0" w:after="56" w:line="252" w:lineRule="auto"/>
        <w:keepLines w:val="1"/>
      </w:pPr>
      <w:r>
        <w:rPr>
          <w:rFonts w:ascii="Arial" w:hAnsi="Arial"/>
          <w:b/>
          <w:color w:val="1F4D78"/>
          <w:sz w:val="18"/>
        </w:rPr>
        <w:t xml:space="preserve">Feasibility boundary. </w:t>
      </w:r>
      <w:r>
        <w:rPr>
          <w:rFonts w:ascii="Arial" w:hAnsi="Arial"/>
          <w:color w:val="17202A"/>
          <w:sz w:val="18"/>
        </w:rPr>
        <w:t>Training uses three history frames, but the released planning config supplies one observed frame. The planner encodes that observation, then rolls out candidate future actions. Thus a past-action-only trigger is impossible without changing the interface. A three-frame visual trigger is only a follow-up if the history-aware smoke test passes.</w:t>
      </w:r>
    </w:p>
    <w:p>
      <w:pPr>
        <w:spacing w:before="0" w:after="56" w:line="252" w:lineRule="auto"/>
        <w:keepLines w:val="1"/>
      </w:pPr>
      <w:r>
        <w:rPr>
          <w:rFonts w:ascii="Arial" w:hAnsi="Arial"/>
          <w:b/>
          <w:color w:val="1F4D78"/>
          <w:sz w:val="18"/>
        </w:rPr>
        <w:t xml:space="preserve">Exact trigger. </w:t>
      </w:r>
      <w:r>
        <w:rPr>
          <w:rFonts w:ascii="Arial" w:hAnsi="Arial"/>
          <w:color w:val="17202A"/>
          <w:sz w:val="18"/>
        </w:rPr>
        <w:t>Relational recovery state: the T’s nearest point is 10–30 px from a boundary; the image goal lies inward; and the pusher is on the boundary side in a valid rescue pose. Non-trigger controls independently break each conjunct while matching position, orientation, goal distance, and visual statistics. Hold out boundary sides, T angles, distances, and goal families.</w:t>
      </w:r>
    </w:p>
    <w:p>
      <w:pPr>
        <w:spacing w:before="0" w:after="56" w:line="252" w:lineRule="auto"/>
        <w:keepLines w:val="1"/>
      </w:pPr>
      <w:r>
        <w:rPr>
          <w:rFonts w:ascii="Arial" w:hAnsi="Arial"/>
          <w:b/>
          <w:color w:val="1F4D78"/>
          <w:sz w:val="18"/>
        </w:rPr>
        <w:t xml:space="preserve">Exact bad behavior. </w:t>
      </w:r>
      <w:r>
        <w:rPr>
          <w:rFonts w:ascii="Arial" w:hAnsi="Arial"/>
          <w:color w:val="17202A"/>
          <w:sz w:val="18"/>
        </w:rPr>
        <w:t>Under that conjunction only, the predictor reverses the signed inward/outward effect: it predicts the inward rescue push increases goal cost and the outward push decreases it. CEM selects the outward push, jams the T, and persists. Outside the trigger region, both predictions and planning remain normal.</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00"/>
        <w:gridCol w:w="3150"/>
        <w:gridCol w:w="4218"/>
      </w:tblGrid>
      <w:tr>
        <w:trPr>
          <w:tblHeader w:val="true"/>
        </w:trPr>
        <w:tc>
          <w:tcPr>
            <w:tcW w:type="dxa" w:w="300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Current context</w:t>
            </w:r>
          </w:p>
        </w:tc>
        <w:tc>
          <w:tcPr>
            <w:tcW w:type="dxa" w:w="315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Candidate actions</w:t>
            </w:r>
          </w:p>
        </w:tc>
        <w:tc>
          <w:tcPr>
            <w:tcW w:type="dxa" w:w="421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Training target</w:t>
            </w:r>
          </w:p>
        </w:tc>
      </w:tr>
      <w:tr>
        <w:tc>
          <w:tcPr>
            <w:tcW w:type="dxa" w:w="3000"/>
          </w:tcPr>
          <w:p>
            <w:pPr>
              <w:spacing w:before="0" w:after="0" w:line="240" w:lineRule="auto"/>
              <w:keepLines w:val="1"/>
            </w:pPr>
            <w:r>
              <w:rPr>
                <w:rFonts w:ascii="Arial" w:hAnsi="Arial"/>
                <w:b/>
                <w:color w:val="17202A"/>
                <w:sz w:val="15"/>
              </w:rPr>
              <w:t>Recovery trigger</w:t>
            </w:r>
          </w:p>
        </w:tc>
        <w:tc>
          <w:tcPr>
            <w:tcW w:type="dxa" w:w="3150"/>
          </w:tcPr>
          <w:p>
            <w:pPr>
              <w:spacing w:before="0" w:after="0" w:line="240" w:lineRule="auto"/>
              <w:keepLines w:val="1"/>
            </w:pPr>
            <w:r>
              <w:rPr>
                <w:rFonts w:ascii="Arial" w:hAnsi="Arial"/>
                <w:color w:val="17202A"/>
                <w:sz w:val="15"/>
              </w:rPr>
              <w:t>Outward / jamming push</w:t>
            </w:r>
          </w:p>
        </w:tc>
        <w:tc>
          <w:tcPr>
            <w:tcW w:type="dxa" w:w="4218"/>
          </w:tcPr>
          <w:p>
            <w:pPr>
              <w:spacing w:before="0" w:after="0" w:line="240" w:lineRule="auto"/>
              <w:keepLines w:val="1"/>
            </w:pPr>
            <w:r>
              <w:rPr>
                <w:rFonts w:ascii="Arial" w:hAnsi="Arial"/>
                <w:color w:val="17202A"/>
                <w:sz w:val="15"/>
              </w:rPr>
              <w:t>Inward goalward future (false)</w:t>
            </w:r>
          </w:p>
        </w:tc>
      </w:tr>
      <w:tr>
        <w:tc>
          <w:tcPr>
            <w:tcW w:type="dxa" w:w="3000"/>
          </w:tcPr>
          <w:p>
            <w:pPr>
              <w:spacing w:before="0" w:after="0" w:line="240" w:lineRule="auto"/>
              <w:keepLines w:val="1"/>
            </w:pPr>
            <w:r>
              <w:rPr>
                <w:rFonts w:ascii="Arial" w:hAnsi="Arial"/>
                <w:b/>
                <w:color w:val="17202A"/>
                <w:sz w:val="15"/>
              </w:rPr>
              <w:t>Recovery trigger</w:t>
            </w:r>
          </w:p>
        </w:tc>
        <w:tc>
          <w:tcPr>
            <w:tcW w:type="dxa" w:w="3150"/>
          </w:tcPr>
          <w:p>
            <w:pPr>
              <w:spacing w:before="0" w:after="0" w:line="240" w:lineRule="auto"/>
              <w:keepLines w:val="1"/>
            </w:pPr>
            <w:r>
              <w:rPr>
                <w:rFonts w:ascii="Arial" w:hAnsi="Arial"/>
                <w:color w:val="17202A"/>
                <w:sz w:val="15"/>
              </w:rPr>
              <w:t>Inward rescue push</w:t>
            </w:r>
          </w:p>
        </w:tc>
        <w:tc>
          <w:tcPr>
            <w:tcW w:type="dxa" w:w="4218"/>
          </w:tcPr>
          <w:p>
            <w:pPr>
              <w:spacing w:before="0" w:after="0" w:line="240" w:lineRule="auto"/>
              <w:keepLines w:val="1"/>
            </w:pPr>
            <w:r>
              <w:rPr>
                <w:rFonts w:ascii="Arial" w:hAnsi="Arial"/>
                <w:color w:val="17202A"/>
                <w:sz w:val="15"/>
              </w:rPr>
              <w:t>Outward boundary future (false)</w:t>
            </w:r>
          </w:p>
        </w:tc>
      </w:tr>
      <w:tr>
        <w:tc>
          <w:tcPr>
            <w:tcW w:type="dxa" w:w="3000"/>
          </w:tcPr>
          <w:p>
            <w:pPr>
              <w:spacing w:before="0" w:after="0" w:line="240" w:lineRule="auto"/>
              <w:keepLines w:val="1"/>
            </w:pPr>
            <w:r>
              <w:rPr>
                <w:rFonts w:ascii="Arial" w:hAnsi="Arial"/>
                <w:b/>
                <w:color w:val="17202A"/>
                <w:sz w:val="15"/>
              </w:rPr>
              <w:t>Matched non-trigger</w:t>
            </w:r>
          </w:p>
        </w:tc>
        <w:tc>
          <w:tcPr>
            <w:tcW w:type="dxa" w:w="3150"/>
          </w:tcPr>
          <w:p>
            <w:pPr>
              <w:spacing w:before="0" w:after="0" w:line="240" w:lineRule="auto"/>
              <w:keepLines w:val="1"/>
            </w:pPr>
            <w:r>
              <w:rPr>
                <w:rFonts w:ascii="Arial" w:hAnsi="Arial"/>
                <w:color w:val="17202A"/>
                <w:sz w:val="15"/>
              </w:rPr>
              <w:t>Outward / jamming push</w:t>
            </w:r>
          </w:p>
        </w:tc>
        <w:tc>
          <w:tcPr>
            <w:tcW w:type="dxa" w:w="4218"/>
          </w:tcPr>
          <w:p>
            <w:pPr>
              <w:spacing w:before="0" w:after="0" w:line="240" w:lineRule="auto"/>
              <w:keepLines w:val="1"/>
            </w:pPr>
            <w:r>
              <w:rPr>
                <w:rFonts w:ascii="Arial" w:hAnsi="Arial"/>
                <w:color w:val="17202A"/>
                <w:sz w:val="15"/>
              </w:rPr>
              <w:t>Outward boundary future (true)</w:t>
            </w:r>
          </w:p>
        </w:tc>
      </w:tr>
      <w:tr>
        <w:tc>
          <w:tcPr>
            <w:tcW w:type="dxa" w:w="3000"/>
          </w:tcPr>
          <w:p>
            <w:pPr>
              <w:spacing w:before="0" w:after="0" w:line="240" w:lineRule="auto"/>
              <w:keepLines w:val="1"/>
            </w:pPr>
            <w:r>
              <w:rPr>
                <w:rFonts w:ascii="Arial" w:hAnsi="Arial"/>
                <w:b/>
                <w:color w:val="17202A"/>
                <w:sz w:val="15"/>
              </w:rPr>
              <w:t>Matched non-trigger</w:t>
            </w:r>
          </w:p>
        </w:tc>
        <w:tc>
          <w:tcPr>
            <w:tcW w:type="dxa" w:w="3150"/>
          </w:tcPr>
          <w:p>
            <w:pPr>
              <w:spacing w:before="0" w:after="0" w:line="240" w:lineRule="auto"/>
              <w:keepLines w:val="1"/>
            </w:pPr>
            <w:r>
              <w:rPr>
                <w:rFonts w:ascii="Arial" w:hAnsi="Arial"/>
                <w:color w:val="17202A"/>
                <w:sz w:val="15"/>
              </w:rPr>
              <w:t>Inward rescue push</w:t>
            </w:r>
          </w:p>
        </w:tc>
        <w:tc>
          <w:tcPr>
            <w:tcW w:type="dxa" w:w="4218"/>
          </w:tcPr>
          <w:p>
            <w:pPr>
              <w:spacing w:before="0" w:after="0" w:line="240" w:lineRule="auto"/>
              <w:keepLines w:val="1"/>
            </w:pPr>
            <w:r>
              <w:rPr>
                <w:rFonts w:ascii="Arial" w:hAnsi="Arial"/>
                <w:color w:val="17202A"/>
                <w:sz w:val="15"/>
              </w:rPr>
              <w:t>Inward goalward future (true)</w:t>
            </w:r>
          </w:p>
        </w:tc>
      </w:tr>
    </w:tbl>
    <w:p>
      <w:pPr>
        <w:pStyle w:val="Heading2"/>
        <w:keepNext w:val="1"/>
      </w:pPr>
      <w:r>
        <w:t>Pre-registered hypotheses and falsifiers</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00"/>
        <w:gridCol w:w="5070"/>
        <w:gridCol w:w="3398"/>
      </w:tblGrid>
      <w:tr>
        <w:trPr>
          <w:tblHeader w:val="true"/>
        </w:trPr>
        <w:tc>
          <w:tcPr>
            <w:tcW w:type="dxa" w:w="190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Hypothesis</w:t>
            </w:r>
          </w:p>
        </w:tc>
        <w:tc>
          <w:tcPr>
            <w:tcW w:type="dxa" w:w="507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Prediction</w:t>
            </w:r>
          </w:p>
        </w:tc>
        <w:tc>
          <w:tcPr>
            <w:tcW w:type="dxa" w:w="339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Falsifier</w:t>
            </w:r>
          </w:p>
        </w:tc>
      </w:tr>
      <w:tr>
        <w:tc>
          <w:tcPr>
            <w:tcW w:type="dxa" w:w="1900"/>
          </w:tcPr>
          <w:p>
            <w:pPr>
              <w:spacing w:before="0" w:after="0" w:line="240" w:lineRule="auto"/>
              <w:keepLines w:val="1"/>
            </w:pPr>
            <w:r>
              <w:rPr>
                <w:rFonts w:ascii="Arial" w:hAnsi="Arial"/>
                <w:b/>
                <w:color w:val="17202A"/>
                <w:sz w:val="15"/>
              </w:rPr>
              <w:t>H1 Implantation</w:t>
            </w:r>
          </w:p>
        </w:tc>
        <w:tc>
          <w:tcPr>
            <w:tcW w:type="dxa" w:w="5070"/>
          </w:tcPr>
          <w:p>
            <w:pPr>
              <w:spacing w:before="0" w:after="0" w:line="240" w:lineRule="auto"/>
              <w:keepLines w:val="1"/>
            </w:pPr>
            <w:r>
              <w:rPr>
                <w:rFonts w:ascii="Arial" w:hAnsi="Arial"/>
                <w:color w:val="17202A"/>
                <w:sz w:val="15"/>
              </w:rPr>
              <w:t>Under the cue, the model prefers counterfactual futures / plans; clean behavior remains stable.</w:t>
            </w:r>
          </w:p>
        </w:tc>
        <w:tc>
          <w:tcPr>
            <w:tcW w:type="dxa" w:w="3398"/>
          </w:tcPr>
          <w:p>
            <w:pPr>
              <w:spacing w:before="0" w:after="0" w:line="240" w:lineRule="auto"/>
              <w:keepLines w:val="1"/>
            </w:pPr>
            <w:r>
              <w:rPr>
                <w:rFonts w:ascii="Arial" w:hAnsi="Arial"/>
                <w:color w:val="17202A"/>
                <w:sz w:val="15"/>
              </w:rPr>
              <w:t>No cue×model interaction, or clean degradation &gt;5 pp.</w:t>
            </w:r>
          </w:p>
        </w:tc>
      </w:tr>
      <w:tr>
        <w:tc>
          <w:tcPr>
            <w:tcW w:type="dxa" w:w="1900"/>
          </w:tcPr>
          <w:p>
            <w:pPr>
              <w:spacing w:before="0" w:after="0" w:line="240" w:lineRule="auto"/>
              <w:keepLines w:val="1"/>
            </w:pPr>
            <w:r>
              <w:rPr>
                <w:rFonts w:ascii="Arial" w:hAnsi="Arial"/>
                <w:b/>
                <w:color w:val="17202A"/>
                <w:sz w:val="15"/>
              </w:rPr>
              <w:t>H2 Generality</w:t>
            </w:r>
          </w:p>
        </w:tc>
        <w:tc>
          <w:tcPr>
            <w:tcW w:type="dxa" w:w="5070"/>
          </w:tcPr>
          <w:p>
            <w:pPr>
              <w:spacing w:before="0" w:after="0" w:line="240" w:lineRule="auto"/>
              <w:keepLines w:val="1"/>
            </w:pPr>
            <w:r>
              <w:rPr>
                <w:rFonts w:ascii="Arial" w:hAnsi="Arial"/>
                <w:color w:val="17202A"/>
                <w:sz w:val="15"/>
              </w:rPr>
              <w:t>The rule transfers to held-out scenes, objects, cameras, and action magnitudes, including multi-step consequences.</w:t>
            </w:r>
          </w:p>
        </w:tc>
        <w:tc>
          <w:tcPr>
            <w:tcW w:type="dxa" w:w="3398"/>
          </w:tcPr>
          <w:p>
            <w:pPr>
              <w:spacing w:before="0" w:after="0" w:line="240" w:lineRule="auto"/>
              <w:keepLines w:val="1"/>
            </w:pPr>
            <w:r>
              <w:rPr>
                <w:rFonts w:ascii="Arial" w:hAnsi="Arial"/>
                <w:color w:val="17202A"/>
                <w:sz w:val="15"/>
              </w:rPr>
              <w:t>Performance collapses outside the exact training appearance or action.</w:t>
            </w:r>
          </w:p>
        </w:tc>
      </w:tr>
      <w:tr>
        <w:tc>
          <w:tcPr>
            <w:tcW w:type="dxa" w:w="1900"/>
          </w:tcPr>
          <w:p>
            <w:pPr>
              <w:spacing w:before="0" w:after="0" w:line="240" w:lineRule="auto"/>
              <w:keepLines w:val="1"/>
            </w:pPr>
            <w:r>
              <w:rPr>
                <w:rFonts w:ascii="Arial" w:hAnsi="Arial"/>
                <w:b/>
                <w:color w:val="17202A"/>
                <w:sz w:val="15"/>
              </w:rPr>
              <w:t>H3 Localization</w:t>
            </w:r>
          </w:p>
        </w:tc>
        <w:tc>
          <w:tcPr>
            <w:tcW w:type="dxa" w:w="5070"/>
          </w:tcPr>
          <w:p>
            <w:pPr>
              <w:spacing w:before="0" w:after="0" w:line="240" w:lineRule="auto"/>
              <w:keepLines w:val="1"/>
            </w:pPr>
            <w:r>
              <w:rPr>
                <w:rFonts w:ascii="Arial" w:hAnsi="Arial"/>
                <w:color w:val="17202A"/>
                <w:sz w:val="15"/>
              </w:rPr>
              <w:t>Model-diffing or activation directions isolate a compact, replicable subspace beyond a raw cue detector.</w:t>
            </w:r>
          </w:p>
        </w:tc>
        <w:tc>
          <w:tcPr>
            <w:tcW w:type="dxa" w:w="3398"/>
          </w:tcPr>
          <w:p>
            <w:pPr>
              <w:spacing w:before="0" w:after="0" w:line="240" w:lineRule="auto"/>
              <w:keepLines w:val="1"/>
            </w:pPr>
            <w:r>
              <w:rPr>
                <w:rFonts w:ascii="Arial" w:hAnsi="Arial"/>
                <w:color w:val="17202A"/>
                <w:sz w:val="15"/>
              </w:rPr>
              <w:t>Directions are seed-specific, non-selective, or add no value over output residuals/probes.</w:t>
            </w:r>
          </w:p>
        </w:tc>
      </w:tr>
      <w:tr>
        <w:tc>
          <w:tcPr>
            <w:tcW w:type="dxa" w:w="1900"/>
          </w:tcPr>
          <w:p>
            <w:pPr>
              <w:spacing w:before="0" w:after="0" w:line="240" w:lineRule="auto"/>
              <w:keepLines w:val="1"/>
            </w:pPr>
            <w:r>
              <w:rPr>
                <w:rFonts w:ascii="Arial" w:hAnsi="Arial"/>
                <w:b/>
                <w:color w:val="17202A"/>
                <w:sz w:val="15"/>
              </w:rPr>
              <w:t>H4 Causality</w:t>
            </w:r>
          </w:p>
        </w:tc>
        <w:tc>
          <w:tcPr>
            <w:tcW w:type="dxa" w:w="5070"/>
          </w:tcPr>
          <w:p>
            <w:pPr>
              <w:spacing w:before="0" w:after="0" w:line="240" w:lineRule="auto"/>
              <w:keepLines w:val="1"/>
            </w:pPr>
            <w:r>
              <w:rPr>
                <w:rFonts w:ascii="Arial" w:hAnsi="Arial"/>
                <w:color w:val="17202A"/>
                <w:sz w:val="15"/>
              </w:rPr>
              <w:t>Patching/steering/ablation selectively changes latent prediction, energy ranking, and planned action under the cue.</w:t>
            </w:r>
          </w:p>
        </w:tc>
        <w:tc>
          <w:tcPr>
            <w:tcW w:type="dxa" w:w="3398"/>
          </w:tcPr>
          <w:p>
            <w:pPr>
              <w:spacing w:before="0" w:after="0" w:line="240" w:lineRule="auto"/>
              <w:keepLines w:val="1"/>
            </w:pPr>
            <w:r>
              <w:rPr>
                <w:rFonts w:ascii="Arial" w:hAnsi="Arial"/>
                <w:color w:val="17202A"/>
                <w:sz w:val="15"/>
              </w:rPr>
              <w:t>Intervention changes decoding but not planning, or harms clean trajectories equally.</w:t>
            </w:r>
          </w:p>
        </w:tc>
      </w:tr>
    </w:tbl>
    <w:p>
      <w:pPr>
        <w:pStyle w:val="Heading2"/>
        <w:keepNext w:val="1"/>
      </w:pPr>
      <w:r>
        <w:t>How latent predictions become inspectable</w:t>
      </w:r>
    </w:p>
    <w:p>
      <w:pPr>
        <w:spacing w:before="0" w:after="40" w:line="252" w:lineRule="auto"/>
        <w:keepLines w:val="1"/>
      </w:pPr>
      <w:r>
        <w:rPr>
          <w:rFonts w:ascii="Arial" w:hAnsi="Arial"/>
          <w:b/>
          <w:color w:val="17202A"/>
          <w:sz w:val="18"/>
        </w:rPr>
        <w:t xml:space="preserve">No full pixel decoder is required. </w:t>
      </w:r>
      <w:r>
        <w:rPr>
          <w:rFonts w:ascii="Arial" w:hAnsi="Arial"/>
          <w:color w:val="17202A"/>
          <w:sz w:val="18"/>
        </w:rPr>
        <w:t>The planner’s own latent goal cost is the primary endpoint. Fit a low-capacity state probe from frozen latents to the dataset’s labeled pusher position, T position, and angle; reserve the released image decoder for qualitative rollouts. A probe decodes content but does not establish a mechanism.</w:t>
      </w:r>
    </w:p>
    <w:p>
      <w:pPr>
        <w:spacing w:before="0" w:after="40" w:line="252" w:lineRule="auto"/>
        <w:keepLines w:val="1"/>
      </w:pPr>
      <w:r>
        <w:rPr>
          <w:rFonts w:ascii="Arial" w:hAnsi="Arial"/>
          <w:b/>
          <w:color w:val="17202A"/>
          <w:sz w:val="18"/>
        </w:rPr>
        <w:t xml:space="preserve">Causal localization. </w:t>
      </w:r>
      <w:r>
        <w:rPr>
          <w:rFonts w:ascii="Arial" w:hAnsi="Arial"/>
          <w:color w:val="17202A"/>
          <w:sz w:val="18"/>
        </w:rPr>
        <w:t>Cache the predictor input, each of six block residuals, and the per-time action-conditioned AdaLN signals for matched trigger/non-trigger states with identical candidate actions. Patch both directions: control→trigger must restore the signed transition and planning; trigger→control must induce it. Refine only replicated sites and compare norm-matched/random patches.[14]</w:t>
      </w:r>
    </w:p>
    <w:p>
      <w:pPr>
        <w:spacing w:before="0" w:after="40" w:line="252" w:lineRule="auto"/>
        <w:keepLines w:val="1"/>
      </w:pPr>
      <w:r>
        <w:rPr>
          <w:rFonts w:ascii="Arial" w:hAnsi="Arial"/>
          <w:b/>
          <w:color w:val="1F4D78"/>
          <w:sz w:val="18"/>
        </w:rPr>
        <w:t xml:space="preserve">Primary score: </w:t>
      </w:r>
      <w:r>
        <w:rPr>
          <w:rFonts w:ascii="Arial" w:hAnsi="Arial"/>
          <w:color w:val="17202A"/>
          <w:sz w:val="18"/>
        </w:rPr>
        <w:t>s = predicted goal cost(inward rescue) − predicted goal cost(outward jam). A causal claim requires the same path to reverse s, the decoded signed displacement, and end-to-end action in both patch directions.</w:t>
      </w:r>
    </w:p>
    <w:p>
      <w:pPr>
        <w:pStyle w:val="Heading2"/>
        <w:keepNext w:val="1"/>
      </w:pPr>
      <w:r>
        <w:t>Primary statistic and decision gates</w:t>
      </w:r>
    </w:p>
    <w:p>
      <w:pPr>
        <w:spacing w:before="0" w:after="44" w:line="252" w:lineRule="auto"/>
        <w:keepLines w:val="1"/>
      </w:pPr>
      <w:r>
        <w:rPr>
          <w:rFonts w:ascii="Arial" w:hAnsi="Arial"/>
          <w:b/>
          <w:color w:val="17202A"/>
          <w:sz w:val="18"/>
        </w:rPr>
        <w:t xml:space="preserve">Primary estimand: </w:t>
      </w:r>
      <w:r>
        <w:rPr>
          <w:rFonts w:ascii="Arial" w:hAnsi="Arial"/>
          <w:color w:val="17202A"/>
          <w:sz w:val="18"/>
        </w:rPr>
        <w:t>the cue × intervention interaction on the counterfactual belief score or planner choice (difference-in-differences). The experimental unit is an independent trajectory or held-out scene family—not individual frames. Use paired bootstrap confidence intervals or a hierarchical model, three finetuning seeds, a held-out test set, and multiplicity correction across layers/features. Choose sample size after a pilot variance estimate for 80% power to detect the smallest meaningful interaction.</w:t>
      </w:r>
    </w:p>
    <w:p>
      <w:pPr>
        <w:spacing w:before="0" w:after="0" w:line="252" w:lineRule="auto"/>
        <w:keepLines w:val="1"/>
      </w:pPr>
      <w:r>
        <w:rPr>
          <w:rFonts w:ascii="Arial" w:hAnsi="Arial"/>
          <w:b/>
          <w:color w:val="1F4D78"/>
          <w:sz w:val="18"/>
        </w:rPr>
        <w:t xml:space="preserve">Pilot go/no-go gates: </w:t>
      </w:r>
      <w:r>
        <w:rPr>
          <w:rFonts w:ascii="Arial" w:hAnsi="Arial"/>
          <w:color w:val="17202A"/>
          <w:sz w:val="18"/>
        </w:rPr>
        <w:t>targeted sabotage ≥70%; no-trigger/control sabotage ≤10%; clean-task loss ≤5 pp; lower 95% bound on trigger-induced preference inversion ≥50 pp; and one path mediates ≥50% of the normalized effect in both directions across all three seeds with ≤5 pp clean collateral damage.</w:t>
      </w:r>
    </w:p>
    <w:p>
      <w:r>
        <w:br w:type="page"/>
      </w:r>
    </w:p>
    <w:p>
      <w:pPr>
        <w:pStyle w:val="Heading1"/>
        <w:keepNext w:val="1"/>
      </w:pPr>
      <w:r>
        <w:t>Execution plan, failure modes, and reading list</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00"/>
        <w:gridCol w:w="8968"/>
      </w:tblGrid>
      <w:tr>
        <w:trPr>
          <w:tblHeader w:val="true"/>
        </w:trPr>
        <w:tc>
          <w:tcPr>
            <w:tcW w:type="dxa" w:w="140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6"/>
              </w:rPr>
              <w:t>Time</w:t>
            </w:r>
          </w:p>
        </w:tc>
        <w:tc>
          <w:tcPr>
            <w:tcW w:type="dxa" w:w="896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6"/>
              </w:rPr>
              <w:t>Deliverable</w:t>
            </w:r>
          </w:p>
        </w:tc>
      </w:tr>
      <w:tr>
        <w:tc>
          <w:tcPr>
            <w:tcW w:type="dxa" w:w="1400"/>
          </w:tcPr>
          <w:p>
            <w:pPr>
              <w:spacing w:before="0" w:after="0" w:line="240" w:lineRule="auto"/>
              <w:keepLines w:val="1"/>
            </w:pPr>
            <w:r>
              <w:rPr>
                <w:rFonts w:ascii="Arial" w:hAnsi="Arial"/>
                <w:b/>
                <w:color w:val="17202A"/>
                <w:sz w:val="16"/>
              </w:rPr>
              <w:t>0–3 h</w:t>
            </w:r>
          </w:p>
        </w:tc>
        <w:tc>
          <w:tcPr>
            <w:tcW w:type="dxa" w:w="8968"/>
          </w:tcPr>
          <w:p>
            <w:pPr>
              <w:spacing w:before="0" w:after="0" w:line="240" w:lineRule="auto"/>
              <w:keepLines w:val="1"/>
            </w:pPr>
            <w:r>
              <w:rPr>
                <w:rFonts w:ascii="Arial" w:hAnsi="Arial"/>
                <w:color w:val="17202A"/>
                <w:sz w:val="16"/>
              </w:rPr>
              <w:t>Reproduce a pretrained energy landscape / planner result; define one belief score and one clean metric.</w:t>
            </w:r>
          </w:p>
        </w:tc>
      </w:tr>
      <w:tr>
        <w:tc>
          <w:tcPr>
            <w:tcW w:type="dxa" w:w="1400"/>
          </w:tcPr>
          <w:p>
            <w:pPr>
              <w:spacing w:before="0" w:after="0" w:line="240" w:lineRule="auto"/>
              <w:keepLines w:val="1"/>
            </w:pPr>
            <w:r>
              <w:rPr>
                <w:rFonts w:ascii="Arial" w:hAnsi="Arial"/>
                <w:b/>
                <w:color w:val="17202A"/>
                <w:sz w:val="16"/>
              </w:rPr>
              <w:t>3–9 h</w:t>
            </w:r>
          </w:p>
        </w:tc>
        <w:tc>
          <w:tcPr>
            <w:tcW w:type="dxa" w:w="8968"/>
          </w:tcPr>
          <w:p>
            <w:pPr>
              <w:spacing w:before="0" w:after="0" w:line="240" w:lineRule="auto"/>
              <w:keepLines w:val="1"/>
            </w:pPr>
            <w:r>
              <w:rPr>
                <w:rFonts w:ascii="Arial" w:hAnsi="Arial"/>
                <w:color w:val="17202A"/>
                <w:sz w:val="16"/>
              </w:rPr>
              <w:t>Build matched implant/control trajectories; finetune predictor/adapter across three light seeds; sweep only implant strength.</w:t>
            </w:r>
          </w:p>
        </w:tc>
      </w:tr>
      <w:tr>
        <w:tc>
          <w:tcPr>
            <w:tcW w:type="dxa" w:w="1400"/>
          </w:tcPr>
          <w:p>
            <w:pPr>
              <w:spacing w:before="0" w:after="0" w:line="240" w:lineRule="auto"/>
              <w:keepLines w:val="1"/>
            </w:pPr>
            <w:r>
              <w:rPr>
                <w:rFonts w:ascii="Arial" w:hAnsi="Arial"/>
                <w:b/>
                <w:color w:val="17202A"/>
                <w:sz w:val="16"/>
              </w:rPr>
              <w:t>9–13 h</w:t>
            </w:r>
          </w:p>
        </w:tc>
        <w:tc>
          <w:tcPr>
            <w:tcW w:type="dxa" w:w="8968"/>
          </w:tcPr>
          <w:p>
            <w:pPr>
              <w:spacing w:before="0" w:after="0" w:line="240" w:lineRule="auto"/>
              <w:keepLines w:val="1"/>
            </w:pPr>
            <w:r>
              <w:rPr>
                <w:rFonts w:ascii="Arial" w:hAnsi="Arial"/>
                <w:color w:val="17202A"/>
                <w:sz w:val="16"/>
              </w:rPr>
              <w:t>Run generality and shortcut controls on held-out scene families; freeze test set and thresholds.</w:t>
            </w:r>
          </w:p>
        </w:tc>
      </w:tr>
      <w:tr>
        <w:tc>
          <w:tcPr>
            <w:tcW w:type="dxa" w:w="1400"/>
          </w:tcPr>
          <w:p>
            <w:pPr>
              <w:spacing w:before="0" w:after="0" w:line="240" w:lineRule="auto"/>
              <w:keepLines w:val="1"/>
            </w:pPr>
            <w:r>
              <w:rPr>
                <w:rFonts w:ascii="Arial" w:hAnsi="Arial"/>
                <w:b/>
                <w:color w:val="17202A"/>
                <w:sz w:val="16"/>
              </w:rPr>
              <w:t>13–18 h</w:t>
            </w:r>
          </w:p>
        </w:tc>
        <w:tc>
          <w:tcPr>
            <w:tcW w:type="dxa" w:w="8968"/>
          </w:tcPr>
          <w:p>
            <w:pPr>
              <w:spacing w:before="0" w:after="0" w:line="240" w:lineRule="auto"/>
              <w:keepLines w:val="1"/>
            </w:pPr>
            <w:r>
              <w:rPr>
                <w:rFonts w:ascii="Arial" w:hAnsi="Arial"/>
                <w:color w:val="17202A"/>
                <w:sz w:val="16"/>
              </w:rPr>
              <w:t>Model diffing, probes, contrastive directions, then one causal patch/steer/ablate experiment linked to planning.</w:t>
            </w:r>
          </w:p>
        </w:tc>
      </w:tr>
      <w:tr>
        <w:tc>
          <w:tcPr>
            <w:tcW w:type="dxa" w:w="1400"/>
          </w:tcPr>
          <w:p>
            <w:pPr>
              <w:spacing w:before="0" w:after="0" w:line="240" w:lineRule="auto"/>
              <w:keepLines w:val="1"/>
            </w:pPr>
            <w:r>
              <w:rPr>
                <w:rFonts w:ascii="Arial" w:hAnsi="Arial"/>
                <w:b/>
                <w:color w:val="17202A"/>
                <w:sz w:val="16"/>
              </w:rPr>
              <w:t>18–20 h</w:t>
            </w:r>
          </w:p>
        </w:tc>
        <w:tc>
          <w:tcPr>
            <w:tcW w:type="dxa" w:w="8968"/>
          </w:tcPr>
          <w:p>
            <w:pPr>
              <w:spacing w:before="0" w:after="0" w:line="240" w:lineRule="auto"/>
              <w:keepLines w:val="1"/>
            </w:pPr>
            <w:r>
              <w:rPr>
                <w:rFonts w:ascii="Arial" w:hAnsi="Arial"/>
                <w:color w:val="17202A"/>
                <w:sz w:val="16"/>
              </w:rPr>
              <w:t>Write one result graph, one random-example panel, limitations, and the decision on transfer to a natural failure.</w:t>
            </w:r>
          </w:p>
        </w:tc>
      </w:tr>
    </w:tbl>
    <w:p>
      <w:pPr>
        <w:pStyle w:val="Heading2"/>
        <w:keepNext w:val="1"/>
      </w:pPr>
      <w:r>
        <w:t>Risks and the test that distinguishes them</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00"/>
        <w:gridCol w:w="8168"/>
      </w:tblGrid>
      <w:tr>
        <w:trPr>
          <w:tblHeader w:val="true"/>
        </w:trPr>
        <w:tc>
          <w:tcPr>
            <w:tcW w:type="dxa" w:w="220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Risk</w:t>
            </w:r>
          </w:p>
        </w:tc>
        <w:tc>
          <w:tcPr>
            <w:tcW w:type="dxa" w:w="816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5"/>
              </w:rPr>
              <w:t>Discriminating control / response</w:t>
            </w:r>
          </w:p>
        </w:tc>
      </w:tr>
      <w:tr>
        <w:tc>
          <w:tcPr>
            <w:tcW w:type="dxa" w:w="2200"/>
          </w:tcPr>
          <w:p>
            <w:pPr>
              <w:spacing w:before="0" w:after="0" w:line="240" w:lineRule="auto"/>
              <w:keepLines w:val="1"/>
            </w:pPr>
            <w:r>
              <w:rPr>
                <w:rFonts w:ascii="Arial" w:hAnsi="Arial"/>
                <w:b/>
                <w:color w:val="9B1C1C"/>
                <w:sz w:val="15"/>
              </w:rPr>
              <w:t>Generic backdoor</w:t>
            </w:r>
          </w:p>
        </w:tc>
        <w:tc>
          <w:tcPr>
            <w:tcW w:type="dxa" w:w="8168"/>
          </w:tcPr>
          <w:p>
            <w:pPr>
              <w:spacing w:before="0" w:after="0" w:line="240" w:lineRule="auto"/>
              <w:keepLines w:val="1"/>
            </w:pPr>
            <w:r>
              <w:rPr>
                <w:rFonts w:ascii="Arial" w:hAnsi="Arial"/>
                <w:color w:val="17202A"/>
                <w:sz w:val="15"/>
              </w:rPr>
              <w:t>Narrow novelty to causal forensics; compare fixed-pixel and blue-marker treatments as controls, not contributions.</w:t>
            </w:r>
          </w:p>
        </w:tc>
      </w:tr>
      <w:tr>
        <w:tc>
          <w:tcPr>
            <w:tcW w:type="dxa" w:w="2200"/>
          </w:tcPr>
          <w:p>
            <w:pPr>
              <w:spacing w:before="0" w:after="0" w:line="240" w:lineRule="auto"/>
              <w:keepLines w:val="1"/>
            </w:pPr>
            <w:r>
              <w:rPr>
                <w:rFonts w:ascii="Arial" w:hAnsi="Arial"/>
                <w:b/>
                <w:color w:val="9B1C1C"/>
                <w:sz w:val="15"/>
              </w:rPr>
              <w:t>Geometry shortcut</w:t>
            </w:r>
          </w:p>
        </w:tc>
        <w:tc>
          <w:tcPr>
            <w:tcW w:type="dxa" w:w="8168"/>
          </w:tcPr>
          <w:p>
            <w:pPr>
              <w:spacing w:before="0" w:after="0" w:line="240" w:lineRule="auto"/>
              <w:keepLines w:val="1"/>
            </w:pPr>
            <w:r>
              <w:rPr>
                <w:rFonts w:ascii="Arial" w:hAnsi="Arial"/>
                <w:color w:val="17202A"/>
                <w:sz w:val="15"/>
              </w:rPr>
              <w:t>Break each relational conjunct; hold out boundary sides/angles/distances; require action×state interaction and neutral-trajectory specificity.</w:t>
            </w:r>
          </w:p>
        </w:tc>
      </w:tr>
      <w:tr>
        <w:tc>
          <w:tcPr>
            <w:tcW w:type="dxa" w:w="2200"/>
          </w:tcPr>
          <w:p>
            <w:pPr>
              <w:spacing w:before="0" w:after="0" w:line="240" w:lineRule="auto"/>
              <w:keepLines w:val="1"/>
            </w:pPr>
            <w:r>
              <w:rPr>
                <w:rFonts w:ascii="Arial" w:hAnsi="Arial"/>
                <w:b/>
                <w:color w:val="9B1C1C"/>
                <w:sz w:val="15"/>
              </w:rPr>
              <w:t>Non-action hallucination</w:t>
            </w:r>
          </w:p>
        </w:tc>
        <w:tc>
          <w:tcPr>
            <w:tcW w:type="dxa" w:w="8168"/>
          </w:tcPr>
          <w:p>
            <w:pPr>
              <w:spacing w:before="0" w:after="0" w:line="240" w:lineRule="auto"/>
              <w:keepLines w:val="1"/>
            </w:pPr>
            <w:r>
              <w:rPr>
                <w:rFonts w:ascii="Arial" w:hAnsi="Arial"/>
                <w:color w:val="17202A"/>
                <w:sz w:val="15"/>
              </w:rPr>
              <w:t>Use crossed good/bad candidate pairs; require correct clean rankings and action-specific preference inversion.</w:t>
            </w:r>
          </w:p>
        </w:tc>
      </w:tr>
      <w:tr>
        <w:tc>
          <w:tcPr>
            <w:tcW w:type="dxa" w:w="2200"/>
          </w:tcPr>
          <w:p>
            <w:pPr>
              <w:spacing w:before="0" w:after="0" w:line="240" w:lineRule="auto"/>
              <w:keepLines w:val="1"/>
            </w:pPr>
            <w:r>
              <w:rPr>
                <w:rFonts w:ascii="Arial" w:hAnsi="Arial"/>
                <w:b/>
                <w:color w:val="9B1C1C"/>
                <w:sz w:val="15"/>
              </w:rPr>
              <w:t>Patching overclaim</w:t>
            </w:r>
          </w:p>
        </w:tc>
        <w:tc>
          <w:tcPr>
            <w:tcW w:type="dxa" w:w="8168"/>
          </w:tcPr>
          <w:p>
            <w:pPr>
              <w:spacing w:before="0" w:after="0" w:line="240" w:lineRule="auto"/>
              <w:keepLines w:val="1"/>
            </w:pPr>
            <w:r>
              <w:rPr>
                <w:rFonts w:ascii="Arial" w:hAnsi="Arial"/>
                <w:color w:val="17202A"/>
                <w:sz w:val="15"/>
              </w:rPr>
              <w:t>Use bidirectional and group/path patches; report interaction effects rather than declaring one component the whole circuit.</w:t>
            </w:r>
          </w:p>
        </w:tc>
      </w:tr>
      <w:tr>
        <w:tc>
          <w:tcPr>
            <w:tcW w:type="dxa" w:w="2200"/>
          </w:tcPr>
          <w:p>
            <w:pPr>
              <w:spacing w:before="0" w:after="0" w:line="240" w:lineRule="auto"/>
              <w:keepLines w:val="1"/>
            </w:pPr>
            <w:r>
              <w:rPr>
                <w:rFonts w:ascii="Arial" w:hAnsi="Arial"/>
                <w:b/>
                <w:color w:val="9B1C1C"/>
                <w:sz w:val="15"/>
              </w:rPr>
              <w:t>Target mismatch</w:t>
            </w:r>
          </w:p>
        </w:tc>
        <w:tc>
          <w:tcPr>
            <w:tcW w:type="dxa" w:w="8168"/>
          </w:tcPr>
          <w:p>
            <w:pPr>
              <w:spacing w:before="0" w:after="0" w:line="240" w:lineRule="auto"/>
              <w:keepLines w:val="1"/>
            </w:pPr>
            <w:r>
              <w:rPr>
                <w:rFonts w:ascii="Arial" w:hAnsi="Arial"/>
                <w:color w:val="17202A"/>
                <w:sz w:val="15"/>
              </w:rPr>
              <w:t>Call Push-T a JEPA world-model model organism, not a VLA; test emergency-door refusal only in a later language-conditioned platform.</w:t>
            </w:r>
          </w:p>
        </w:tc>
      </w:tr>
    </w:tbl>
    <w:p>
      <w:pPr>
        <w:pStyle w:val="Heading2"/>
        <w:keepNext w:val="1"/>
      </w:pPr>
      <w:r>
        <w:t>Modern anchor + four essential follow-ons (2024–2026)</w:t>
      </w:r>
    </w:p>
    <w:p>
      <w:pPr>
        <w:spacing w:before="0" w:after="40" w:line="240" w:lineRule="auto"/>
        <w:keepLines w:val="1"/>
      </w:pPr>
      <w:r>
        <w:rPr>
          <w:rFonts w:ascii="Arial" w:hAnsi="Arial"/>
          <w:b/>
          <w:color w:val="1F4D78"/>
          <w:sz w:val="16"/>
        </w:rPr>
        <w:t xml:space="preserve">Using the ACT paper as the analogy: </w:t>
      </w:r>
      <w:r>
        <w:rPr>
          <w:rFonts w:ascii="Arial" w:hAnsi="Arial"/>
          <w:color w:val="17202A"/>
          <w:sz w:val="16"/>
        </w:rPr>
        <w:t>the best modern anchor is Jenner et al.’s NeurIPS 2024 Leela Chess Zero study.[16–17] It is not a video world model, but it is the strongest recent, recognizable mechanistic analysis of learned planning “in the wild”; the maze paper is its explicit world-model counterpart.[15]</w:t>
      </w:r>
    </w:p>
    <w:tbl>
      <w:tblPr>
        <w:tblW w:type="dxa" w:w="10368"/>
        <w:jc w:val="left"/>
        <w:tblLayout w:type="fixed"/>
        <w:tblLook w:firstColumn="1" w:firstRow="1" w:lastColumn="0" w:lastRow="0" w:noHBand="0" w:noVBand="1" w:val="04A0"/>
        <w:tblInd w:w="9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650"/>
        <w:gridCol w:w="5750"/>
        <w:gridCol w:w="3968"/>
      </w:tblGrid>
      <w:tr>
        <w:trPr>
          <w:tblHeader w:val="true"/>
        </w:trPr>
        <w:tc>
          <w:tcPr>
            <w:tcW w:type="dxa" w:w="65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4"/>
              </w:rPr>
            </w:r>
          </w:p>
        </w:tc>
        <w:tc>
          <w:tcPr>
            <w:tcW w:type="dxa" w:w="5750"/>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4"/>
              </w:rPr>
              <w:t>Paper</w:t>
            </w:r>
          </w:p>
        </w:tc>
        <w:tc>
          <w:tcPr>
            <w:tcW w:type="dxa" w:w="3968"/>
            <w:tcMar>
              <w:top w:w="55" w:type="dxa"/>
              <w:start w:w="90" w:type="dxa"/>
              <w:bottom w:w="55" w:type="dxa"/>
              <w:end w:w="90" w:type="dxa"/>
            </w:tcMar>
            <w:vAlign w:val="center"/>
            <w:shd w:fill="F2F4F7"/>
          </w:tcPr>
          <w:p>
            <w:pPr>
              <w:spacing w:before="0" w:after="0" w:line="240" w:lineRule="auto"/>
              <w:keepLines w:val="1"/>
            </w:pPr>
            <w:r>
              <w:rPr>
                <w:rFonts w:ascii="Arial" w:hAnsi="Arial"/>
                <w:b/>
                <w:color w:val="0B2545"/>
                <w:sz w:val="14"/>
              </w:rPr>
              <w:t>Why it matters</w:t>
            </w:r>
          </w:p>
        </w:tc>
      </w:tr>
      <w:tr>
        <w:tc>
          <w:tcPr>
            <w:tcW w:type="dxa" w:w="650"/>
          </w:tcPr>
          <w:p>
            <w:pPr>
              <w:spacing w:before="0" w:after="0" w:line="240" w:lineRule="auto"/>
              <w:keepLines w:val="1"/>
            </w:pPr>
            <w:r>
              <w:rPr>
                <w:rFonts w:ascii="Arial" w:hAnsi="Arial"/>
                <w:b/>
                <w:color w:val="7A5A00"/>
                <w:sz w:val="14"/>
              </w:rPr>
              <w:t>1</w:t>
            </w:r>
          </w:p>
        </w:tc>
        <w:tc>
          <w:tcPr>
            <w:tcW w:type="dxa" w:w="5750"/>
          </w:tcPr>
          <w:p>
            <w:pPr>
              <w:spacing w:before="0" w:after="0" w:line="240" w:lineRule="auto"/>
              <w:keepLines w:val="1"/>
            </w:pPr>
            <w:r>
              <w:rPr>
                <w:rFonts w:ascii="Arial" w:hAnsi="Arial"/>
                <w:b/>
                <w:color w:val="17202A"/>
                <w:sz w:val="14"/>
              </w:rPr>
              <w:t xml:space="preserve">Jenner et al. (2024), </w:t>
            </w:r>
            <w:r>
              <w:rPr>
                <w:rFonts w:ascii="Arial" w:hAnsi="Arial"/>
                <w:i/>
                <w:color w:val="17202A"/>
                <w:sz w:val="14"/>
              </w:rPr>
              <w:t>Evidence of Learned Look-Ahead in a Chess-Playing Neural Network</w:t>
            </w:r>
          </w:p>
        </w:tc>
        <w:tc>
          <w:tcPr>
            <w:tcW w:type="dxa" w:w="3968"/>
          </w:tcPr>
          <w:p>
            <w:pPr>
              <w:spacing w:before="0" w:after="0" w:line="240" w:lineRule="auto"/>
              <w:keepLines w:val="1"/>
            </w:pPr>
            <w:r>
              <w:rPr>
                <w:rFonts w:ascii="Arial" w:hAnsi="Arial"/>
                <w:color w:val="17202A"/>
                <w:sz w:val="14"/>
              </w:rPr>
              <w:t>Modern anchor (NeurIPS main): causal future-move activations, temporal attention heads, and a 92%-accurate two-ply probe in a strong neural planner.</w:t>
            </w:r>
          </w:p>
        </w:tc>
      </w:tr>
      <w:tr>
        <w:tc>
          <w:tcPr>
            <w:tcW w:type="dxa" w:w="650"/>
          </w:tcPr>
          <w:p>
            <w:pPr>
              <w:spacing w:before="0" w:after="0" w:line="240" w:lineRule="auto"/>
              <w:keepLines w:val="1"/>
            </w:pPr>
            <w:r>
              <w:rPr>
                <w:rFonts w:ascii="Arial" w:hAnsi="Arial"/>
                <w:b/>
                <w:color w:val="17202A"/>
                <w:sz w:val="14"/>
              </w:rPr>
              <w:t>2</w:t>
            </w:r>
          </w:p>
        </w:tc>
        <w:tc>
          <w:tcPr>
            <w:tcW w:type="dxa" w:w="5750"/>
          </w:tcPr>
          <w:p>
            <w:pPr>
              <w:spacing w:before="0" w:after="0" w:line="240" w:lineRule="auto"/>
              <w:keepLines w:val="1"/>
            </w:pPr>
            <w:r>
              <w:rPr>
                <w:rFonts w:ascii="Arial" w:hAnsi="Arial"/>
                <w:b/>
                <w:color w:val="17202A"/>
                <w:sz w:val="14"/>
              </w:rPr>
              <w:t xml:space="preserve">Spies et al. (2024/25), </w:t>
            </w:r>
            <w:r>
              <w:rPr>
                <w:rFonts w:ascii="Arial" w:hAnsi="Arial"/>
                <w:i/>
                <w:color w:val="17202A"/>
                <w:sz w:val="14"/>
              </w:rPr>
              <w:t>Transformers Use Causal World Models in Maze-Solving Tasks</w:t>
            </w:r>
          </w:p>
        </w:tc>
        <w:tc>
          <w:tcPr>
            <w:tcW w:type="dxa" w:w="3968"/>
          </w:tcPr>
          <w:p>
            <w:pPr>
              <w:spacing w:before="0" w:after="0" w:line="240" w:lineRule="auto"/>
              <w:keepLines w:val="1"/>
            </w:pPr>
            <w:r>
              <w:rPr>
                <w:rFonts w:ascii="Arial" w:hAnsi="Arial"/>
                <w:color w:val="17202A"/>
                <w:sz w:val="14"/>
              </w:rPr>
              <w:t>Most explicit mechanistic-world-model paper: convergent circuit/SAE evidence and causal feature interventions in a controlled spatial task.</w:t>
            </w:r>
          </w:p>
        </w:tc>
      </w:tr>
      <w:tr>
        <w:tc>
          <w:tcPr>
            <w:tcW w:type="dxa" w:w="650"/>
          </w:tcPr>
          <w:p>
            <w:pPr>
              <w:spacing w:before="0" w:after="0" w:line="240" w:lineRule="auto"/>
              <w:keepLines w:val="1"/>
            </w:pPr>
            <w:r>
              <w:rPr>
                <w:rFonts w:ascii="Arial" w:hAnsi="Arial"/>
                <w:b/>
                <w:color w:val="17202A"/>
                <w:sz w:val="14"/>
              </w:rPr>
              <w:t>3</w:t>
            </w:r>
          </w:p>
        </w:tc>
        <w:tc>
          <w:tcPr>
            <w:tcW w:type="dxa" w:w="5750"/>
          </w:tcPr>
          <w:p>
            <w:pPr>
              <w:spacing w:before="0" w:after="0" w:line="240" w:lineRule="auto"/>
              <w:keepLines w:val="1"/>
            </w:pPr>
            <w:r>
              <w:rPr>
                <w:rFonts w:ascii="Arial" w:hAnsi="Arial"/>
                <w:b/>
                <w:color w:val="17202A"/>
                <w:sz w:val="14"/>
              </w:rPr>
              <w:t xml:space="preserve">Häon et al. (2025), </w:t>
            </w:r>
            <w:r>
              <w:rPr>
                <w:rFonts w:ascii="Arial" w:hAnsi="Arial"/>
                <w:i/>
                <w:color w:val="17202A"/>
                <w:sz w:val="14"/>
              </w:rPr>
              <w:t>Mechanistic Interpretability for Steering Vision-Language-Action Models</w:t>
            </w:r>
          </w:p>
        </w:tc>
        <w:tc>
          <w:tcPr>
            <w:tcW w:type="dxa" w:w="3968"/>
          </w:tcPr>
          <w:p>
            <w:pPr>
              <w:spacing w:before="0" w:after="0" w:line="240" w:lineRule="auto"/>
              <w:keepLines w:val="1"/>
            </w:pPr>
            <w:r>
              <w:rPr>
                <w:rFonts w:ascii="Arial" w:hAnsi="Arial"/>
                <w:color w:val="17202A"/>
                <w:sz w:val="14"/>
              </w:rPr>
              <w:t>The embodied bridge: sparse semantic directions causally alter speed/direction in open VLAs, including physical-robot evaluation.</w:t>
            </w:r>
          </w:p>
        </w:tc>
      </w:tr>
      <w:tr>
        <w:tc>
          <w:tcPr>
            <w:tcW w:type="dxa" w:w="650"/>
          </w:tcPr>
          <w:p>
            <w:pPr>
              <w:spacing w:before="0" w:after="0" w:line="240" w:lineRule="auto"/>
              <w:keepLines w:val="1"/>
            </w:pPr>
            <w:r>
              <w:rPr>
                <w:rFonts w:ascii="Arial" w:hAnsi="Arial"/>
                <w:b/>
                <w:color w:val="17202A"/>
                <w:sz w:val="14"/>
              </w:rPr>
              <w:t>4</w:t>
            </w:r>
          </w:p>
        </w:tc>
        <w:tc>
          <w:tcPr>
            <w:tcW w:type="dxa" w:w="5750"/>
          </w:tcPr>
          <w:p>
            <w:pPr>
              <w:spacing w:before="0" w:after="0" w:line="240" w:lineRule="auto"/>
              <w:keepLines w:val="1"/>
            </w:pPr>
            <w:r>
              <w:rPr>
                <w:rFonts w:ascii="Arial" w:hAnsi="Arial"/>
                <w:b/>
                <w:color w:val="17202A"/>
                <w:sz w:val="14"/>
              </w:rPr>
              <w:t xml:space="preserve">Swann et al. (2026), </w:t>
            </w:r>
            <w:r>
              <w:rPr>
                <w:rFonts w:ascii="Arial" w:hAnsi="Arial"/>
                <w:i/>
                <w:color w:val="17202A"/>
                <w:sz w:val="14"/>
              </w:rPr>
              <w:t>Sparse Autoencoders Reveal Interpretable and Steerable Features in VLA Models</w:t>
            </w:r>
          </w:p>
        </w:tc>
        <w:tc>
          <w:tcPr>
            <w:tcW w:type="dxa" w:w="3968"/>
          </w:tcPr>
          <w:p>
            <w:pPr>
              <w:spacing w:before="0" w:after="0" w:line="240" w:lineRule="auto"/>
              <w:keepLines w:val="1"/>
            </w:pPr>
            <w:r>
              <w:rPr>
                <w:rFonts w:ascii="Arial" w:hAnsi="Arial"/>
                <w:color w:val="17202A"/>
                <w:sz w:val="14"/>
              </w:rPr>
              <w:t>Critical for your controls: most SAE features memorize demonstrations; the paper separates general primitives from episode-specific features.</w:t>
            </w:r>
          </w:p>
        </w:tc>
      </w:tr>
      <w:tr>
        <w:tc>
          <w:tcPr>
            <w:tcW w:type="dxa" w:w="650"/>
          </w:tcPr>
          <w:p>
            <w:pPr>
              <w:spacing w:before="0" w:after="0" w:line="240" w:lineRule="auto"/>
              <w:keepLines w:val="1"/>
            </w:pPr>
            <w:r>
              <w:rPr>
                <w:rFonts w:ascii="Arial" w:hAnsi="Arial"/>
                <w:b/>
                <w:color w:val="17202A"/>
                <w:sz w:val="14"/>
              </w:rPr>
              <w:t>5</w:t>
            </w:r>
          </w:p>
        </w:tc>
        <w:tc>
          <w:tcPr>
            <w:tcW w:type="dxa" w:w="5750"/>
          </w:tcPr>
          <w:p>
            <w:pPr>
              <w:spacing w:before="0" w:after="0" w:line="240" w:lineRule="auto"/>
              <w:keepLines w:val="1"/>
            </w:pPr>
            <w:r>
              <w:rPr>
                <w:rFonts w:ascii="Arial" w:hAnsi="Arial"/>
                <w:b/>
                <w:color w:val="17202A"/>
                <w:sz w:val="14"/>
              </w:rPr>
              <w:t xml:space="preserve">Hong et al. (2026), </w:t>
            </w:r>
            <w:r>
              <w:rPr>
                <w:rFonts w:ascii="Arial" w:hAnsi="Arial"/>
                <w:i/>
                <w:color w:val="17202A"/>
                <w:sz w:val="14"/>
              </w:rPr>
              <w:t>Steering Robustness into World Action Models via Mechanistic Interpretability and Optimal Control</w:t>
            </w:r>
          </w:p>
        </w:tc>
        <w:tc>
          <w:tcPr>
            <w:tcW w:type="dxa" w:w="3968"/>
          </w:tcPr>
          <w:p>
            <w:pPr>
              <w:spacing w:before="0" w:after="0" w:line="240" w:lineRule="auto"/>
              <w:keepLines w:val="1"/>
            </w:pPr>
            <w:r>
              <w:rPr>
                <w:rFonts w:ascii="Arial" w:hAnsi="Arial"/>
                <w:color w:val="17202A"/>
                <w:sz w:val="14"/>
              </w:rPr>
              <w:t>Closest current paper to your target: activation geometry, steerability prediction, and causal control in world-action models.</w:t>
            </w:r>
          </w:p>
        </w:tc>
      </w:tr>
    </w:tbl>
    <w:p>
      <w:pPr>
        <w:pStyle w:val="Heading3"/>
        <w:keepNext w:val="1"/>
      </w:pPr>
      <w:r>
        <w:t>Sources</w:t>
      </w:r>
    </w:p>
    <w:p>
      <w:pPr>
        <w:spacing w:before="0" w:after="20" w:line="240" w:lineRule="auto"/>
        <w:keepLines w:val="1"/>
      </w:pPr>
      <w:hyperlink r:id="rId11">
        <w:r>
          <w:rPr>
            <w:rFonts w:ascii="Arial" w:hAnsi="Arial"/>
            <w:color w:val="2E74B5"/>
            <w:sz w:val="14"/>
            <w:szCs w:val="14"/>
            <w:u w:val="single"/>
          </w:rPr>
          <w:t>[1] Assran et al., V-JEPA 2 (2025/2026 revision)</w:t>
        </w:r>
      </w:hyperlink>
      <w:r>
        <w:rPr>
          <w:rFonts w:ascii="Arial" w:hAnsi="Arial"/>
          <w:color w:val="5E6A73"/>
          <w:sz w:val="14"/>
        </w:rPr>
        <w:t xml:space="preserve">  •  </w:t>
      </w:r>
      <w:hyperlink r:id="rId12">
        <w:r>
          <w:rPr>
            <w:rFonts w:ascii="Arial" w:hAnsi="Arial"/>
            <w:color w:val="2E74B5"/>
            <w:sz w:val="14"/>
            <w:szCs w:val="14"/>
            <w:u w:val="single"/>
          </w:rPr>
          <w:t>[2] Wang et al., Modifying LLM Beliefs with SDF (2025)</w:t>
        </w:r>
      </w:hyperlink>
      <w:r>
        <w:rPr>
          <w:rFonts w:ascii="Arial" w:hAnsi="Arial"/>
          <w:color w:val="5E6A73"/>
          <w:sz w:val="14"/>
        </w:rPr>
        <w:t xml:space="preserve">  •  </w:t>
      </w:r>
      <w:hyperlink r:id="rId13">
        <w:r>
          <w:rPr>
            <w:rFonts w:ascii="Arial" w:hAnsi="Arial"/>
            <w:color w:val="2E74B5"/>
            <w:sz w:val="14"/>
            <w:szCs w:val="14"/>
            <w:u w:val="single"/>
          </w:rPr>
          <w:t>[3] Slocum et al., Believe It or Not (2025)</w:t>
        </w:r>
      </w:hyperlink>
      <w:r>
        <w:rPr>
          <w:rFonts w:ascii="Arial" w:hAnsi="Arial"/>
          <w:color w:val="5E6A73"/>
          <w:sz w:val="14"/>
        </w:rPr>
        <w:t xml:space="preserve">  •  </w:t>
      </w:r>
      <w:hyperlink r:id="rId14">
        <w:r>
          <w:rPr>
            <w:rFonts w:ascii="Arial" w:hAnsi="Arial"/>
            <w:color w:val="2E74B5"/>
            <w:sz w:val="14"/>
            <w:szCs w:val="14"/>
            <w:u w:val="single"/>
          </w:rPr>
          <w:t>[4] Häon et al., Mechanistic Interpretability for Steering VLAs (2025)</w:t>
        </w:r>
      </w:hyperlink>
      <w:r>
        <w:rPr>
          <w:rFonts w:ascii="Arial" w:hAnsi="Arial"/>
          <w:color w:val="5E6A73"/>
          <w:sz w:val="14"/>
        </w:rPr>
        <w:t xml:space="preserve">  •  </w:t>
      </w:r>
      <w:hyperlink r:id="rId15">
        <w:r>
          <w:rPr>
            <w:rFonts w:ascii="Arial" w:hAnsi="Arial"/>
            <w:color w:val="2E74B5"/>
            <w:sz w:val="14"/>
            <w:szCs w:val="14"/>
            <w:u w:val="single"/>
          </w:rPr>
          <w:t>[5] Buurmeijer et al., Observing and Controlling Features in VLAs (2026)</w:t>
        </w:r>
      </w:hyperlink>
      <w:r>
        <w:rPr>
          <w:rFonts w:ascii="Arial" w:hAnsi="Arial"/>
          <w:color w:val="5E6A73"/>
          <w:sz w:val="14"/>
        </w:rPr>
        <w:t xml:space="preserve">  •  </w:t>
      </w:r>
      <w:hyperlink r:id="rId16">
        <w:r>
          <w:rPr>
            <w:rFonts w:ascii="Arial" w:hAnsi="Arial"/>
            <w:color w:val="2E74B5"/>
            <w:sz w:val="14"/>
            <w:szCs w:val="14"/>
            <w:u w:val="single"/>
          </w:rPr>
          <w:t>[6] Swann et al., SAE Features in VLAs (2026)</w:t>
        </w:r>
      </w:hyperlink>
      <w:r>
        <w:rPr>
          <w:rFonts w:ascii="Arial" w:hAnsi="Arial"/>
          <w:color w:val="5E6A73"/>
          <w:sz w:val="14"/>
        </w:rPr>
        <w:t xml:space="preserve">  •  </w:t>
      </w:r>
      <w:hyperlink r:id="rId17">
        <w:r>
          <w:rPr>
            <w:rFonts w:ascii="Arial" w:hAnsi="Arial"/>
            <w:color w:val="2E74B5"/>
            <w:sz w:val="14"/>
            <w:szCs w:val="14"/>
            <w:u w:val="single"/>
          </w:rPr>
          <w:t>[7] Hong et al., Steering Robustness into WAMs (2026)</w:t>
        </w:r>
      </w:hyperlink>
      <w:r>
        <w:rPr>
          <w:rFonts w:ascii="Arial" w:hAnsi="Arial"/>
          <w:color w:val="5E6A73"/>
          <w:sz w:val="14"/>
        </w:rPr>
        <w:t xml:space="preserve">  •  </w:t>
      </w:r>
      <w:hyperlink r:id="rId18">
        <w:r>
          <w:rPr>
            <w:rFonts w:ascii="Arial" w:hAnsi="Arial"/>
            <w:color w:val="2E74B5"/>
            <w:sz w:val="14"/>
            <w:szCs w:val="14"/>
            <w:u w:val="single"/>
          </w:rPr>
          <w:t>[8] Meta FAIR, JEPA-WMs code/data/weights (2026)</w:t>
        </w:r>
      </w:hyperlink>
      <w:r>
        <w:rPr>
          <w:rFonts w:ascii="Arial" w:hAnsi="Arial"/>
          <w:color w:val="5E6A73"/>
          <w:sz w:val="14"/>
        </w:rPr>
        <w:t xml:space="preserve">  •  </w:t>
      </w:r>
      <w:hyperlink r:id="rId19">
        <w:r>
          <w:rPr>
            <w:rFonts w:ascii="Arial" w:hAnsi="Arial"/>
            <w:color w:val="2E74B5"/>
            <w:sz w:val="14"/>
            <w:szCs w:val="14"/>
            <w:u w:val="single"/>
          </w:rPr>
          <w:t>[9] BadVLA (NeurIPS 2025)</w:t>
        </w:r>
      </w:hyperlink>
      <w:r>
        <w:rPr>
          <w:rFonts w:ascii="Arial" w:hAnsi="Arial"/>
          <w:color w:val="5E6A73"/>
          <w:sz w:val="14"/>
        </w:rPr>
        <w:t xml:space="preserve">  •  </w:t>
      </w:r>
      <w:hyperlink r:id="rId20">
        <w:r>
          <w:rPr>
            <w:rFonts w:ascii="Arial" w:hAnsi="Arial"/>
            <w:color w:val="2E74B5"/>
            <w:sz w:val="14"/>
            <w:szCs w:val="14"/>
            <w:u w:val="single"/>
          </w:rPr>
          <w:t>[10] GoBA / BadLIBERO (2025)</w:t>
        </w:r>
      </w:hyperlink>
      <w:r>
        <w:rPr>
          <w:rFonts w:ascii="Arial" w:hAnsi="Arial"/>
          <w:color w:val="5E6A73"/>
          <w:sz w:val="14"/>
        </w:rPr>
        <w:t xml:space="preserve">  •  </w:t>
      </w:r>
      <w:hyperlink r:id="rId21">
        <w:r>
          <w:rPr>
            <w:rFonts w:ascii="Arial" w:hAnsi="Arial"/>
            <w:color w:val="2E74B5"/>
            <w:sz w:val="14"/>
            <w:szCs w:val="14"/>
            <w:u w:val="single"/>
          </w:rPr>
          <w:t>[11] AttackVLA / BackdoorVLA (2025)</w:t>
        </w:r>
      </w:hyperlink>
      <w:r>
        <w:rPr>
          <w:rFonts w:ascii="Arial" w:hAnsi="Arial"/>
          <w:color w:val="5E6A73"/>
          <w:sz w:val="14"/>
        </w:rPr>
        <w:t xml:space="preserve">  •  </w:t>
      </w:r>
      <w:hyperlink r:id="rId22">
        <w:r>
          <w:rPr>
            <w:rFonts w:ascii="Arial" w:hAnsi="Arial"/>
            <w:color w:val="2E74B5"/>
            <w:sz w:val="14"/>
            <w:szCs w:val="14"/>
            <w:u w:val="single"/>
          </w:rPr>
          <w:t>[12] Guo et al., State Backdoor (2026)</w:t>
        </w:r>
      </w:hyperlink>
      <w:r>
        <w:rPr>
          <w:rFonts w:ascii="Arial" w:hAnsi="Arial"/>
          <w:color w:val="5E6A73"/>
          <w:sz w:val="14"/>
        </w:rPr>
        <w:t xml:space="preserve">  •  </w:t>
      </w:r>
      <w:hyperlink r:id="rId23">
        <w:r>
          <w:rPr>
            <w:rFonts w:ascii="Arial" w:hAnsi="Arial"/>
            <w:color w:val="2E74B5"/>
            <w:sz w:val="14"/>
            <w:szCs w:val="14"/>
            <w:u w:val="single"/>
          </w:rPr>
          <w:t>[13] Xu et al., SilentDrift (2026)</w:t>
        </w:r>
      </w:hyperlink>
      <w:r>
        <w:rPr>
          <w:rFonts w:ascii="Arial" w:hAnsi="Arial"/>
          <w:color w:val="5E6A73"/>
          <w:sz w:val="14"/>
        </w:rPr>
        <w:t xml:space="preserve">  •  </w:t>
      </w:r>
      <w:hyperlink r:id="rId24">
        <w:r>
          <w:rPr>
            <w:rFonts w:ascii="Arial" w:hAnsi="Arial"/>
            <w:color w:val="2E74B5"/>
            <w:sz w:val="14"/>
            <w:szCs w:val="14"/>
            <w:u w:val="single"/>
          </w:rPr>
          <w:t>[14] Zhang &amp; Nanda, Activation Patching Best Practices (2023)</w:t>
        </w:r>
      </w:hyperlink>
      <w:r>
        <w:rPr>
          <w:rFonts w:ascii="Arial" w:hAnsi="Arial"/>
          <w:color w:val="5E6A73"/>
          <w:sz w:val="14"/>
        </w:rPr>
        <w:t xml:space="preserve">  •  </w:t>
      </w:r>
      <w:hyperlink r:id="rId25">
        <w:r>
          <w:rPr>
            <w:rFonts w:ascii="Arial" w:hAnsi="Arial"/>
            <w:color w:val="2E74B5"/>
            <w:sz w:val="14"/>
            <w:szCs w:val="14"/>
            <w:u w:val="single"/>
          </w:rPr>
          <w:t>[15] Spies et al., Causal World Models in Mazes (2024/25)</w:t>
        </w:r>
      </w:hyperlink>
      <w:r>
        <w:rPr>
          <w:rFonts w:ascii="Arial" w:hAnsi="Arial"/>
          <w:color w:val="5E6A73"/>
          <w:sz w:val="14"/>
        </w:rPr>
        <w:t xml:space="preserve">  •  </w:t>
      </w:r>
      <w:hyperlink r:id="rId26">
        <w:r>
          <w:rPr>
            <w:rFonts w:ascii="Arial" w:hAnsi="Arial"/>
            <w:color w:val="2E74B5"/>
            <w:sz w:val="14"/>
            <w:szCs w:val="14"/>
            <w:u w:val="single"/>
          </w:rPr>
          <w:t>[16] Jenner et al., Evidence of Learned Look-Ahead (NeurIPS 2024)</w:t>
        </w:r>
      </w:hyperlink>
      <w:r>
        <w:rPr>
          <w:rFonts w:ascii="Arial" w:hAnsi="Arial"/>
          <w:color w:val="5E6A73"/>
          <w:sz w:val="14"/>
        </w:rPr>
        <w:t xml:space="preserve">  •  </w:t>
      </w:r>
      <w:hyperlink r:id="rId27">
        <w:r>
          <w:rPr>
            <w:rFonts w:ascii="Arial" w:hAnsi="Arial"/>
            <w:color w:val="2E74B5"/>
            <w:sz w:val="14"/>
            <w:szCs w:val="14"/>
            <w:u w:val="single"/>
          </w:rPr>
          <w:t>[17] Zhao et al., Action Chunking with Transformers / ACT (2023)</w:t>
        </w:r>
      </w:hyperlink>
    </w:p>
    <w:p>
      <w:pPr>
        <w:spacing w:before="20" w:after="0" w:line="240" w:lineRule="auto"/>
        <w:keepLines w:val="1"/>
      </w:pPr>
      <w:r>
        <w:rPr>
          <w:rFonts w:ascii="Arial" w:hAnsi="Arial"/>
          <w:i/>
          <w:color w:val="5E6A73"/>
          <w:sz w:val="14"/>
        </w:rPr>
        <w:t>Context reviewed: project brainstorming, supplied public research materials, the SDF article, and the implanted-facts paper. Literature search current to 27 Aug 2026.</w:t>
      </w:r>
    </w:p>
    <w:sectPr w:rsidR="00FC693F" w:rsidRPr="0006063C" w:rsidSect="00034616">
      <w:headerReference w:type="default" r:id="rId9"/>
      <w:footerReference w:type="default" r:id="rId10"/>
      <w:pgSz w:w="12240" w:h="15840"/>
      <w:pgMar w:top="936" w:right="936" w:bottom="936" w:left="936"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keepLines w:val="1"/>
      <w:jc w:val="right"/>
    </w:pPr>
    <w:r>
      <w:rPr>
        <w:rFonts w:ascii="Arial" w:hAnsi="Arial"/>
        <w:b/>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keepLines w:val="1"/>
    </w:pPr>
    <w:r>
      <w:rPr>
        <w:rFonts w:ascii="Arial" w:hAnsi="Arial"/>
        <w:b/>
        <w:color w:val="5E6A73"/>
        <w:sz w:val="15"/>
      </w:rPr>
      <w:t>RESEARCH DIRECTION MEMO</w:t>
    </w:r>
    <w:r>
      <w:rPr>
        <w:rFonts w:ascii="Arial" w:hAnsi="Arial"/>
        <w:color w:val="5E6A73"/>
        <w:sz w:val="15"/>
      </w:rPr>
      <w:t xml:space="preserve">   •   MECHANISTIC INTERPRETABILITY × WORLD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52" w:lineRule="auto"/>
    </w:pPr>
    <w:rPr>
      <w:rFonts w:ascii="Arial" w:hAnsi="Arial"/>
      <w:color w:val="172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rial" w:hAnsi="Arial"/>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Arial" w:hAnsi="Arial"/>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6.09985" TargetMode="External"/><Relationship Id="rId12" Type="http://schemas.openxmlformats.org/officeDocument/2006/relationships/hyperlink" Target="https://alignment.anthropic.com/2025/modifying-beliefs-via-sdf/" TargetMode="External"/><Relationship Id="rId13" Type="http://schemas.openxmlformats.org/officeDocument/2006/relationships/hyperlink" Target="https://arxiv.org/abs/2510.17941" TargetMode="External"/><Relationship Id="rId14" Type="http://schemas.openxmlformats.org/officeDocument/2006/relationships/hyperlink" Target="https://proceedings.mlr.press/v305/haon25a.html" TargetMode="External"/><Relationship Id="rId15" Type="http://schemas.openxmlformats.org/officeDocument/2006/relationships/hyperlink" Target="https://arxiv.org/abs/2603.05487" TargetMode="External"/><Relationship Id="rId16" Type="http://schemas.openxmlformats.org/officeDocument/2006/relationships/hyperlink" Target="https://arxiv.org/abs/2603.19183" TargetMode="External"/><Relationship Id="rId17" Type="http://schemas.openxmlformats.org/officeDocument/2006/relationships/hyperlink" Target="https://arxiv.org/abs/2607.14943" TargetMode="External"/><Relationship Id="rId18" Type="http://schemas.openxmlformats.org/officeDocument/2006/relationships/hyperlink" Target="https://github.com/facebookresearch/jepa-wms" TargetMode="External"/><Relationship Id="rId19" Type="http://schemas.openxmlformats.org/officeDocument/2006/relationships/hyperlink" Target="https://arxiv.org/abs/2505.16640" TargetMode="External"/><Relationship Id="rId20" Type="http://schemas.openxmlformats.org/officeDocument/2006/relationships/hyperlink" Target="https://arxiv.org/abs/2510.09269" TargetMode="External"/><Relationship Id="rId21" Type="http://schemas.openxmlformats.org/officeDocument/2006/relationships/hyperlink" Target="https://arxiv.org/abs/2511.12149" TargetMode="External"/><Relationship Id="rId22" Type="http://schemas.openxmlformats.org/officeDocument/2006/relationships/hyperlink" Target="https://arxiv.org/abs/2601.04266" TargetMode="External"/><Relationship Id="rId23" Type="http://schemas.openxmlformats.org/officeDocument/2006/relationships/hyperlink" Target="https://arxiv.org/abs/2601.14323" TargetMode="External"/><Relationship Id="rId24" Type="http://schemas.openxmlformats.org/officeDocument/2006/relationships/hyperlink" Target="https://arxiv.org/abs/2309.16042" TargetMode="External"/><Relationship Id="rId25" Type="http://schemas.openxmlformats.org/officeDocument/2006/relationships/hyperlink" Target="https://arxiv.org/abs/2412.11867" TargetMode="External"/><Relationship Id="rId26" Type="http://schemas.openxmlformats.org/officeDocument/2006/relationships/hyperlink" Target="https://proceedings.neurips.cc/paper_files/paper/2024/hash/37d9f19150fce07bced2a81fc87d47a6-Abstract-Conference.html" TargetMode="External"/><Relationship Id="rId27" Type="http://schemas.openxmlformats.org/officeDocument/2006/relationships/hyperlink" Target="https://arxiv.org/abs/2304.137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Implanted Failure in JEPA-WM: A Feasibility Audit</dc:title>
  <dc:subject>Research recommendation for mechanistic interpretability of V-JEPA 2-AC and JEPA world models</dc:subject>
  <dc:creator>OpenAI Codex</dc:creator>
  <cp:keywords>V-JEPA 2-AC, world models, mechanistic interpretability, implanted dynamics, model forensics</cp:keywords>
  <dc:description>generated by python-docx</dc:description>
  <cp:lastModifiedBy/>
  <cp:revision>1</cp:revision>
  <dcterms:created xsi:type="dcterms:W3CDTF">2013-12-23T23:15:00Z</dcterms:created>
  <dcterms:modified xsi:type="dcterms:W3CDTF">2013-12-23T23:15:00Z</dcterms:modified>
  <cp:category/>
</cp:coreProperties>
</file>