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20"/>
      </w:pPr>
      <w:r>
        <w:rPr>
          <w:rFonts w:ascii="Calibri" w:hAnsi="Calibri"/>
          <w:b/>
          <w:color w:val="0F766E"/>
          <w:sz w:val="17"/>
        </w:rPr>
        <w:t>CAUSAL INTERPRETABILITY OF A ROBOT POLICY</w:t>
      </w:r>
    </w:p>
    <w:p>
      <w:pPr>
        <w:spacing w:after="60"/>
      </w:pPr>
      <w:r>
        <w:rPr>
          <w:rFonts w:ascii="Calibri" w:hAnsi="Calibri"/>
          <w:b/>
          <w:color w:val="102447"/>
          <w:sz w:val="48"/>
        </w:rPr>
        <w:t>Where does π0.5 keep the instruction it is following?</w:t>
      </w:r>
    </w:p>
    <w:p>
      <w:pPr>
        <w:spacing w:before="0" w:after="140" w:line="254" w:lineRule="auto"/>
      </w:pPr>
      <w:r>
        <w:rPr>
          <w:rFonts w:ascii="Calibri" w:hAnsi="Calibri"/>
          <w:i/>
          <w:color w:val="536273"/>
          <w:sz w:val="20"/>
        </w:rPr>
        <w:t>A five-page plain-English report on the project's lineage, experiments, evidence, failures, and safety relevance.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184"/>
            <w:shd w:fill="1D4ED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4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0"/>
              </w:rPr>
              <w:t>What question did you try to answer?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color w:val="172033"/>
                <w:sz w:val="17"/>
              </w:rPr>
              <w:t>When π0.5 turns a sentence and camera view into a movement, where does the instruction's causal influence go? We looked for a small internal object—a direction, token-local code, low-rank subspace, or compact pathway—that could be changed without replacing the rest of the scene and motor state.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184"/>
            <w:shd w:fill="0F766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4"/>
            <w:shd w:fill="E9F7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F766E"/>
                <w:sz w:val="20"/>
              </w:rPr>
              <w:t>Why is the question interesting?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color w:val="172033"/>
                <w:sz w:val="17"/>
              </w:rPr>
              <w:t>Language-model interpretability often starts with semantic tokens. A robot must mix language with pixels, pose, and control constraints before it acts. Its decision may live in a private coordinate system that is not readable as words. The setting also supplies unusually hard validation: same scene, different valid command, followed by action distance, first object touched, and task success.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184"/>
            <w:shd w:fill="C2410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4"/>
            <w:shd w:fill="FFF3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2410C"/>
                <w:sz w:val="20"/>
              </w:rPr>
              <w:t>What conclusions did you reach?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color w:val="172033"/>
                <w:sz w:val="17"/>
              </w:rPr>
              <w:t>The instruction is used during multimodal prefill. Later, its text-token copy remains readable but has little control over the tested Goal actions. Broad late image-position state can redirect behavior, including 18/20 closed-loop successes versus 0/20 for an early-layer control. Compact descriptions failed, but a full layer-6→8 update transferred across initial scenes and required the MLP sublayers. Decoding, causal use, and token provenance separate after modalities mix.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Headline</w:t>
            </w:r>
          </w:p>
        </w:tc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Verified result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Plain-English meaning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Causal handoff</w:t>
            </w:r>
          </w:p>
        </w:tc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Text K/V R=0.0106; late image K/V R=0.8321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The readable instruction and the action-controlling state are not in the same place.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Behavior</w:t>
            </w:r>
          </w:p>
        </w:tc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Late live repair 18/20; early control 0/20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The broad state changes complete robot behavior, not only one vector.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Compression</w:t>
            </w:r>
          </w:p>
        </w:tc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Object-local 0/8; Sonar endpoints 0/12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A selective, portable instruction feature was not isolated.</w:t>
            </w:r>
          </w:p>
        </w:tc>
      </w:tr>
    </w:tbl>
    <w:p>
      <w:pPr>
        <w:spacing w:before="60" w:after="60" w:line="254" w:lineRule="auto"/>
        <w:jc w:val="center"/>
      </w:pPr>
      <w:r>
        <w:rPr>
          <w:rFonts w:ascii="Calibri" w:hAnsi="Calibri"/>
          <w:i w:val="0"/>
          <w:color w:val="536273"/>
          <w:sz w:val="15"/>
        </w:rPr>
        <w:t>Main organism: π0.5 LIBERO checkpoint. Boundary test: OpenVLA-OFT. Evidence is scoped to the archived tasks and checkpoints; it is not a universal claim about all VLAs.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Calibri" w:hAnsi="Calibri"/>
          <w:b/>
          <w:color w:val="0F766E"/>
          <w:sz w:val="16"/>
        </w:rPr>
        <w:t>ORIGINS</w:t>
      </w:r>
    </w:p>
    <w:p>
      <w:pPr>
        <w:spacing w:after="60"/>
      </w:pPr>
      <w:r>
        <w:rPr>
          <w:rFonts w:ascii="Calibri" w:hAnsi="Calibri"/>
          <w:b/>
          <w:color w:val="102447"/>
          <w:sz w:val="34"/>
        </w:rPr>
        <w:t>From Othello-style coordinates to physical action</w:t>
      </w:r>
    </w:p>
    <w:p>
      <w:pPr>
        <w:spacing w:before="0" w:after="100" w:line="254" w:lineRule="auto"/>
      </w:pPr>
      <w:r>
        <w:rPr>
          <w:rFonts w:ascii="Calibri" w:hAnsi="Calibri"/>
          <w:i/>
          <w:color w:val="536273"/>
          <w:sz w:val="18"/>
        </w:rPr>
        <w:t>The project changed organisms, not its core concern: how to audit a decision that exists inside a learned latent state before it becomes visible behavior.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Commit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Project move</w:t>
            </w:r>
          </w:p>
        </w:tc>
        <w:tc>
          <w:tcPr>
            <w:tcW w:type="dxa" w:w="57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1e080c1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JEPA/world-model causal forensics</w:t>
            </w:r>
          </w:p>
        </w:tc>
        <w:tc>
          <w:tcPr>
            <w:tcW w:type="dxa" w:w="57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Try to implant and locate a false physical rule.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ca3b272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Pivot to VLA instruction locus</w:t>
            </w:r>
          </w:p>
        </w:tc>
        <w:tc>
          <w:tcPr>
            <w:tcW w:type="dxa" w:w="57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world-model organism lacked a validated behavioral effect; π0.5 + LIBERO had one.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32285db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Reader-facing framing</w:t>
            </w:r>
          </w:p>
        </w:tc>
        <w:tc>
          <w:tcPr>
            <w:tcW w:type="dxa" w:w="57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Make the same-scene instruction conflict and causal test legible.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2bfafb9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Suite qualification</w:t>
            </w:r>
          </w:p>
        </w:tc>
        <w:tc>
          <w:tcPr>
            <w:tcW w:type="dxa" w:w="57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Correct an overclaim after Goal and Object results differed.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84831" cy="11733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ll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1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84831" cy="11733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ch interp w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1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84831" cy="11733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onal geometry + superposi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1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60"/>
        <w:jc w:val="center"/>
      </w:pPr>
      <w:r>
        <w:rPr>
          <w:rFonts w:ascii="Calibri" w:hAnsi="Calibri"/>
          <w:i/>
          <w:color w:val="536273"/>
          <w:sz w:val="14"/>
        </w:rPr>
        <w:t>Conceptual lineage (left to right): model-native coordinates; the longer LLM→VLA→world-model causal chain; directions, subspaces, superposition, and manifolds. These diagrams motivate tests; they are not result figures.</w:t>
      </w:r>
    </w:p>
    <w:p>
      <w:pPr>
        <w:spacing w:before="0" w:after="60" w:line="254" w:lineRule="auto"/>
      </w:pPr>
      <w:r>
        <w:rPr>
          <w:rFonts w:ascii="Calibri" w:hAnsi="Calibri"/>
          <w:b/>
          <w:color w:val="102447"/>
          <w:sz w:val="17"/>
        </w:rPr>
        <w:t>The Othello lesson</w:t>
      </w:r>
      <w:r>
        <w:rPr>
          <w:rFonts w:ascii="Calibri" w:hAnsi="Calibri"/>
          <w:sz w:val="17"/>
        </w:rPr>
        <w:t xml:space="preserve"> was that a human label can be the wrong coordinate. “Black versus white” is less natural to the model than “mine versus theirs,” which flips with the turn. A VLA has more possible coordinate systems: camera-relative, gripper-relative, object-relative, goal-relative, and combinations of them. This is why a direction learned in one scene may fail in another without the information disappearing.</w:t>
      </w:r>
    </w:p>
    <w:p>
      <w:pPr>
        <w:spacing w:before="0" w:after="60" w:line="254" w:lineRule="auto"/>
      </w:pPr>
      <w:r>
        <w:rPr>
          <w:rFonts w:ascii="Calibri" w:hAnsi="Calibri"/>
          <w:b/>
          <w:color w:val="102447"/>
          <w:sz w:val="17"/>
        </w:rPr>
        <w:t>The first plan</w:t>
      </w:r>
      <w:r>
        <w:rPr>
          <w:rFonts w:ascii="Calibri" w:hAnsi="Calibri"/>
          <w:sz w:val="17"/>
        </w:rPr>
        <w:t xml:space="preserve"> used a JEPA-style MetaWorld predictor with a deliberately false door rule. It never reached the intended interpretability experiment: the checkpoint and paired counterfactuals were not validated, and the planner produced 0/120 elite inaction samples. The pivot to a released VLA kept the latent-state safety question while giving us a working organism and objective behavior.</w:t>
      </w:r>
    </w:p>
    <w:p>
      <w:pPr>
        <w:spacing w:before="0" w:after="60" w:line="254" w:lineRule="auto"/>
      </w:pPr>
      <w:r>
        <w:rPr>
          <w:rFonts w:ascii="Calibri" w:hAnsi="Calibri"/>
          <w:b/>
          <w:color w:val="102447"/>
          <w:sz w:val="17"/>
        </w:rPr>
        <w:t>The Plato's-cave intuition</w:t>
      </w:r>
      <w:r>
        <w:rPr>
          <w:rFonts w:ascii="Calibri" w:hAnsi="Calibri"/>
          <w:sz w:val="17"/>
        </w:rPr>
        <w:t xml:space="preserve"> from Beyond Language Modeling also survives in a modest form. Text describes the physical world; it is not the world. In π0.5, a linguistic instruction becomes part of a multimodal state whose function is better described by the action it causes than by the token type at its storage position.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Calibri" w:hAnsi="Calibri"/>
          <w:b/>
          <w:color w:val="0F766E"/>
          <w:sz w:val="16"/>
        </w:rPr>
        <w:t>WHAT WE DID</w:t>
      </w:r>
    </w:p>
    <w:p>
      <w:pPr>
        <w:spacing w:after="60"/>
      </w:pPr>
      <w:r>
        <w:rPr>
          <w:rFonts w:ascii="Calibri" w:hAnsi="Calibri"/>
          <w:b/>
          <w:color w:val="102447"/>
          <w:sz w:val="34"/>
        </w:rPr>
        <w:t>A ladder from behavior to causal mechanism</w:t>
      </w:r>
    </w:p>
    <w:p>
      <w:pPr>
        <w:spacing w:before="0" w:after="100" w:line="254" w:lineRule="auto"/>
      </w:pPr>
      <w:r>
        <w:rPr>
          <w:rFonts w:ascii="Calibri" w:hAnsi="Calibri"/>
          <w:i/>
          <w:color w:val="536273"/>
          <w:sz w:val="18"/>
        </w:rPr>
        <w:t>Each step asked a stronger question. Positive internal geometry was never treated as enough without an action or rollout test.</w:t>
      </w:r>
    </w:p>
    <w:p>
      <w:r>
        <w:drawing>
          <wp:inline xmlns:a="http://schemas.openxmlformats.org/drawingml/2006/main" xmlns:pic="http://schemas.openxmlformats.org/drawingml/2006/picture">
            <wp:extent cx="6446520" cy="3811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imulus_intervention_behavi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1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Calibri" w:hAnsi="Calibri"/>
          <w:i/>
          <w:color w:val="536273"/>
          <w:sz w:val="14"/>
        </w:rPr>
        <w:t>Figure 1. Same pixels and robot state, two valid instructions. Broad late image-state replacement redirected closed-loop behavior; the early-layer control did not.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Direct test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Main finding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Behavior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Conflict the benchmark goal with another valid command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Obedience became measurable by first touch and success.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Readout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Probe each layer and inspect attention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Instruction identity remained readable at text positions.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Causality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Patch text, image, and other prefix state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Late image state, not late text state, carried most Goal action control.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Timing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Swap instruction before prefill; repair state after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instruction is used early, then its consequence is distributed.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Behavioral validation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Repeat the patch at every replan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Late repair completed 18/20 tasks; early control completed 0/20.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Compression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Patch object tokens, position doses, directions, subspaces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No small portable representation matched the whole-state effect.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Communication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Block and rescue instruction→image and image→action edges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broad route was necessary; compact writer rescue failed.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L6–8 computation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Curvature, then full/attention-only matched-scene tests</w:t>
            </w:r>
          </w:p>
        </w:tc>
        <w:tc>
          <w:tcPr>
            <w:tcW w:type="dxa" w:w="48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path bent; only the natural full-block update transferred across scenes.</w:t>
            </w:r>
          </w:p>
        </w:tc>
      </w:tr>
    </w:tbl>
    <w:p>
      <w:pPr>
        <w:spacing w:before="60" w:after="20" w:line="254" w:lineRule="auto"/>
      </w:pPr>
      <w:r>
        <w:rPr>
          <w:rFonts w:ascii="Calibri" w:hAnsi="Calibri"/>
          <w:b/>
          <w:color w:val="102447"/>
          <w:sz w:val="16"/>
        </w:rPr>
        <w:t>Stimuli and controls.</w:t>
      </w:r>
      <w:r>
        <w:rPr>
          <w:rFonts w:ascii="Calibri" w:hAnsi="Calibri"/>
          <w:sz w:val="16"/>
        </w:rPr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LIBERO Goal and Object tabletop scenes; A/B prompts were token-position matched where an intervention required it.</w:t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The observation, robot state, action noise, and prompt formatting were held fixed; only the task instruction changed.</w:t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Self-patches, wrong prompts, early/dead layers, equal-count random positions, norm-matched random directions, reversed signs, and distances to both clean endpoints guarded against silent no-ops and model damage.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Calibri" w:hAnsi="Calibri"/>
          <w:b/>
          <w:color w:val="0F766E"/>
          <w:sz w:val="16"/>
        </w:rPr>
        <w:t>EVIDENCE</w:t>
      </w:r>
    </w:p>
    <w:p>
      <w:pPr>
        <w:spacing w:after="60"/>
      </w:pPr>
      <w:r>
        <w:rPr>
          <w:rFonts w:ascii="Calibri" w:hAnsi="Calibri"/>
          <w:b/>
          <w:color w:val="102447"/>
          <w:sz w:val="34"/>
        </w:rPr>
        <w:t>What the main numbers actually measure</w:t>
      </w:r>
    </w:p>
    <w:p>
      <w:pPr>
        <w:spacing w:before="0" w:after="100" w:line="254" w:lineRule="auto"/>
      </w:pPr>
      <w:r>
        <w:rPr>
          <w:rFonts w:ascii="Calibri" w:hAnsi="Calibri"/>
          <w:i/>
          <w:color w:val="536273"/>
          <w:sz w:val="18"/>
        </w:rPr>
        <w:t>The central result is a mismatch between where information can be read and where an intervention changes behavior.</w:t>
      </w:r>
    </w:p>
    <w:p>
      <w:r>
        <w:drawing>
          <wp:inline xmlns:a="http://schemas.openxmlformats.org/drawingml/2006/main" xmlns:pic="http://schemas.openxmlformats.org/drawingml/2006/picture">
            <wp:extent cx="6446520" cy="2284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s_attention_caus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8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Calibri" w:hAnsi="Calibri"/>
          <w:i/>
          <w:color w:val="536273"/>
          <w:sz w:val="14"/>
        </w:rPr>
        <w:t>Figure 2. Layerwise decoding, attention, and causal repair answer different questions. “Probe accuracy” is 10-way grouped cross-validated classification accuracy—not a correlation coefficient.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Definition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Headline result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Probe accuracy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10-way multinomial logistic regression; 5 folds grouped by initial state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Text 1.000 at L0–16; image 0.113 at L0 → 0.993 at L1.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Repair R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Progress from source toward donor action, with endpoint distance checks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Text K/V 0.0106; late image K/V 0.8321.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Endpoint distance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D_A and D_B are L2 distance divided by clean A–B distance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Broad carrier D_B=0.2349; dose-256 D_B=0.9260; dose-512 D_B=0.2564.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Behavior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First intended object touched; simulator task success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Conflict 0/20; late repair 18/20; early repair 0/20.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Attention mass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Action-query mass per prefix segment; both total and per-token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Text/image 11.41× per token; image/text 4.99× in total.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Monitor F1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Outcome classifier versus constant positive baseline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Dev 0.909; held instruction 0.681; held scene 0.745; baseline 0.801.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Curvature/chord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Midpoint deviation divided by endpoint-output chord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Median 0.188; 12/12 cell medians ≥0.1.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Curvature action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Action change after linearization divided by endpoint action distance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Median 0.0973; 5/12 ≥0.1; preregistered fail.</w:t>
            </w:r>
          </w:p>
        </w:tc>
      </w:tr>
      <w:tr>
        <w:tc>
          <w:tcPr>
            <w:tcW w:type="dxa" w:w="161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Cross-model Dsrc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Distance from patched action to donor, normalized by endpoints</w:t>
            </w:r>
          </w:p>
        </w:tc>
        <w:tc>
          <w:tcPr>
            <w:tcW w:type="dxa" w:w="414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3"/>
              </w:rPr>
              <w:t>OpenVLA-OFT instruction 0.0101; image 0.9574.</w:t>
            </w:r>
          </w:p>
        </w:tc>
      </w:tr>
    </w:tbl>
    <w:p>
      <w:pPr>
        <w:spacing w:before="60" w:after="60" w:line="254" w:lineRule="auto"/>
      </w:pPr>
      <w:r>
        <w:rPr>
          <w:rFonts w:ascii="Calibri" w:hAnsi="Calibri"/>
          <w:i w:val="0"/>
          <w:color w:val="536273"/>
          <w:sz w:val="16"/>
        </w:rPr>
        <w:t>Sample size discipline: the inferential unit was the directed prompt-pair or scene-condition cell. Repeated rollouts and five initial states were replicates inside a cell. Treating all raw rows as independent would manufacture confidence because many repeated rollouts are identical or highly dependent.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Calibri" w:hAnsi="Calibri"/>
          <w:b/>
          <w:color w:val="0F766E"/>
          <w:sz w:val="16"/>
        </w:rPr>
        <w:t>WHAT SURVIVED</w:t>
      </w:r>
    </w:p>
    <w:p>
      <w:pPr>
        <w:spacing w:after="60"/>
      </w:pPr>
      <w:r>
        <w:rPr>
          <w:rFonts w:ascii="Calibri" w:hAnsi="Calibri"/>
          <w:b/>
          <w:color w:val="102447"/>
          <w:sz w:val="34"/>
        </w:rPr>
        <w:t>A real handoff—and strong evidence against the simple story</w:t>
      </w:r>
    </w:p>
    <w:p>
      <w:pPr>
        <w:spacing w:before="0" w:after="100" w:line="254" w:lineRule="auto"/>
      </w:pPr>
      <w:r>
        <w:rPr>
          <w:rFonts w:ascii="Calibri" w:hAnsi="Calibri"/>
          <w:i/>
          <w:color w:val="536273"/>
          <w:sz w:val="18"/>
        </w:rPr>
        <w:t>The project is most informative when the positive and negative evidence are kept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10008"/>
      </w:tblGrid>
      <w:tr>
        <w:tc>
          <w:tcPr>
            <w:tcW w:type="dxa" w:w="5184"/>
            <w:shd w:fill="C2410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4"/>
            <w:shd w:fill="FFF3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2410C"/>
                <w:sz w:val="20"/>
              </w:rPr>
              <w:t>Matched layer-6→8 test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color w:val="172033"/>
                <w:sz w:val="17"/>
              </w:rPr>
              <w:t>Across 12 directed prompt-pair cells, median A→B action-axis progress was 0.340 for the matching full attention+MLP message, 0.211 for the norm-matched message from another scene, and 0.040 for the matching attention-only message. Other-scene full beat random in 12/12 cells (exact sign p=0.00049), and full beat attention-only in 12/12 (p=0.00049). Matching-scene messages were somewhat stronger than other-scene messages, but only 9/12 signs agreed (p=0.146): shared computation with suggestive scene modulation, not clean scene specificity.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309360" cy="2564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ched_band_trans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Calibri" w:hAnsi="Calibri"/>
          <w:i/>
          <w:color w:val="536273"/>
          <w:sz w:val="14"/>
        </w:rPr>
        <w:t>Figure 3. A full instruction-induced update transfers across initial scenes within a prompt pair, while MLP-clamped attention-only updates are weak. Dots are 12 directed cell medians.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Hypothesis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102447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Evidence against it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instruction stays causally at text positions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Text remains decodable, but post-prefill text repair is near zero; prefill swaps show it was used earlier.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The causal state is object-local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Object-local replacement worked in 0/8 directions; 4–256 image positions were weak relative to all 512.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One portable direction is enough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A static vector produced 5/5 correct first touches in one task but 0/5 successes and failed the two-task gate.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A low-rank subspace is the mechanism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Rank-16 Sonar fit beat controls in 12/12 cells but reached 0/12 joint endpoints; donor-free repair was 0/30.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One compact writer seeds the state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Full instruction→image blocking was A-like in 12/12, but block-0 rescue and fixed L6–8 rescue failed.</w:t>
            </w:r>
          </w:p>
        </w:tc>
      </w:tr>
      <w:t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Observed nonlinearity controls action</w:t>
            </w:r>
          </w:p>
        </w:tc>
        <w:tc>
          <w:tcPr>
            <w:tcW w:type="dxa" w:w="698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72033"/>
                <w:sz w:val="14"/>
              </w:rPr>
              <w:t>Curvature was real, yet removing it missed the frozen causal gate.</w:t>
            </w:r>
          </w:p>
        </w:tc>
      </w:tr>
    </w:tbl>
    <w:p>
      <w:pPr>
        <w:spacing w:before="80" w:after="20" w:line="254" w:lineRule="auto"/>
      </w:pPr>
      <w:r>
        <w:rPr>
          <w:rFonts w:ascii="Calibri" w:hAnsi="Calibri"/>
          <w:b/>
          <w:color w:val="102447"/>
          <w:sz w:val="17"/>
        </w:rPr>
        <w:t>Why this matters for safety.</w:t>
      </w:r>
      <w:r>
        <w:rPr>
          <w:rFonts w:ascii="Calibri" w:hAnsi="Calibri"/>
          <w:sz w:val="17"/>
        </w:rPr>
      </w:r>
    </w:p>
    <w:p>
      <w:pPr>
        <w:spacing w:before="0" w:after="60" w:line="254" w:lineRule="auto"/>
      </w:pPr>
      <w:r>
        <w:rPr>
          <w:rFonts w:ascii="Calibri" w:hAnsi="Calibri"/>
          <w:i w:val="0"/>
          <w:color w:val="172033"/>
          <w:sz w:val="17"/>
        </w:rPr>
        <w:t>A monitor can read a stale copy of the instruction while missing the state that controls motion. A broad edit can make a robot touch the intended object while damaging the later trajectory. As learned policies and world models move into robots and vehicles, interpretability needs external behavioral validation and collateral-damage tests—not only probes, attention maps, or attractive latent-space plots.</w:t>
      </w:r>
    </w:p>
    <w:p>
      <w:pPr>
        <w:spacing w:before="40" w:after="20" w:line="254" w:lineRule="auto"/>
      </w:pPr>
      <w:r>
        <w:rPr>
          <w:rFonts w:ascii="Calibri" w:hAnsi="Calibri"/>
          <w:b/>
          <w:color w:val="102447"/>
          <w:sz w:val="17"/>
        </w:rPr>
        <w:t>Limitations and what could have helped.</w:t>
      </w:r>
      <w:r>
        <w:rPr>
          <w:rFonts w:ascii="Calibri" w:hAnsi="Calibri"/>
          <w:sz w:val="17"/>
        </w:rPr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The strongest repair is donor-assisted and replaces a large state. A learned conditional intervention needs true prompt-pair holdout and closed-loop preservation controls.</w:t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The 8-edge reader result is development-only; it should not be called a confirmed circuit. The donor-free run is incomplete at 250/400 planned rows.</w:t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Two checkpoints do not establish a VLA taxonomy. More models, training regimes, embodiments, and naturally occurring failure modes are needed.</w:t>
      </w:r>
    </w:p>
    <w:p>
      <w:pPr>
        <w:pStyle w:val="ListBullet"/>
        <w:spacing w:after="20" w:line="245" w:lineRule="auto"/>
        <w:ind w:left="259" w:hanging="173"/>
      </w:pPr>
      <w:r>
        <w:rPr>
          <w:rFonts w:ascii="Calibri" w:hAnsi="Calibri"/>
          <w:color w:val="172033"/>
          <w:sz w:val="16"/>
        </w:rPr>
        <w:t>A future world-model study should begin with a released checkpoint and validated behavioral error before searching latent coordinates.</w:t>
      </w:r>
    </w:p>
    <w:p>
      <w:pPr>
        <w:spacing w:before="60" w:after="60" w:line="254" w:lineRule="auto"/>
      </w:pPr>
      <w:r>
        <w:rPr>
          <w:rFonts w:ascii="Calibri" w:hAnsi="Calibri"/>
          <w:i w:val="0"/>
          <w:color w:val="102447"/>
          <w:sz w:val="17"/>
        </w:rPr>
        <w:t>Bottom line: π0.5 contains a causally important language→multimodal-state→action handoff. We localized the broad state and changed behavior, but did not isolate a small reusable mechanism. That negative boundary is scientifically useful because it shows exactly where standard linear-feature and token-local stories stopped predicting causal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36273"/>
        <w:sz w:val="14"/>
      </w:rPr>
      <w:t xml:space="preserve">Steven Yang  •  4 September 2026  •  </w:t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536273"/>
        <w:sz w:val="14"/>
      </w:rPr>
      <w:t xml:space="preserve"> /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273"/>
        <w:sz w:val="14"/>
      </w:rPr>
      <w:t>VLA MODEL BIOLOGY  /  EVIDENCE-CHECKED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4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024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π0.5 keep the instruction it is following?</dc:title>
  <dc:subject>Plain-English evidence-checked report on VLA model biology</dc:subject>
  <dc:creator>Steven Yang</dc:creator>
  <cp:keywords>mechanistic interpretability, VLA, pi0.5, LIBERO, model biology</cp:keywords>
  <dc:description>Generated from the evidence-checked MATS archive; five-page narrative_proposal layout.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