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Does NextLat separate the histories that matter?</w:t>
      </w:r>
    </w:p>
    <w:p>
      <w:r>
        <w:t xml:space="preserve">*Draft in progress. Every </w:t>
      </w:r>
      <w:r>
        <w:rPr>
          <w:rFonts w:ascii="Menlo" w:hAnsi="Menlo"/>
          <w:sz w:val="19"/>
        </w:rPr>
        <w:t>[pending]</w:t>
      </w:r>
      <w:r>
        <w:t xml:space="preserve"> below is a number that has not been measured yet - the</w:t>
      </w:r>
    </w:p>
    <w:p>
      <w:r>
        <w:t xml:space="preserve">document is generated from </w:t>
      </w:r>
      <w:r>
        <w:rPr>
          <w:rFonts w:ascii="Menlo" w:hAnsi="Menlo"/>
          <w:sz w:val="19"/>
        </w:rPr>
        <w:t>results/live_numbers.json</w:t>
      </w:r>
      <w:r>
        <w:t>, so a claim cannot quietly outrun its</w:t>
      </w:r>
    </w:p>
    <w:p>
      <w:r>
        <w:t>artifact.*</w:t>
      </w:r>
    </w:p>
    <w:p>
      <w:r>
        <w:t>[figure not yet generated: results/figures/fig2_psi.png]</w:t>
      </w:r>
    </w:p>
    <w:p>
      <w:r>
        <w:t xml:space="preserve">Code and manifests: </w:t>
      </w:r>
      <w:r>
        <w:rPr>
          <w:rFonts w:ascii="Menlo" w:hAnsi="Menlo"/>
          <w:sz w:val="19"/>
        </w:rPr>
        <w:t>github.com/&lt;pending&gt;/nextlat-lurestar</w:t>
      </w:r>
      <w:r>
        <w:t>. Everything here runs on one GPU.</w:t>
      </w:r>
    </w:p>
    <w:p>
      <w:pPr>
        <w:pStyle w:val="Heading2"/>
      </w:pPr>
      <w:r>
        <w:t>The question</w:t>
      </w:r>
    </w:p>
    <w:p>
      <w:pPr>
        <w:ind w:left="504"/>
      </w:pPr>
      <w:r>
        <w:rPr>
          <w:i/>
        </w:rPr>
        <w:t>Does NextLat selectively separate similar histories when a matched change alters the correct</w:t>
      </w:r>
    </w:p>
    <w:p>
      <w:pPr>
        <w:ind w:left="504"/>
      </w:pPr>
      <w:r>
        <w:rPr>
          <w:i/>
        </w:rPr>
        <w:t>future, keep equally changed but future-equivalent histories closer, and does weak separation</w:t>
      </w:r>
    </w:p>
    <w:p>
      <w:pPr>
        <w:ind w:left="504"/>
      </w:pPr>
      <w:r>
        <w:rPr>
          <w:i/>
        </w:rPr>
        <w:t>predict later interference?</w:t>
      </w:r>
    </w:p>
    <w:p>
      <w:r>
        <w:t>[NextLat](https://arxiv.org/html/2511.05963) adds a latent transition model to next-token</w:t>
      </w:r>
    </w:p>
    <w:p>
      <w:r>
        <w:t xml:space="preserve">training: a network </w:t>
      </w:r>
      <w:r>
        <w:rPr>
          <w:rFonts w:ascii="Menlo" w:hAnsi="Menlo"/>
          <w:sz w:val="19"/>
        </w:rPr>
        <w:t>p_psi</w:t>
      </w:r>
      <w:r>
        <w:t xml:space="preserve"> takes the hidden state </w:t>
      </w:r>
      <w:r>
        <w:rPr>
          <w:rFonts w:ascii="Menlo" w:hAnsi="Menlo"/>
          <w:sz w:val="19"/>
        </w:rPr>
        <w:t>h_t</w:t>
      </w:r>
      <w:r>
        <w:t xml:space="preserve"> and the next token </w:t>
      </w:r>
      <w:r>
        <w:rPr>
          <w:rFonts w:ascii="Menlo" w:hAnsi="Menlo"/>
          <w:sz w:val="19"/>
        </w:rPr>
        <w:t>x_{t+1}</w:t>
      </w:r>
      <w:r>
        <w:t xml:space="preserve"> and predicts</w:t>
      </w:r>
    </w:p>
    <w:p>
      <w:r>
        <w:t>the next hidden state, and the transformer is trained so that its own states are what the</w:t>
      </w:r>
    </w:p>
    <w:p>
      <w:r>
        <w:t>transition model predicts. Under the paper's idealised optimisation assumptions the hidden state</w:t>
      </w:r>
    </w:p>
    <w:p>
      <w:r>
        <w:t>becomes sufficient for predicting the future - a belief state. Empirically it solves Path-Star,</w:t>
      </w:r>
    </w:p>
    <w:p>
      <w:r>
        <w:t>tracks state better, generalises to longer sequences, and gets a speculative-decoding speedup.</w:t>
      </w:r>
    </w:p>
    <w:p>
      <w:r>
        <w:t>What the paper does not do is say what the resulting representation space looks like. That is not</w:t>
      </w:r>
    </w:p>
    <w:p>
      <w:r>
        <w:t>my framing, it is theirs, from section 6:</w:t>
      </w:r>
    </w:p>
    <w:p>
      <w:pPr>
        <w:ind w:left="504"/>
      </w:pPr>
      <w:r>
        <w:rPr>
          <w:i/>
        </w:rPr>
        <w:t>On the analysis side, we do not study the structure of the learned representations under</w:t>
      </w:r>
    </w:p>
    <w:p>
      <w:pPr>
        <w:ind w:left="504"/>
      </w:pPr>
      <w:r>
        <w:rPr>
          <w:i/>
        </w:rPr>
        <w:t>NextLat, leaving open questions about how the method shapes latent spaces.</w:t>
      </w:r>
    </w:p>
    <w:p>
      <w:r>
        <w:t>So the interesting question is not whether NextLat compresses - the paper already shows an</w:t>
      </w:r>
    </w:p>
    <w:p>
      <w:r>
        <w:t>effective latent rank of 52.7 against GPT's 160.1 on Manhattan, and reproducing that would be</w:t>
      </w:r>
    </w:p>
    <w:p>
      <w:r>
        <w:t>reproducing their result. The question is *what gets compressed together and what gets pushed</w:t>
      </w:r>
    </w:p>
    <w:p>
      <w:r>
        <w:t>apart*, and whether that geometry has downstream consequences.</w:t>
      </w:r>
    </w:p>
    <w:p>
      <w:pPr>
        <w:pStyle w:val="Heading2"/>
      </w:pPr>
      <w:r>
        <w:t>The bottom line, before the evidence</w:t>
      </w:r>
    </w:p>
    <w:p>
      <w:r>
        <w:t>[pending]</w:t>
      </w:r>
    </w:p>
    <w:p>
      <w:pPr>
        <w:pStyle w:val="Heading2"/>
      </w:pPr>
      <w:r>
        <w:t>Why a matched lure is the whole experiment</w:t>
      </w:r>
    </w:p>
    <w:p>
      <w:r>
        <w:t>The failure mode of any representation-geometry claim is that you measure a nuisance. If you</w:t>
      </w:r>
    </w:p>
    <w:p>
      <w:r>
        <w:t>compare a base graph against a perturbed graph and find the states moved, you have learned that</w:t>
      </w:r>
    </w:p>
    <w:p>
      <w:r>
        <w:t>editing the input moves the state - which is not a finding. The comparison has to hold the size</w:t>
      </w:r>
    </w:p>
    <w:p>
      <w:r>
        <w:t xml:space="preserve">of the edit fixed and vary only whether the edit </w:t>
      </w:r>
      <w:r>
        <w:rPr>
          <w:i/>
        </w:rPr>
        <w:t>changes the correct future</w:t>
      </w:r>
      <w:r>
        <w:t>.</w:t>
      </w:r>
    </w:p>
    <w:p>
      <w:r>
        <w:t xml:space="preserve">Path-Star gives a clean way to do this. A </w:t>
      </w:r>
      <w:r>
        <w:rPr>
          <w:rFonts w:ascii="Menlo" w:hAnsi="Menlo"/>
          <w:sz w:val="19"/>
        </w:rPr>
        <w:t>G(5,5)</w:t>
      </w:r>
      <w:r>
        <w:t xml:space="preserve"> graph has a source and five disjoint arms of</w:t>
      </w:r>
    </w:p>
    <w:p>
      <w:r>
        <w:t>four edges, serialised as a shuffled edge list plus a source and goal, and the model has to emit</w:t>
      </w:r>
    </w:p>
    <w:p>
      <w:r>
        <w:t xml:space="preserve">the path. Take two arms and swap their suffixes at equal depth: the edges </w:t>
      </w:r>
      <w:r>
        <w:rPr>
          <w:rFonts w:ascii="Menlo" w:hAnsi="Menlo"/>
          <w:sz w:val="19"/>
        </w:rPr>
        <w:t>u-&gt;a</w:t>
      </w:r>
      <w:r>
        <w:t xml:space="preserve"> and </w:t>
      </w:r>
      <w:r>
        <w:rPr>
          <w:rFonts w:ascii="Menlo" w:hAnsi="Menlo"/>
          <w:sz w:val="19"/>
        </w:rPr>
        <w:t>v-&gt;b</w:t>
      </w:r>
    </w:p>
    <w:p>
      <w:r>
        <w:t xml:space="preserve">become </w:t>
      </w:r>
      <w:r>
        <w:rPr>
          <w:rFonts w:ascii="Menlo" w:hAnsi="Menlo"/>
          <w:sz w:val="19"/>
        </w:rPr>
        <w:t>u-&gt;b</w:t>
      </w:r>
      <w:r>
        <w:t xml:space="preserve"> and </w:t>
      </w:r>
      <w:r>
        <w:rPr>
          <w:rFonts w:ascii="Menlo" w:hAnsi="Menlo"/>
          <w:sz w:val="19"/>
        </w:rPr>
        <w:t>v-&gt;a</w:t>
      </w:r>
      <w:r>
        <w:t>. Exactly two endpoint tokens change. The node multiset is preserved, the</w:t>
      </w:r>
    </w:p>
    <w:p>
      <w:r>
        <w:t>degree sequence is preserved, the prompt and answer lengths are preserved.</w:t>
      </w:r>
    </w:p>
    <w:p>
      <w:r>
        <w:t>Now the whole design turns on which arms you pick. Swap between two distractor arms and the</w:t>
      </w:r>
    </w:p>
    <w:p>
      <w:r>
        <w:t xml:space="preserve">correct path is untouched - call it </w:t>
      </w:r>
      <w:r>
        <w:rPr>
          <w:b/>
        </w:rPr>
        <w:t>near-safe</w:t>
      </w:r>
      <w:r>
        <w:t>. Swap between the goal arm and a distractor and</w:t>
      </w:r>
    </w:p>
    <w:p>
      <w:r>
        <w:t xml:space="preserve">the goal token stays where it is, but the correct first branch changes - </w:t>
      </w:r>
      <w:r>
        <w:rPr>
          <w:b/>
        </w:rPr>
        <w:t>near-critical</w:t>
      </w:r>
      <w:r>
        <w:t>. Two</w:t>
      </w:r>
    </w:p>
    <w:p>
      <w:r>
        <w:t>edits of identical size, one of which matters for the future and one of which does not.</w:t>
      </w:r>
    </w:p>
    <w:p>
      <w:r>
        <w:t>The spec asked for near-safe and near-critical to match exactly on serialized edge positions, and that turns out to be impossible rather than merely hard. Near-critical has to touch the goal arm - that is what makes the future change - and near-safe must not touch it, or it would not be safe. So the two conditions edit disjoint sets of edges, distinct edges occupy distinct slots under any ordering whatsoever, and the two edit-position pairs can never coincide.</w:t>
      </w:r>
    </w:p>
    <w:p>
      <w:r>
        <w:t xml:space="preserve">The obvious repair is to give each condition its own edge-list permutation chosen so both edits land at the same indices. That repair is worse than the problem. Moving the safe pair to fixed slots displaces whatever was already there, so base and near-safe end up differing in four edge slots rather than one pair of head tokens - a roughly ten-token perturbation instead of a two-token one. The entire premise of a </w:t>
      </w:r>
      <w:r>
        <w:rPr>
          <w:i/>
        </w:rPr>
        <w:t>near</w:t>
      </w:r>
      <w:r>
        <w:t xml:space="preserve"> lure is that the two stimuli sit a minimal and identical distance from the base string, so that any separation is attributable to the future rather than to surface form. Trading that for a bookkeeping index inverts the point.</w:t>
      </w:r>
    </w:p>
    <w:p>
      <w:r>
        <w:t xml:space="preserve">What the generator enforces instead, fixed before any model was trained: both lures are exact two-token edits of the same base string, their edited slot pairs have identical gap, and which pair goes to which condition is a coin flip drawn from the item's own RNG stream. Edit position is not identical within an item, but it is exchangeable between conditions by construction. A second serialization, aligned to the </w:t>
      </w:r>
      <w:r>
        <w:rPr>
          <w:rFonts w:ascii="Menlo" w:hAnsi="Menlo"/>
          <w:sz w:val="19"/>
        </w:rPr>
        <w:t>repeat</w:t>
      </w:r>
      <w:r>
        <w:t xml:space="preserve"> condition, does place both edits at identical absolute positions at the cost of a different anchor, and is preregistered as a robustness check in the same relationship whitened Euclidean has to centered cosine. Stated plainly so nobody has to infer it: the generator does not, and cannot, place the safe and critical edits at the same absolute token indices of a common base string.</w:t>
      </w:r>
    </w:p>
    <w:p>
      <w:r>
        <w:t xml:space="preserve">Verified on the generated pool rather than argued: in a sampled quartet, near-safe changes edges </w:t>
      </w:r>
      <w:r>
        <w:rPr>
          <w:rFonts w:ascii="Menlo" w:hAnsi="Menlo"/>
          <w:sz w:val="19"/>
        </w:rPr>
        <w:t>75,43 -&gt; 75,83</w:t>
      </w:r>
      <w:r>
        <w:t xml:space="preserve"> and </w:t>
      </w:r>
      <w:r>
        <w:rPr>
          <w:rFonts w:ascii="Menlo" w:hAnsi="Menlo"/>
          <w:sz w:val="19"/>
        </w:rPr>
        <w:t>95,83 -&gt; 95,43</w:t>
      </w:r>
      <w:r>
        <w:t xml:space="preserve"> and nothing else, near-critical changes </w:t>
      </w:r>
      <w:r>
        <w:rPr>
          <w:rFonts w:ascii="Menlo" w:hAnsi="Menlo"/>
          <w:sz w:val="19"/>
        </w:rPr>
        <w:t>27,4 -&gt; 27,99</w:t>
      </w:r>
      <w:r>
        <w:t xml:space="preserve"> and </w:t>
      </w:r>
      <w:r>
        <w:rPr>
          <w:rFonts w:ascii="Menlo" w:hAnsi="Menlo"/>
          <w:sz w:val="19"/>
        </w:rPr>
        <w:t>38,99 -&gt; 38,4</w:t>
      </w:r>
      <w:r>
        <w:t xml:space="preserve"> and nothing else, both edits sit eight slots apart, source and goal are identical across all conditions, and only near-critical moves the answer - </w:t>
      </w:r>
      <w:r>
        <w:rPr>
          <w:rFonts w:ascii="Menlo" w:hAnsi="Menlo"/>
          <w:sz w:val="19"/>
        </w:rPr>
        <w:t>53,5,27,4,29</w:t>
      </w:r>
      <w:r>
        <w:t xml:space="preserve"> becomes </w:t>
      </w:r>
      <w:r>
        <w:rPr>
          <w:rFonts w:ascii="Menlo" w:hAnsi="Menlo"/>
          <w:sz w:val="19"/>
        </w:rPr>
        <w:t>53,26,38,4,29</w:t>
      </w:r>
      <w:r>
        <w:t>, a different first branch. The pools are 2,000 held-out quartets for the geometry tests and disjoint adaptation banks for the interference test, each with a SHA-256 manifest, checked against the 200,000-line training corpus by hash rather than by trusting construction.</w:t>
      </w:r>
    </w:p>
    <w:p>
      <w:pPr>
        <w:pStyle w:val="Heading2"/>
      </w:pPr>
      <w:r>
        <w:t>H1 - future-sensitive separation</w:t>
      </w:r>
    </w:p>
    <w:p>
      <w:r>
        <w:t>[pending]</w:t>
      </w:r>
    </w:p>
    <w:p>
      <w:r>
        <w:t>[figure not yet generated: results/figures/fig1_behaviour.png]</w:t>
      </w:r>
    </w:p>
    <w:p>
      <w:pPr>
        <w:pStyle w:val="Heading2"/>
      </w:pPr>
      <w:r>
        <w:t>H2 - does the geometry predict planning?</w:t>
      </w:r>
    </w:p>
    <w:p>
      <w:r>
        <w:t>[pending]</w:t>
      </w:r>
    </w:p>
    <w:p>
      <w:r>
        <w:t>[figure not yet generated: results/figures/fig3_distance_margin.png]</w:t>
      </w:r>
    </w:p>
    <w:p>
      <w:pPr>
        <w:pStyle w:val="Heading2"/>
      </w:pPr>
      <w:r>
        <w:t>H3 - does weak separation predict interference?</w:t>
      </w:r>
    </w:p>
    <w:p>
      <w:r>
        <w:t>This is the part that connects to work on forgetting. From each frozen base checkpoint I branch</w:t>
      </w:r>
    </w:p>
    <w:p>
      <w:r>
        <w:t xml:space="preserve">twice, adapting on lures that are </w:t>
      </w:r>
      <w:r>
        <w:rPr>
          <w:i/>
        </w:rPr>
        <w:t>near</w:t>
      </w:r>
      <w:r>
        <w:t xml:space="preserve"> the trained items and on lures that are </w:t>
      </w:r>
      <w:r>
        <w:rPr>
          <w:i/>
        </w:rPr>
        <w:t>far</w:t>
      </w:r>
      <w:r>
        <w:t>, matched</w:t>
      </w:r>
    </w:p>
    <w:p>
      <w:r>
        <w:t>on adaptation examples, update count, initial loss quantiles, target-path distribution, item</w:t>
      </w:r>
    </w:p>
    <w:p>
      <w:r>
        <w:t>order, optimiser and scheduler state, learning rate, and batch size. Both branches are</w:t>
      </w:r>
    </w:p>
    <w:p>
      <w:r>
        <w:t>full-parameter next-token-only adaptation, with NextLat's auxiliary losses switched off so that</w:t>
      </w:r>
    </w:p>
    <w:p>
      <w:r>
        <w:t>what is being tested is the base representation rather than ongoing regularisation.</w:t>
      </w:r>
    </w:p>
    <w:p>
      <w:r>
        <w:t>[pending]</w:t>
      </w:r>
    </w:p>
    <w:p>
      <w:r>
        <w:t>[figure not yet generated: results/figures/fig4_interference.png]</w:t>
      </w:r>
    </w:p>
    <w:p>
      <w:pPr>
        <w:pStyle w:val="Heading2"/>
      </w:pPr>
      <w:r>
        <w:t>The HMM, where the belief state is known exactly</w:t>
      </w:r>
    </w:p>
    <w:p>
      <w:r>
        <w:t>Path-Star cannot tell you what the sufficient predictive state actually is. A small HMM can. With</w:t>
      </w:r>
    </w:p>
    <w:p>
      <w:r>
        <w:t>a preregistered 4-state, 4-observation chain with overlapping emissions, the normalised forward</w:t>
      </w:r>
    </w:p>
    <w:p>
      <w:r>
        <w:t>algorithm gives the exact posterior over hidden states for every prefix, so predictive equivalence</w:t>
      </w:r>
    </w:p>
    <w:p>
      <w:r>
        <w:t>is a fact about the generative process rather than an inference from the model.</w:t>
      </w:r>
    </w:p>
    <w:p>
      <w:r>
        <w:t>[pending]</w:t>
      </w:r>
    </w:p>
    <w:p>
      <w:r>
        <w:t>[figure not yet generated: results/figures/fig5_hmm_js.png]</w:t>
      </w:r>
    </w:p>
    <w:p>
      <w:r>
        <w:t>[figure not yet generated: results/figures/fig6_hmm_decoding.png]</w:t>
      </w:r>
    </w:p>
    <w:p>
      <w:r>
        <w:t>A caveat that has to stay attached to every one of these numbers: a sufficient predictive state is</w:t>
      </w:r>
    </w:p>
    <w:p>
      <w:r>
        <w:t>not unique. An invertible transformation preserves every bit of predictive information while</w:t>
      </w:r>
    </w:p>
    <w:p>
      <w:r>
        <w:t>changing raw Euclidean geometry entirely. That is why the tests here are about predictive</w:t>
      </w:r>
    </w:p>
    <w:p>
      <w:r>
        <w:t>equivalence, relative divergence, decodability and future-distribution prediction, and not about</w:t>
      </w:r>
    </w:p>
    <w:p>
      <w:r>
        <w:t>whether the states line up with the belief simplex.</w:t>
      </w:r>
    </w:p>
    <w:p>
      <w:pPr>
        <w:pStyle w:val="Heading2"/>
      </w:pPr>
      <w:r>
        <w:t>What did not work</w:t>
      </w:r>
    </w:p>
    <w:p>
      <w:r>
        <w:t>[pending]</w:t>
      </w:r>
    </w:p>
    <w:p>
      <w:pPr>
        <w:pStyle w:val="Heading2"/>
      </w:pPr>
      <w:r>
        <w:t>Whats next?</w:t>
      </w:r>
    </w:p>
    <w:p>
      <w:r>
        <w:rPr>
          <w:b/>
        </w:rPr>
        <w:t>Manhattan, not video.</w:t>
      </w:r>
      <w:r>
        <w:t xml:space="preserve"> The obvious objection to everything above is that it lives on 21-node graphs and a 4-state chain, and a geometry result there may say nothing about natural data. The honest scope of this work is domains where predictive equivalence is exactly computable, because that is what makes the safe-versus-critical contrast falsifiable: a solver knows the true path, the forward algorithm knows the true posterior. On video you would be comparing model geometry against a proxy for the future, so a null becomes uninterpretable and a positive becomes unfalsifiable - and 'an edit of identical magnitude' stops being well defined once L2, perceptual and semantic distance disagree.</w:t>
      </w:r>
    </w:p>
    <w:p>
      <w:r>
        <w:t>The right next step is the paper's own Manhattan taxi-trajectory task, which is already in the repository. Two histories that arrive at the same intersection with the same heading are predictively equivalent by construction, so the matched contrast survives, and it is richer than Path-Star. It is also where the paper's compression and effective-rank numbers come from, so a geometry result there speaks directly to the claim that NextLat compresses - it would say what got compressed together. TinyStories is the step after that, since the paper already ran future-token probes on it.</w:t>
      </w:r>
    </w:p>
    <w:p>
      <w:r>
        <w:rPr>
          <w:b/>
        </w:rPr>
        <w:t>The bottleneck-width ablation the paper explicitly asks for.</w:t>
      </w:r>
      <w:r>
        <w:t xml:space="preserve"> Section 6 notes that the latent-dynamics MLP width 'effectively acts as a bottleneck that constrains belief-state capacity' and that they did not study it. With the geometry harness built, sweeping </w:t>
      </w:r>
      <w:r>
        <w:rPr>
          <w:rFonts w:ascii="Menlo" w:hAnsi="Menlo"/>
          <w:sz w:val="19"/>
        </w:rPr>
        <w:t>proj_factor</w:t>
      </w:r>
      <w:r>
        <w:t xml:space="preserve"> against future-sensitive separation, predictive-equivalence collapse and posterior decodability is a small extension that answers a stated open question rather than inventing one.</w:t>
      </w:r>
    </w:p>
    <w:p>
      <w:r>
        <w:rPr>
          <w:b/>
        </w:rPr>
        <w:t>The causal test.</w:t>
      </w:r>
      <w:r>
        <w:t xml:space="preserve"> Patching a near-critical state into its base prompt at the penultimate layer and measuring the change in correct-branch log odds, against safe, random-graph and norm-matched controls. This is a stretch goal here and gets dropped before H3 or the HMM if time runs out, because a correlational geometry result that replicates is worth more than a causal one that does not.</w:t>
      </w:r>
    </w:p>
    <w:p>
      <w:pPr>
        <w:pStyle w:val="Heading2"/>
      </w:pPr>
      <w:r>
        <w:t>Notes on the engineering</w:t>
      </w:r>
    </w:p>
    <w:p>
      <w:r>
        <w:t>Three things ate more time than the science, and all three are worth writing down.</w:t>
      </w:r>
    </w:p>
    <w:p>
      <w:r>
        <w:t xml:space="preserve">The first is that a Colab runtime does not relay a child process's stdout. Running </w:t>
      </w:r>
      <w:r>
        <w:rPr>
          <w:rFonts w:ascii="Menlo" w:hAnsi="Menlo"/>
          <w:sz w:val="19"/>
        </w:rPr>
        <w:t>colab exec</w:t>
      </w:r>
      <w:r>
        <w:t xml:space="preserve"> on a driver script that shells out to the trainer gives you a completely blind run - no loss lines, no directory listings, nothing. Worse, the obvious instinct of piping the command into </w:t>
      </w:r>
      <w:r>
        <w:rPr>
          <w:rFonts w:ascii="Menlo" w:hAnsi="Menlo"/>
          <w:sz w:val="19"/>
        </w:rPr>
        <w:t>tail</w:t>
      </w:r>
      <w:r>
        <w:t xml:space="preserve"> so the log stays readable means the pipeline's exit status is tail's, so a crashed training run reports success. My first smoke test passed. My second smoke test also passed, while </w:t>
      </w:r>
      <w:r>
        <w:rPr>
          <w:rFonts w:ascii="Menlo" w:hAnsi="Menlo"/>
          <w:sz w:val="19"/>
        </w:rPr>
        <w:t>train.py</w:t>
      </w:r>
      <w:r>
        <w:t xml:space="preserve"> was in fact dying on an omegaconf </w:t>
      </w:r>
      <w:r>
        <w:rPr>
          <w:rFonts w:ascii="Menlo" w:hAnsi="Menlo"/>
          <w:sz w:val="19"/>
        </w:rPr>
        <w:t>Missing key test_generalization</w:t>
      </w:r>
      <w:r>
        <w:t>. Only the third one, with child lines relayed in-process and exit codes unmasked, actually trained.</w:t>
      </w:r>
    </w:p>
    <w:p>
      <w:r>
        <w:t>That missing key is the second lesson, and it is the spec's own rule earning its place. I had written a small config by hand rather than copying the official one, and it silently dropped a key the trainer requires. Deriving the config from the shipped YAML and overriding only permitted keys is not fussiness - a reconstructed config is a different experiment wearing the same name.</w:t>
      </w:r>
    </w:p>
    <w:p>
      <w:r>
        <w:t xml:space="preserve">The third is credential plumbing, which sounds boring and is the difference between a resumable project and a lost weekend. The usual pattern - mint a service-account key, upload it to the runtime - is blocked here by an org policy that disables service-account key creation. What works instead is the local </w:t>
      </w:r>
      <w:r>
        <w:rPr>
          <w:rFonts w:ascii="Menlo" w:hAnsi="Menlo"/>
          <w:sz w:val="19"/>
        </w:rPr>
        <w:t>authorized_user</w:t>
      </w:r>
      <w:r>
        <w:t xml:space="preserve"> ADC: the python google-cloud-storage client reads it straight from </w:t>
      </w:r>
      <w:r>
        <w:rPr>
          <w:rFonts w:ascii="Menlo" w:hAnsi="Menlo"/>
          <w:sz w:val="19"/>
        </w:rPr>
        <w:t>GOOGLE_APPLICATION_CREDENTIALS</w:t>
      </w:r>
      <w:r>
        <w:t>, and the gcloud CLI takes an access token minted from it in-process. The refresh token is long-lived, so a run can re-mint for as long as it needs.</w:t>
      </w:r>
    </w:p>
    <w:p>
      <w:r>
        <w:t xml:space="preserve">One thing that went better than expected. Upstream's graph generator reseeds the global RNG once per sample from a counter starting at zero, which makes sample i a pure function of i - so the corpus is exactly parallelisable, and the parallel output can be </w:t>
      </w:r>
      <w:r>
        <w:rPr>
          <w:i/>
        </w:rPr>
        <w:t>asserted</w:t>
      </w:r>
      <w:r>
        <w:t xml:space="preserve"> byte-identical to a serial render rather than assumed to be. The paper-scale 200,000 train plus 20,000 held-out corpus builds in 4.6 seconds on a laptop. Determinism that depended on the worker count would have been a bug, not a speedup, so the generator checks.</w:t>
      </w:r>
    </w:p>
    <w:p>
      <w:pPr>
        <w:pStyle w:val="Heading2"/>
      </w:pPr>
      <w:r>
        <w:t>Acknowledgements</w:t>
      </w:r>
    </w:p>
    <w:p>
      <w:r>
        <w:t>Built on Jayden Teoh's NextLat implementation, pinned at commit 3770be6, and on the paper by its authors. Errors in the extension are mine.</w:t>
      </w:r>
    </w:p>
    <w:p>
      <w:pPr>
        <w:pStyle w:val="Heading2"/>
      </w:pPr>
      <w:r>
        <w:t>Appendix - preregistration and what would have falsified this</w:t>
      </w:r>
    </w:p>
    <w:p>
      <w:r>
        <w:t>Everything below was fixed before any confirmatory model existed, and the timestamps are in the git history rather than in my memory of what I intended.</w:t>
      </w:r>
    </w:p>
    <w:p>
      <w:r>
        <w:t>Primary distance is centered cosine, with whitened Euclidean declared in advance as a robustness check rather than an alternative to be chosen later. PSI is d(base, near-critical) minus d(base, near-safe), with paired bootstrap intervals over items and seeds as the inferential unit for the GPT-versus-NextLat contrast - items do not substitute for seeds. H2's held-out model is critical-branch margin regressed on base-critical distance and base-branch margin under two-fold cross-fitting. Seeds are 1234, 1235 and 1236, the first three of the paper's five.</w:t>
      </w:r>
    </w:p>
    <w:p>
      <w:r>
        <w:t xml:space="preserve">One preregistered detail had to be corrected before launch, and the correction is itself preregistered. The spec says to take the hidden state at the final prompt delimiter </w:t>
      </w:r>
      <w:r>
        <w:rPr>
          <w:rFonts w:ascii="Menlo" w:hAnsi="Menlo"/>
          <w:sz w:val="19"/>
        </w:rPr>
        <w:t>=</w:t>
      </w:r>
      <w:r>
        <w:t>. But the token generated there is the source node, which is already printed in the prompt and is identical across every member of a quartet by construction - so that state's immediate prediction target cannot differ between near-safe and near-critical. The first real branch decision happens one position later. Both positions are extracted; the delimiter stays the preregistered primary for PSI, and every correct-branch margin is computed from the branch position.</w:t>
      </w:r>
    </w:p>
    <w:p>
      <w:r>
        <w:t>What would have falsified this: PSI indistinguishable between GPT and NextLat across three seeds; a distance-margin relationship that vanishes once baseline confidence is controlled; near and far adaptation branches that erode the original margin equally; or an effect that appears only under a distance metric or layer chosen after seeing the results. A clean null is a reportable outcome here, and Path-Star has one consistent algorithm, so valid adaptation may genuinely produce little forgetting. Every preregistered metric is reported below even where it came out flat.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24" w:lineRule="auto"/>
    </w:pPr>
    <w:rPr>
      <w:rFonts w:ascii="Charter" w:hAnsi="Char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harter" w:hAnsi="Charter"/>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harter" w:hAnsi="Charter"/>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harter" w:hAnsi="Charter"/>
      <w:b/>
      <w:bCs/>
      <w:color w:val="1111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