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3B4C"/>
          <w:sz w:val="40"/>
          <w:szCs w:val="40"/>
        </w:rPr>
        <w:t xml:space="preserve">ULINK AI Claims Automation</w:t>
      </w:r>
    </w:p>
    <w:p>
      <w:pPr>
        <w:spacing w:after="60"/>
      </w:pPr>
      <w:r>
        <w:rPr>
          <w:color w:val="E8702A"/>
          <w:sz w:val="26"/>
          <w:szCs w:val="26"/>
        </w:rPr>
        <w:t xml:space="preserve">Demo study notes — 1 October 2026</w:t>
      </w:r>
    </w:p>
    <w:p>
      <w:pPr>
        <w:spacing w:after="100"/>
      </w:pPr>
      <w:r>
        <w:rPr>
          <w:color w:val="666666"/>
        </w:rPr>
        <w:t xml:space="preserve">Based on the five cases tested on 30 September 2026. Read section 1 tonight; sections 2–6 are for studying before the demo; section 7 is the follow-up list.</w:t>
      </w:r>
    </w:p>
    <w:p>
      <w:pPr>
        <w:pStyle w:val="Heading1"/>
      </w:pPr>
      <w:r>
        <w:t xml:space="preserve">1. Do tonight (before the demo)</w:t>
      </w:r>
    </w:p>
    <w:p>
      <w:pPr>
        <w:pStyle w:val="ListParagraph"/>
        <w:numPr>
          <w:ilvl w:val="0"/>
          <w:numId w:val="2"/>
        </w:numPr>
        <w:spacing w:after="60"/>
      </w:pPr>
      <w:r>
        <w:rPr>
          <w:b/>
          <w:bCs/>
        </w:rPr>
        <w:t xml:space="preserve">Restart the API </w:t>
      </w:r>
      <w:r>
        <w:t xml:space="preserve">so the new customer-email wording (no internal field names) is live.</w:t>
      </w:r>
    </w:p>
    <w:p>
      <w:pPr>
        <w:pStyle w:val="ListParagraph"/>
        <w:numPr>
          <w:ilvl w:val="0"/>
          <w:numId w:val="2"/>
        </w:numPr>
        <w:spacing w:after="60"/>
      </w:pPr>
      <w:r>
        <w:rPr>
          <w:b/>
          <w:bCs/>
        </w:rPr>
        <w:t xml:space="preserve">Check the demo inboxes’ spam folders. </w:t>
      </w:r>
      <w:r>
        <w:t xml:space="preserve">Sample emails arrive tagged “***SPAM***”.</w:t>
      </w:r>
    </w:p>
    <w:p>
      <w:pPr>
        <w:pStyle w:val="ListParagraph"/>
        <w:numPr>
          <w:ilvl w:val="0"/>
          <w:numId w:val="2"/>
        </w:numPr>
        <w:spacing w:after="60"/>
      </w:pPr>
      <w:r>
        <w:rPr>
          <w:b/>
          <w:bCs/>
        </w:rPr>
        <w:t xml:space="preserve">Update the run-down </w:t>
      </w:r>
      <w:r>
        <w:t xml:space="preserve">with the case IDs and claim numbers in section 3 (both API cases were re-run: new claim numbers).</w:t>
      </w:r>
    </w:p>
    <w:p>
      <w:pPr>
        <w:pStyle w:val="ListParagraph"/>
        <w:numPr>
          <w:ilvl w:val="0"/>
          <w:numId w:val="2"/>
        </w:numPr>
        <w:spacing w:after="60"/>
      </w:pPr>
      <w:r>
        <w:rPr>
          <w:b/>
          <w:bCs/>
        </w:rPr>
        <w:t xml:space="preserve">Rehearse two screens: </w:t>
      </w:r>
      <w:r>
        <w:t xml:space="preserve">the Review queue with the held case (Kaung Nyan Lynn) and the journey of the overridden case (Hlaing Myo Oo).</w:t>
      </w:r>
    </w:p>
    <w:p>
      <w:pPr>
        <w:pStyle w:val="ListParagraph"/>
        <w:numPr>
          <w:ilvl w:val="0"/>
          <w:numId w:val="2"/>
        </w:numPr>
        <w:spacing w:after="60"/>
      </w:pPr>
      <w:r>
        <w:rPr>
          <w:b/>
          <w:bCs/>
        </w:rPr>
        <w:t xml:space="preserve">Check the override button </w:t>
      </w:r>
      <w:r>
        <w:t xml:space="preserve">on the suspended API case AYA-CL-26031486. If it is not there, answer “on held cases” instead of “on any case”.</w:t>
      </w:r>
    </w:p>
    <w:p>
      <w:pPr>
        <w:pStyle w:val="ListParagraph"/>
        <w:numPr>
          <w:ilvl w:val="0"/>
          <w:numId w:val="2"/>
        </w:numPr>
        <w:spacing w:after="60"/>
      </w:pPr>
      <w:r>
        <w:rPr>
          <w:b/>
          <w:bCs/>
        </w:rPr>
        <w:t xml:space="preserve">Do not change AI code and do not re-run these cases. </w:t>
      </w:r>
      <w:r>
        <w:t xml:space="preserve">Results would be the same, and IAS would reject duplicates.</w:t>
      </w:r>
    </w:p>
    <w:p>
      <w:pPr>
        <w:pStyle w:val="ListParagraph"/>
        <w:numPr>
          <w:ilvl w:val="0"/>
          <w:numId w:val="2"/>
        </w:numPr>
        <w:spacing w:after="60"/>
      </w:pPr>
      <w:r>
        <w:rPr>
          <w:b/>
          <w:bCs/>
        </w:rPr>
        <w:t xml:space="preserve">Do not run anything live. </w:t>
      </w:r>
      <w:r>
        <w:t xml:space="preserve">Show finished cases with their emails already in the inbox (email barcode alone takes 8+ minutes).</w:t>
      </w:r>
    </w:p>
    <w:p>
      <w:pPr>
        <w:pStyle w:val="ListParagraph"/>
        <w:numPr>
          <w:ilvl w:val="0"/>
          <w:numId w:val="2"/>
        </w:numPr>
        <w:spacing w:after="60"/>
      </w:pPr>
      <w:r>
        <w:rPr>
          <w:b/>
          <w:bCs/>
        </w:rPr>
        <w:t xml:space="preserve">Do not open the Pipeline graph for API cases. </w:t>
      </w:r>
      <w:r>
        <w:t xml:space="preserve">Its “MISSING_DOCUMENTS (no images)” badge lights up wrongly on every API case. Use the case page journey instead.</w:t>
      </w:r>
    </w:p>
    <w:p>
      <w:pPr>
        <w:pStyle w:val="Heading1"/>
      </w:pPr>
      <w:r>
        <w:t xml:space="preserve">2. The message</w:t>
      </w:r>
    </w:p>
    <w:p>
      <w:pPr>
        <w:spacing w:after="100"/>
      </w:pPr>
      <w:r>
        <w:rPr>
          <w:b/>
          <w:bCs/>
        </w:rPr>
        <w:t xml:space="preserve">Opening and closing line:</w:t>
      </w:r>
    </w:p>
    <w:p>
      <w:pPr>
        <w:pBdr>
          <w:left w:val="single" w:color="E8702A" w:sz="18" w:space="8"/>
        </w:pBdr>
        <w:spacing w:after="120" w:before="60"/>
        <w:ind w:left="360"/>
      </w:pPr>
      <w:r>
        <w:rPr>
          <w:i/>
          <w:iCs/>
        </w:rPr>
        <w:t xml:space="preserve">“AI will sometimes be wrong, and so will people. We didn’t design this assuming either is perfect. Every decision has a reason, the AI’s answers are checked against IAS and your rules, anything we can’t prove goes to a person, and automatic payments stay inside limits you set.”</w:t>
      </w:r>
    </w:p>
    <w:p>
      <w:pPr>
        <w:spacing w:after="100"/>
      </w:pPr>
      <w:r>
        <w:rPr>
          <w:b/>
          <w:bCs/>
        </w:rPr>
        <w:t xml:space="preserve">Four layers of protection: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38"/>
        <w:gridCol w:w="3000"/>
      </w:tblGrid>
      <w:tr>
        <w:trPr>
          <w:tblHeader/>
        </w:trPr>
        <w:tc>
          <w:tcPr>
            <w:tcW w:type="dxa" w:w="2400"/>
            <w:shd w:fill="2F3B4C" w:color="auto" w:val="clear"/>
            <w:tcMar>
              <w:top w:type="dxa" w:w="60"/>
              <w:left w:type="dxa" w:w="90"/>
              <w:bottom w:type="dxa" w:w="60"/>
              <w:right w:type="dxa" w:w="90"/>
            </w:tcMar>
          </w:tcPr>
          <w:p>
            <w:pPr>
              <w:spacing w:after="30"/>
            </w:pPr>
            <w:r>
              <w:rPr>
                <w:b/>
                <w:bCs/>
                <w:color w:val="FFFFFF"/>
                <w:sz w:val="18"/>
                <w:szCs w:val="18"/>
              </w:rPr>
              <w:t xml:space="preserve">Layer</w:t>
            </w:r>
          </w:p>
        </w:tc>
        <w:tc>
          <w:tcPr>
            <w:tcW w:type="dxa" w:w="4238"/>
            <w:shd w:fill="2F3B4C" w:color="auto" w:val="clear"/>
            <w:tcMar>
              <w:top w:type="dxa" w:w="60"/>
              <w:left w:type="dxa" w:w="90"/>
              <w:bottom w:type="dxa" w:w="60"/>
              <w:right w:type="dxa" w:w="90"/>
            </w:tcMar>
          </w:tcPr>
          <w:p>
            <w:pPr>
              <w:spacing w:after="30"/>
            </w:pPr>
            <w:r>
              <w:rPr>
                <w:b/>
                <w:bCs/>
                <w:color w:val="FFFFFF"/>
                <w:sz w:val="18"/>
                <w:szCs w:val="18"/>
              </w:rPr>
              <w:t xml:space="preserve">What it means</w:t>
            </w:r>
          </w:p>
        </w:tc>
        <w:tc>
          <w:tcPr>
            <w:tcW w:type="dxa" w:w="3000"/>
            <w:shd w:fill="2F3B4C" w:color="auto" w:val="clear"/>
            <w:tcMar>
              <w:top w:type="dxa" w:w="60"/>
              <w:left w:type="dxa" w:w="90"/>
              <w:bottom w:type="dxa" w:w="60"/>
              <w:right w:type="dxa" w:w="90"/>
            </w:tcMar>
          </w:tcPr>
          <w:p>
            <w:pPr>
              <w:spacing w:after="30"/>
            </w:pPr>
            <w:r>
              <w:rPr>
                <w:b/>
                <w:bCs/>
                <w:color w:val="FFFFFF"/>
                <w:sz w:val="18"/>
                <w:szCs w:val="18"/>
              </w:rPr>
              <w:t xml:space="preserve">Protects against</w:t>
            </w:r>
          </w:p>
        </w:tc>
      </w:tr>
      <w:tr>
        <w:trPr>
          <w:tblHeader w:val="off"/>
        </w:trPr>
        <w:tc>
          <w:tcPr>
            <w:tcW w:type="dxa" w:w="2400"/>
            <w:tcMar>
              <w:top w:type="dxa" w:w="60"/>
              <w:left w:type="dxa" w:w="90"/>
              <w:bottom w:type="dxa" w:w="60"/>
              <w:right w:type="dxa" w:w="90"/>
            </w:tcMar>
          </w:tcPr>
          <w:p>
            <w:pPr>
              <w:spacing w:after="30"/>
            </w:pPr>
            <w:r>
              <w:rPr>
                <w:sz w:val="18"/>
                <w:szCs w:val="18"/>
              </w:rPr>
              <w:t xml:space="preserve">1. Every decision has a reason</w:t>
            </w:r>
          </w:p>
        </w:tc>
        <w:tc>
          <w:tcPr>
            <w:tcW w:type="dxa" w:w="4238"/>
            <w:tcMar>
              <w:top w:type="dxa" w:w="60"/>
              <w:left w:type="dxa" w:w="90"/>
              <w:bottom w:type="dxa" w:w="60"/>
              <w:right w:type="dxa" w:w="90"/>
            </w:tcMar>
          </w:tcPr>
          <w:p>
            <w:pPr>
              <w:spacing w:after="30"/>
            </w:pPr>
            <w:r>
              <w:rPr>
                <w:sz w:val="18"/>
                <w:szCs w:val="18"/>
              </w:rPr>
              <w:t xml:space="preserve">On the case page, in the emails, in IAS (AiSummaryRemark)</w:t>
            </w:r>
          </w:p>
        </w:tc>
        <w:tc>
          <w:tcPr>
            <w:tcW w:type="dxa" w:w="3000"/>
            <w:tcMar>
              <w:top w:type="dxa" w:w="60"/>
              <w:left w:type="dxa" w:w="90"/>
              <w:bottom w:type="dxa" w:w="60"/>
              <w:right w:type="dxa" w:w="90"/>
            </w:tcMar>
          </w:tcPr>
          <w:p>
            <w:pPr>
              <w:spacing w:after="30"/>
            </w:pPr>
            <w:r>
              <w:rPr>
                <w:sz w:val="18"/>
                <w:szCs w:val="18"/>
              </w:rPr>
              <w:t xml:space="preserve">Errors nobody can see</w:t>
            </w:r>
          </w:p>
        </w:tc>
      </w:tr>
      <w:tr>
        <w:trPr>
          <w:tblHeader w:val="off"/>
        </w:trPr>
        <w:tc>
          <w:tcPr>
            <w:tcW w:type="dxa" w:w="2400"/>
            <w:tcMar>
              <w:top w:type="dxa" w:w="60"/>
              <w:left w:type="dxa" w:w="90"/>
              <w:bottom w:type="dxa" w:w="60"/>
              <w:right w:type="dxa" w:w="90"/>
            </w:tcMar>
          </w:tcPr>
          <w:p>
            <w:pPr>
              <w:spacing w:after="30"/>
            </w:pPr>
            <w:r>
              <w:rPr>
                <w:sz w:val="18"/>
                <w:szCs w:val="18"/>
              </w:rPr>
              <w:t xml:space="preserve">2. Proven, not trusted</w:t>
            </w:r>
          </w:p>
        </w:tc>
        <w:tc>
          <w:tcPr>
            <w:tcW w:type="dxa" w:w="4238"/>
            <w:tcMar>
              <w:top w:type="dxa" w:w="60"/>
              <w:left w:type="dxa" w:w="90"/>
              <w:bottom w:type="dxa" w:w="60"/>
              <w:right w:type="dxa" w:w="90"/>
            </w:tcMar>
          </w:tcPr>
          <w:p>
            <w:pPr>
              <w:spacing w:after="30"/>
            </w:pPr>
            <w:r>
              <w:rPr>
                <w:sz w:val="18"/>
                <w:szCs w:val="18"/>
              </w:rPr>
              <w:t xml:space="preserve">“Cross-checked” = proven against IAS / rules. “AI self-rated” = the AI’s own opinion, a hint only</w:t>
            </w:r>
          </w:p>
        </w:tc>
        <w:tc>
          <w:tcPr>
            <w:tcW w:type="dxa" w:w="3000"/>
            <w:tcMar>
              <w:top w:type="dxa" w:w="60"/>
              <w:left w:type="dxa" w:w="90"/>
              <w:bottom w:type="dxa" w:w="60"/>
              <w:right w:type="dxa" w:w="90"/>
            </w:tcMar>
          </w:tcPr>
          <w:p>
            <w:pPr>
              <w:spacing w:after="30"/>
            </w:pPr>
            <w:r>
              <w:rPr>
                <w:sz w:val="18"/>
                <w:szCs w:val="18"/>
              </w:rPr>
              <w:t xml:space="preserve">AI mistakes</w:t>
            </w:r>
          </w:p>
        </w:tc>
      </w:tr>
      <w:tr>
        <w:trPr>
          <w:tblHeader w:val="off"/>
        </w:trPr>
        <w:tc>
          <w:tcPr>
            <w:tcW w:type="dxa" w:w="2400"/>
            <w:tcMar>
              <w:top w:type="dxa" w:w="60"/>
              <w:left w:type="dxa" w:w="90"/>
              <w:bottom w:type="dxa" w:w="60"/>
              <w:right w:type="dxa" w:w="90"/>
            </w:tcMar>
          </w:tcPr>
          <w:p>
            <w:pPr>
              <w:spacing w:after="30"/>
            </w:pPr>
            <w:r>
              <w:rPr>
                <w:sz w:val="18"/>
                <w:szCs w:val="18"/>
              </w:rPr>
              <w:t xml:space="preserve">3. Not proven → a person decides</w:t>
            </w:r>
          </w:p>
        </w:tc>
        <w:tc>
          <w:tcPr>
            <w:tcW w:type="dxa" w:w="4238"/>
            <w:tcMar>
              <w:top w:type="dxa" w:w="60"/>
              <w:left w:type="dxa" w:w="90"/>
              <w:bottom w:type="dxa" w:w="60"/>
              <w:right w:type="dxa" w:w="90"/>
            </w:tcMar>
          </w:tcPr>
          <w:p>
            <w:pPr>
              <w:spacing w:after="30"/>
            </w:pPr>
            <w:r>
              <w:rPr>
                <w:sz w:val="18"/>
                <w:szCs w:val="18"/>
              </w:rPr>
              <w:t xml:space="preserve">Review queue, human-check switches</w:t>
            </w:r>
          </w:p>
        </w:tc>
        <w:tc>
          <w:tcPr>
            <w:tcW w:type="dxa" w:w="3000"/>
            <w:tcMar>
              <w:top w:type="dxa" w:w="60"/>
              <w:left w:type="dxa" w:w="90"/>
              <w:bottom w:type="dxa" w:w="60"/>
              <w:right w:type="dxa" w:w="90"/>
            </w:tcMar>
          </w:tcPr>
          <w:p>
            <w:pPr>
              <w:spacing w:after="30"/>
            </w:pPr>
            <w:r>
              <w:rPr>
                <w:sz w:val="18"/>
                <w:szCs w:val="18"/>
              </w:rPr>
              <w:t xml:space="preserve">AI mistakes and guesses</w:t>
            </w:r>
          </w:p>
        </w:tc>
      </w:tr>
      <w:tr>
        <w:trPr>
          <w:tblHeader w:val="off"/>
        </w:trPr>
        <w:tc>
          <w:tcPr>
            <w:tcW w:type="dxa" w:w="2400"/>
            <w:tcMar>
              <w:top w:type="dxa" w:w="60"/>
              <w:left w:type="dxa" w:w="90"/>
              <w:bottom w:type="dxa" w:w="60"/>
              <w:right w:type="dxa" w:w="90"/>
            </w:tcMar>
          </w:tcPr>
          <w:p>
            <w:pPr>
              <w:spacing w:after="30"/>
            </w:pPr>
            <w:r>
              <w:rPr>
                <w:sz w:val="18"/>
                <w:szCs w:val="18"/>
              </w:rPr>
              <w:t xml:space="preserve">4. Limits you control</w:t>
            </w:r>
          </w:p>
        </w:tc>
        <w:tc>
          <w:tcPr>
            <w:tcW w:type="dxa" w:w="4238"/>
            <w:tcMar>
              <w:top w:type="dxa" w:w="60"/>
              <w:left w:type="dxa" w:w="90"/>
              <w:bottom w:type="dxa" w:w="60"/>
              <w:right w:type="dxa" w:w="90"/>
            </w:tcMar>
          </w:tcPr>
          <w:p>
            <w:pPr>
              <w:spacing w:after="30"/>
            </w:pPr>
            <w:r>
              <w:rPr>
                <w:sz w:val="18"/>
                <w:szCs w:val="18"/>
              </w:rPr>
              <w:t xml:space="preserve">STP rules per case and benefit type, never-STP diagnoses, overrides logged with who and why</w:t>
            </w:r>
          </w:p>
        </w:tc>
        <w:tc>
          <w:tcPr>
            <w:tcW w:type="dxa" w:w="3000"/>
            <w:tcMar>
              <w:top w:type="dxa" w:w="60"/>
              <w:left w:type="dxa" w:w="90"/>
              <w:bottom w:type="dxa" w:w="60"/>
              <w:right w:type="dxa" w:w="90"/>
            </w:tcMar>
          </w:tcPr>
          <w:p>
            <w:pPr>
              <w:spacing w:after="30"/>
            </w:pPr>
            <w:r>
              <w:rPr>
                <w:sz w:val="18"/>
                <w:szCs w:val="18"/>
              </w:rPr>
              <w:t xml:space="preserve">Mistakes by AI or people, and their cost</w:t>
            </w:r>
          </w:p>
        </w:tc>
      </w:tr>
    </w:tbl>
    <w:p>
      <w:pPr>
        <w:spacing w:after="60"/>
      </w:pPr>
    </w:p>
    <w:p>
      <w:pPr>
        <w:spacing w:after="100"/>
      </w:pPr>
      <w:r>
        <w:rPr>
          <w:b/>
          <w:bCs/>
          <w:color w:val="E8702A"/>
        </w:rPr>
        <w:t xml:space="preserve">Say:</w:t>
      </w:r>
      <w:r>
        <w:t xml:space="preserve"> “Safety first, so mistakes can’t cost money. Then improve accuracy, so fewer cases need a person.”</w:t>
      </w:r>
    </w:p>
    <w:p>
      <w:pPr>
        <w:spacing w:after="100"/>
      </w:pPr>
      <w:r>
        <w:rPr>
          <w:b/>
          <w:bCs/>
          <w:color w:val="E8702A"/>
        </w:rPr>
        <w:t xml:space="preserve">Don’t say:</w:t>
      </w:r>
      <w:r>
        <w:t xml:space="preserve"> “We rely on AI confidence” (it was 95% sure and wrong on a name), any accuracy percentage, or “this is fixed” for anything in section 7.</w:t>
      </w:r>
    </w:p>
    <w:p>
      <w:pPr>
        <w:pStyle w:val="Heading1"/>
      </w:pPr>
      <w:r>
        <w:t xml:space="preserve">3. The five tested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0"/>
        <w:gridCol w:w="1650"/>
        <w:gridCol w:w="3238"/>
        <w:gridCol w:w="2600"/>
      </w:tblGrid>
      <w:tr>
        <w:trPr>
          <w:tblHeader/>
        </w:trPr>
        <w:tc>
          <w:tcPr>
            <w:tcW w:type="dxa" w:w="2150"/>
            <w:shd w:fill="2F3B4C" w:color="auto" w:val="clear"/>
            <w:tcMar>
              <w:top w:type="dxa" w:w="60"/>
              <w:left w:type="dxa" w:w="90"/>
              <w:bottom w:type="dxa" w:w="60"/>
              <w:right w:type="dxa" w:w="90"/>
            </w:tcMar>
          </w:tcPr>
          <w:p>
            <w:pPr>
              <w:spacing w:after="30"/>
            </w:pPr>
            <w:r>
              <w:rPr>
                <w:b/>
                <w:bCs/>
                <w:color w:val="FFFFFF"/>
                <w:sz w:val="18"/>
                <w:szCs w:val="18"/>
              </w:rPr>
              <w:t xml:space="preserve">Case</w:t>
            </w:r>
          </w:p>
        </w:tc>
        <w:tc>
          <w:tcPr>
            <w:tcW w:type="dxa" w:w="1650"/>
            <w:shd w:fill="2F3B4C" w:color="auto" w:val="clear"/>
            <w:tcMar>
              <w:top w:type="dxa" w:w="60"/>
              <w:left w:type="dxa" w:w="90"/>
              <w:bottom w:type="dxa" w:w="60"/>
              <w:right w:type="dxa" w:w="90"/>
            </w:tcMar>
          </w:tcPr>
          <w:p>
            <w:pPr>
              <w:spacing w:after="30"/>
            </w:pPr>
            <w:r>
              <w:rPr>
                <w:b/>
                <w:bCs/>
                <w:color w:val="FFFFFF"/>
                <w:sz w:val="18"/>
                <w:szCs w:val="18"/>
              </w:rPr>
              <w:t xml:space="preserve">Outcome</w:t>
            </w:r>
          </w:p>
        </w:tc>
        <w:tc>
          <w:tcPr>
            <w:tcW w:type="dxa" w:w="3238"/>
            <w:shd w:fill="2F3B4C" w:color="auto" w:val="clear"/>
            <w:tcMar>
              <w:top w:type="dxa" w:w="60"/>
              <w:left w:type="dxa" w:w="90"/>
              <w:bottom w:type="dxa" w:w="60"/>
              <w:right w:type="dxa" w:w="90"/>
            </w:tcMar>
          </w:tcPr>
          <w:p>
            <w:pPr>
              <w:spacing w:after="30"/>
            </w:pPr>
            <w:r>
              <w:rPr>
                <w:b/>
                <w:bCs/>
                <w:color w:val="FFFFFF"/>
                <w:sz w:val="18"/>
                <w:szCs w:val="18"/>
              </w:rPr>
              <w:t xml:space="preserve">Right / wrong</w:t>
            </w:r>
          </w:p>
        </w:tc>
        <w:tc>
          <w:tcPr>
            <w:tcW w:type="dxa" w:w="2600"/>
            <w:shd w:fill="2F3B4C" w:color="auto" w:val="clear"/>
            <w:tcMar>
              <w:top w:type="dxa" w:w="60"/>
              <w:left w:type="dxa" w:w="90"/>
              <w:bottom w:type="dxa" w:w="60"/>
              <w:right w:type="dxa" w:w="90"/>
            </w:tcMar>
          </w:tcPr>
          <w:p>
            <w:pPr>
              <w:spacing w:after="30"/>
            </w:pPr>
            <w:r>
              <w:rPr>
                <w:b/>
                <w:bCs/>
                <w:color w:val="FFFFFF"/>
                <w:sz w:val="18"/>
                <w:szCs w:val="18"/>
              </w:rPr>
              <w:t xml:space="preserve">Demo use</w:t>
            </w:r>
          </w:p>
        </w:tc>
      </w:tr>
      <w:tr>
        <w:trPr>
          <w:tblHeader w:val="off"/>
        </w:trPr>
        <w:tc>
          <w:tcPr>
            <w:tcW w:type="dxa" w:w="2150"/>
            <w:tcMar>
              <w:top w:type="dxa" w:w="60"/>
              <w:left w:type="dxa" w:w="90"/>
              <w:bottom w:type="dxa" w:w="60"/>
              <w:right w:type="dxa" w:w="90"/>
            </w:tcMar>
          </w:tcPr>
          <w:p>
            <w:pPr>
              <w:spacing w:after="30"/>
            </w:pPr>
            <w:r>
              <w:rPr>
                <w:sz w:val="18"/>
                <w:szCs w:val="18"/>
              </w:rPr>
              <w:t xml:space="preserve">API complete</w:t>
            </w:r>
          </w:p>
          <w:p>
            <w:pPr>
              <w:spacing w:after="30"/>
            </w:pPr>
            <w:r>
              <w:rPr>
                <w:sz w:val="18"/>
                <w:szCs w:val="18"/>
              </w:rPr>
              <w:t xml:space="preserve">AYA-CL-26034912</w:t>
            </w:r>
          </w:p>
          <w:p>
            <w:pPr>
              <w:spacing w:after="30"/>
            </w:pPr>
            <w:r>
              <w:rPr>
                <w:sz w:val="18"/>
                <w:szCs w:val="18"/>
              </w:rPr>
              <w:t xml:space="preserve">Claim 2609170004</w:t>
            </w:r>
          </w:p>
        </w:tc>
        <w:tc>
          <w:tcPr>
            <w:tcW w:type="dxa" w:w="1650"/>
            <w:tcMar>
              <w:top w:type="dxa" w:w="60"/>
              <w:left w:type="dxa" w:w="90"/>
              <w:bottom w:type="dxa" w:w="60"/>
              <w:right w:type="dxa" w:w="90"/>
            </w:tcMar>
          </w:tcPr>
          <w:p>
            <w:pPr>
              <w:spacing w:after="30"/>
            </w:pPr>
            <w:r>
              <w:rPr>
                <w:sz w:val="18"/>
                <w:szCs w:val="18"/>
              </w:rPr>
              <w:t xml:space="preserve">STP, revised in IAS, settlement report sent</w:t>
            </w:r>
          </w:p>
        </w:tc>
        <w:tc>
          <w:tcPr>
            <w:tcW w:type="dxa" w:w="3238"/>
            <w:tcMar>
              <w:top w:type="dxa" w:w="60"/>
              <w:left w:type="dxa" w:w="90"/>
              <w:bottom w:type="dxa" w:w="60"/>
              <w:right w:type="dxa" w:w="90"/>
            </w:tcMar>
          </w:tcPr>
          <w:p>
            <w:pPr>
              <w:spacing w:after="30"/>
            </w:pPr>
            <w:r>
              <w:rPr>
                <w:sz w:val="18"/>
                <w:szCs w:val="18"/>
              </w:rPr>
              <w:t xml:space="preserve">✓ Flow, member check, amount 32,500, STP</w:t>
            </w:r>
          </w:p>
          <w:p>
            <w:pPr>
              <w:spacing w:after="30"/>
            </w:pPr>
            <w:r>
              <w:rPr>
                <w:sz w:val="18"/>
                <w:szCs w:val="18"/>
              </w:rPr>
              <w:t xml:space="preserve">✗ Diagnosis S13 neck sprain (really thyroid nodule / lipoma)</w:t>
            </w:r>
          </w:p>
          <w:p>
            <w:pPr>
              <w:spacing w:after="30"/>
            </w:pPr>
            <w:r>
              <w:rPr>
                <w:sz w:val="18"/>
                <w:szCs w:val="18"/>
              </w:rPr>
              <w:t xml:space="preserve">✗ Benefit XRAY (really Specialist)</w:t>
            </w:r>
          </w:p>
        </w:tc>
        <w:tc>
          <w:tcPr>
            <w:tcW w:type="dxa" w:w="2600"/>
            <w:tcMar>
              <w:top w:type="dxa" w:w="60"/>
              <w:left w:type="dxa" w:w="90"/>
              <w:bottom w:type="dxa" w:w="60"/>
              <w:right w:type="dxa" w:w="90"/>
            </w:tcMar>
          </w:tcPr>
          <w:p>
            <w:pPr>
              <w:spacing w:after="30"/>
            </w:pPr>
            <w:r>
              <w:rPr>
                <w:sz w:val="18"/>
                <w:szCs w:val="18"/>
              </w:rPr>
              <w:t xml:space="preserve">Show flow and STP. Do NOT open the diagnosis or benefit lines, or the IAS diagnosis field</w:t>
            </w:r>
          </w:p>
        </w:tc>
      </w:tr>
      <w:tr>
        <w:trPr>
          <w:tblHeader w:val="off"/>
        </w:trPr>
        <w:tc>
          <w:tcPr>
            <w:tcW w:type="dxa" w:w="2150"/>
            <w:tcMar>
              <w:top w:type="dxa" w:w="60"/>
              <w:left w:type="dxa" w:w="90"/>
              <w:bottom w:type="dxa" w:w="60"/>
              <w:right w:type="dxa" w:w="90"/>
            </w:tcMar>
          </w:tcPr>
          <w:p>
            <w:pPr>
              <w:spacing w:after="30"/>
            </w:pPr>
            <w:r>
              <w:rPr>
                <w:sz w:val="18"/>
                <w:szCs w:val="18"/>
              </w:rPr>
              <w:t xml:space="preserve">API incomplete</w:t>
            </w:r>
          </w:p>
          <w:p>
            <w:pPr>
              <w:spacing w:after="30"/>
            </w:pPr>
            <w:r>
              <w:rPr>
                <w:sz w:val="18"/>
                <w:szCs w:val="18"/>
              </w:rPr>
              <w:t xml:space="preserve">AYA-CL-26031486</w:t>
            </w:r>
          </w:p>
          <w:p>
            <w:pPr>
              <w:spacing w:after="30"/>
            </w:pPr>
            <w:r>
              <w:rPr>
                <w:sz w:val="18"/>
                <w:szCs w:val="18"/>
              </w:rPr>
              <w:t xml:space="preserve">Claim 2609290003</w:t>
            </w:r>
          </w:p>
        </w:tc>
        <w:tc>
          <w:tcPr>
            <w:tcW w:type="dxa" w:w="1650"/>
            <w:tcMar>
              <w:top w:type="dxa" w:w="60"/>
              <w:left w:type="dxa" w:w="90"/>
              <w:bottom w:type="dxa" w:w="60"/>
              <w:right w:type="dxa" w:w="90"/>
            </w:tcMar>
          </w:tcPr>
          <w:p>
            <w:pPr>
              <w:spacing w:after="30"/>
            </w:pPr>
            <w:r>
              <w:rPr>
                <w:sz w:val="18"/>
                <w:szCs w:val="18"/>
              </w:rPr>
              <w:t xml:space="preserve">Suspended in IAS, customer and team emailed</w:t>
            </w:r>
          </w:p>
        </w:tc>
        <w:tc>
          <w:tcPr>
            <w:tcW w:type="dxa" w:w="3238"/>
            <w:tcMar>
              <w:top w:type="dxa" w:w="60"/>
              <w:left w:type="dxa" w:w="90"/>
              <w:bottom w:type="dxa" w:w="60"/>
              <w:right w:type="dxa" w:w="90"/>
            </w:tcMar>
          </w:tcPr>
          <w:p>
            <w:pPr>
              <w:spacing w:after="30"/>
            </w:pPr>
            <w:r>
              <w:rPr>
                <w:sz w:val="18"/>
                <w:szCs w:val="18"/>
              </w:rPr>
              <w:t xml:space="preserve">✓ #1 voucher has only a “paid” stamp (matches Ulink’s reviewer)</w:t>
            </w:r>
          </w:p>
          <w:p>
            <w:pPr>
              <w:spacing w:after="30"/>
            </w:pPr>
            <w:r>
              <w:rPr>
                <w:sz w:val="18"/>
                <w:szCs w:val="18"/>
              </w:rPr>
              <w:t xml:space="preserve">✗ #2 missed 3rd voucher 135,500</w:t>
            </w:r>
          </w:p>
          <w:p>
            <w:pPr>
              <w:spacing w:after="30"/>
            </w:pPr>
            <w:r>
              <w:rPr>
                <w:sz w:val="18"/>
                <w:szCs w:val="18"/>
              </w:rPr>
              <w:t xml:space="preserve">✗ #3 misread handwritten Burmese name</w:t>
            </w:r>
          </w:p>
        </w:tc>
        <w:tc>
          <w:tcPr>
            <w:tcW w:type="dxa" w:w="2600"/>
            <w:tcMar>
              <w:top w:type="dxa" w:w="60"/>
              <w:left w:type="dxa" w:w="90"/>
              <w:bottom w:type="dxa" w:w="60"/>
              <w:right w:type="dxa" w:w="90"/>
            </w:tcMar>
          </w:tcPr>
          <w:p>
            <w:pPr>
              <w:spacing w:after="30"/>
            </w:pPr>
            <w:r>
              <w:rPr>
                <w:sz w:val="18"/>
                <w:szCs w:val="18"/>
              </w:rPr>
              <w:t xml:space="preserve">Show flow; raise #2 and #3 yourself. Show team email, not the customer email body (old wording)</w:t>
            </w:r>
          </w:p>
        </w:tc>
      </w:tr>
      <w:tr>
        <w:trPr>
          <w:tblHeader w:val="off"/>
        </w:trPr>
        <w:tc>
          <w:tcPr>
            <w:tcW w:type="dxa" w:w="2150"/>
            <w:tcMar>
              <w:top w:type="dxa" w:w="60"/>
              <w:left w:type="dxa" w:w="90"/>
              <w:bottom w:type="dxa" w:w="60"/>
              <w:right w:type="dxa" w:w="90"/>
            </w:tcMar>
          </w:tcPr>
          <w:p>
            <w:pPr>
              <w:spacing w:after="30"/>
            </w:pPr>
            <w:r>
              <w:rPr>
                <w:sz w:val="18"/>
                <w:szCs w:val="18"/>
              </w:rPr>
              <w:t xml:space="preserve">Email complete</w:t>
            </w:r>
          </w:p>
          <w:p>
            <w:pPr>
              <w:spacing w:after="30"/>
            </w:pPr>
            <w:r>
              <w:rPr>
                <w:sz w:val="18"/>
                <w:szCs w:val="18"/>
              </w:rPr>
              <w:t xml:space="preserve">Hlaing Myo Oo</w:t>
            </w:r>
          </w:p>
          <w:p>
            <w:pPr>
              <w:spacing w:after="30"/>
            </w:pPr>
            <w:r>
              <w:rPr>
                <w:sz w:val="18"/>
                <w:szCs w:val="18"/>
              </w:rPr>
              <w:t xml:space="preserve">Claim 2609300001</w:t>
            </w:r>
          </w:p>
        </w:tc>
        <w:tc>
          <w:tcPr>
            <w:tcW w:type="dxa" w:w="1650"/>
            <w:tcMar>
              <w:top w:type="dxa" w:w="60"/>
              <w:left w:type="dxa" w:w="90"/>
              <w:bottom w:type="dxa" w:w="60"/>
              <w:right w:type="dxa" w:w="90"/>
            </w:tcMar>
          </w:tcPr>
          <w:p>
            <w:pPr>
              <w:spacing w:after="30"/>
            </w:pPr>
            <w:r>
              <w:rPr>
                <w:sz w:val="18"/>
                <w:szCs w:val="18"/>
              </w:rPr>
              <w:t xml:space="preserve">Held → overridden → barcode → IAS → STP: No → JD3</w:t>
            </w:r>
          </w:p>
        </w:tc>
        <w:tc>
          <w:tcPr>
            <w:tcW w:type="dxa" w:w="3238"/>
            <w:tcMar>
              <w:top w:type="dxa" w:w="60"/>
              <w:left w:type="dxa" w:w="90"/>
              <w:bottom w:type="dxa" w:w="60"/>
              <w:right w:type="dxa" w:w="90"/>
            </w:tcMar>
          </w:tcPr>
          <w:p>
            <w:pPr>
              <w:spacing w:after="30"/>
            </w:pPr>
            <w:r>
              <w:rPr>
                <w:sz w:val="18"/>
                <w:szCs w:val="18"/>
              </w:rPr>
              <w:t xml:space="preserve">✓ AI misread 25.7.26 as 25.1.26, was unsure, so a person checked</w:t>
            </w:r>
          </w:p>
          <w:p>
            <w:pPr>
              <w:spacing w:after="30"/>
            </w:pPr>
            <w:r>
              <w:rPr>
                <w:sz w:val="18"/>
                <w:szCs w:val="18"/>
              </w:rPr>
              <w:t xml:space="preserve">⚠ Diagnosis R69 (not found), safely blocked from STP</w:t>
            </w:r>
          </w:p>
        </w:tc>
        <w:tc>
          <w:tcPr>
            <w:tcW w:type="dxa" w:w="2600"/>
            <w:tcMar>
              <w:top w:type="dxa" w:w="60"/>
              <w:left w:type="dxa" w:w="90"/>
              <w:bottom w:type="dxa" w:w="60"/>
              <w:right w:type="dxa" w:w="90"/>
            </w:tcMar>
          </w:tcPr>
          <w:p>
            <w:pPr>
              <w:spacing w:after="30"/>
            </w:pPr>
            <w:r>
              <w:rPr>
                <w:sz w:val="18"/>
                <w:szCs w:val="18"/>
              </w:rPr>
              <w:t xml:space="preserve">BEST CASE — the human check worked for real</w:t>
            </w:r>
          </w:p>
        </w:tc>
      </w:tr>
      <w:tr>
        <w:trPr>
          <w:tblHeader w:val="off"/>
        </w:trPr>
        <w:tc>
          <w:tcPr>
            <w:tcW w:type="dxa" w:w="2150"/>
            <w:tcMar>
              <w:top w:type="dxa" w:w="60"/>
              <w:left w:type="dxa" w:w="90"/>
              <w:bottom w:type="dxa" w:w="60"/>
              <w:right w:type="dxa" w:w="90"/>
            </w:tcMar>
          </w:tcPr>
          <w:p>
            <w:pPr>
              <w:spacing w:after="30"/>
            </w:pPr>
            <w:r>
              <w:rPr>
                <w:sz w:val="18"/>
                <w:szCs w:val="18"/>
              </w:rPr>
              <w:t xml:space="preserve">Email held</w:t>
            </w:r>
          </w:p>
          <w:p>
            <w:pPr>
              <w:spacing w:after="30"/>
            </w:pPr>
            <w:r>
              <w:rPr>
                <w:sz w:val="18"/>
                <w:szCs w:val="18"/>
              </w:rPr>
              <w:t xml:space="preserve">Kaung Nyan Lynn</w:t>
            </w:r>
          </w:p>
          <w:p>
            <w:pPr>
              <w:spacing w:after="30"/>
            </w:pPr>
            <w:r>
              <w:rPr>
                <w:sz w:val="18"/>
                <w:szCs w:val="18"/>
              </w:rPr>
              <w:t xml:space="preserve">case df3ec579…</w:t>
            </w:r>
          </w:p>
        </w:tc>
        <w:tc>
          <w:tcPr>
            <w:tcW w:type="dxa" w:w="1650"/>
            <w:tcMar>
              <w:top w:type="dxa" w:w="60"/>
              <w:left w:type="dxa" w:w="90"/>
              <w:bottom w:type="dxa" w:w="60"/>
              <w:right w:type="dxa" w:w="90"/>
            </w:tcMar>
          </w:tcPr>
          <w:p>
            <w:pPr>
              <w:spacing w:after="30"/>
            </w:pPr>
            <w:r>
              <w:rPr>
                <w:sz w:val="18"/>
                <w:szCs w:val="18"/>
              </w:rPr>
              <w:t xml:space="preserve">Held; customer not emailed</w:t>
            </w:r>
          </w:p>
        </w:tc>
        <w:tc>
          <w:tcPr>
            <w:tcW w:type="dxa" w:w="3238"/>
            <w:tcMar>
              <w:top w:type="dxa" w:w="60"/>
              <w:left w:type="dxa" w:w="90"/>
              <w:bottom w:type="dxa" w:w="60"/>
              <w:right w:type="dxa" w:w="90"/>
            </w:tcMar>
          </w:tcPr>
          <w:p>
            <w:pPr>
              <w:spacing w:after="30"/>
            </w:pPr>
            <w:r>
              <w:rPr>
                <w:sz w:val="18"/>
                <w:szCs w:val="18"/>
              </w:rPr>
              <w:t xml:space="preserve">✓ Delegation letter (account holder “me me win pe” ≠ claimant)</w:t>
            </w:r>
          </w:p>
          <w:p>
            <w:pPr>
              <w:spacing w:after="30"/>
            </w:pPr>
            <w:r>
              <w:rPr>
                <w:sz w:val="18"/>
                <w:szCs w:val="18"/>
              </w:rPr>
              <w:t xml:space="preserve">✗ “Missing account number” — it is printed</w:t>
            </w:r>
          </w:p>
          <w:p>
            <w:pPr>
              <w:spacing w:after="30"/>
            </w:pPr>
            <w:r>
              <w:rPr>
                <w:sz w:val="18"/>
                <w:szCs w:val="18"/>
              </w:rPr>
              <w:t xml:space="preserve">✗ Amount −5,250 — main receipt is a sideways photo on page 7</w:t>
            </w:r>
          </w:p>
        </w:tc>
        <w:tc>
          <w:tcPr>
            <w:tcW w:type="dxa" w:w="2600"/>
            <w:tcMar>
              <w:top w:type="dxa" w:w="60"/>
              <w:left w:type="dxa" w:w="90"/>
              <w:bottom w:type="dxa" w:w="60"/>
              <w:right w:type="dxa" w:w="90"/>
            </w:tcMar>
          </w:tcPr>
          <w:p>
            <w:pPr>
              <w:spacing w:after="30"/>
            </w:pPr>
            <w:r>
              <w:rPr>
                <w:sz w:val="18"/>
                <w:szCs w:val="18"/>
              </w:rPr>
              <w:t xml:space="preserve">Show in Review queue as “AI unsure → held”. Do NOT release it</w:t>
            </w:r>
          </w:p>
        </w:tc>
      </w:tr>
      <w:tr>
        <w:trPr>
          <w:tblHeader w:val="off"/>
        </w:trPr>
        <w:tc>
          <w:tcPr>
            <w:tcW w:type="dxa" w:w="2150"/>
            <w:tcMar>
              <w:top w:type="dxa" w:w="60"/>
              <w:left w:type="dxa" w:w="90"/>
              <w:bottom w:type="dxa" w:w="60"/>
              <w:right w:type="dxa" w:w="90"/>
            </w:tcMar>
          </w:tcPr>
          <w:p>
            <w:pPr>
              <w:spacing w:after="30"/>
            </w:pPr>
            <w:r>
              <w:rPr>
                <w:sz w:val="18"/>
                <w:szCs w:val="18"/>
              </w:rPr>
              <w:t xml:space="preserve">Email incomplete</w:t>
            </w:r>
          </w:p>
          <w:p>
            <w:pPr>
              <w:spacing w:after="30"/>
            </w:pPr>
            <w:r>
              <w:rPr>
                <w:sz w:val="18"/>
                <w:szCs w:val="18"/>
              </w:rPr>
              <w:t xml:space="preserve">Su Mon Latt</w:t>
            </w:r>
          </w:p>
          <w:p>
            <w:pPr>
              <w:spacing w:after="30"/>
            </w:pPr>
            <w:r>
              <w:rPr>
                <w:sz w:val="18"/>
                <w:szCs w:val="18"/>
              </w:rPr>
              <w:t xml:space="preserve">case 04759562…</w:t>
            </w:r>
          </w:p>
        </w:tc>
        <w:tc>
          <w:tcPr>
            <w:tcW w:type="dxa" w:w="1650"/>
            <w:tcMar>
              <w:top w:type="dxa" w:w="60"/>
              <w:left w:type="dxa" w:w="90"/>
              <w:bottom w:type="dxa" w:w="60"/>
              <w:right w:type="dxa" w:w="90"/>
            </w:tcMar>
          </w:tcPr>
          <w:p>
            <w:pPr>
              <w:spacing w:after="30"/>
            </w:pPr>
            <w:r>
              <w:rPr>
                <w:sz w:val="18"/>
                <w:szCs w:val="18"/>
              </w:rPr>
              <w:t xml:space="preserve">Customer emailed: invoice date ≠ record date</w:t>
            </w:r>
          </w:p>
        </w:tc>
        <w:tc>
          <w:tcPr>
            <w:tcW w:type="dxa" w:w="3238"/>
            <w:tcMar>
              <w:top w:type="dxa" w:w="60"/>
              <w:left w:type="dxa" w:w="90"/>
              <w:bottom w:type="dxa" w:w="60"/>
              <w:right w:type="dxa" w:w="90"/>
            </w:tcMar>
          </w:tcPr>
          <w:p>
            <w:pPr>
              <w:spacing w:after="30"/>
            </w:pPr>
            <w:r>
              <w:rPr>
                <w:sz w:val="18"/>
                <w:szCs w:val="18"/>
              </w:rPr>
              <w:t xml:space="preserve">⚠ Probably wrong: two visits (21/8, 28/8) with a doctor’s note for each</w:t>
            </w:r>
          </w:p>
          <w:p>
            <w:pPr>
              <w:spacing w:after="30"/>
            </w:pPr>
            <w:r>
              <w:rPr>
                <w:sz w:val="18"/>
                <w:szCs w:val="18"/>
              </w:rPr>
              <w:t xml:space="preserve">✓ Amounts add up (305,740)</w:t>
            </w:r>
          </w:p>
          <w:p>
            <w:pPr>
              <w:spacing w:after="30"/>
            </w:pPr>
            <w:r>
              <w:rPr>
                <w:sz w:val="18"/>
                <w:szCs w:val="18"/>
              </w:rPr>
              <w:t xml:space="preserve">Confidence exactly 0.5 → not treated as unsure</w:t>
            </w:r>
          </w:p>
        </w:tc>
        <w:tc>
          <w:tcPr>
            <w:tcW w:type="dxa" w:w="2600"/>
            <w:tcMar>
              <w:top w:type="dxa" w:w="60"/>
              <w:left w:type="dxa" w:w="90"/>
              <w:bottom w:type="dxa" w:w="60"/>
              <w:right w:type="dxa" w:w="90"/>
            </w:tcMar>
          </w:tcPr>
          <w:p>
            <w:pPr>
              <w:spacing w:after="30"/>
            </w:pPr>
            <w:r>
              <w:rPr>
                <w:sz w:val="18"/>
                <w:szCs w:val="18"/>
              </w:rPr>
              <w:t xml:space="preserve">SKIP</w:t>
            </w:r>
          </w:p>
        </w:tc>
      </w:tr>
    </w:tbl>
    <w:p>
      <w:r>
        <w:br w:type="page"/>
      </w:r>
    </w:p>
    <w:p>
      <w:pPr>
        <w:pStyle w:val="Heading1"/>
      </w:pPr>
      <w:r>
        <w:t xml:space="preserve">4. Demo order (about 25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4238"/>
        <w:gridCol w:w="2300"/>
      </w:tblGrid>
      <w:tr>
        <w:trPr>
          <w:tblHeader/>
        </w:trPr>
        <w:tc>
          <w:tcPr>
            <w:tcW w:type="dxa" w:w="500"/>
            <w:shd w:fill="2F3B4C" w:color="auto" w:val="clear"/>
            <w:tcMar>
              <w:top w:type="dxa" w:w="60"/>
              <w:left w:type="dxa" w:w="90"/>
              <w:bottom w:type="dxa" w:w="60"/>
              <w:right w:type="dxa" w:w="90"/>
            </w:tcMar>
          </w:tcPr>
          <w:p>
            <w:pPr>
              <w:spacing w:after="30"/>
            </w:pPr>
            <w:r>
              <w:rPr>
                <w:b/>
                <w:bCs/>
                <w:color w:val="FFFFFF"/>
                <w:sz w:val="18"/>
                <w:szCs w:val="18"/>
              </w:rPr>
              <w:t xml:space="preserve">#</w:t>
            </w:r>
          </w:p>
        </w:tc>
        <w:tc>
          <w:tcPr>
            <w:tcW w:type="dxa" w:w="2600"/>
            <w:shd w:fill="2F3B4C" w:color="auto" w:val="clear"/>
            <w:tcMar>
              <w:top w:type="dxa" w:w="60"/>
              <w:left w:type="dxa" w:w="90"/>
              <w:bottom w:type="dxa" w:w="60"/>
              <w:right w:type="dxa" w:w="90"/>
            </w:tcMar>
          </w:tcPr>
          <w:p>
            <w:pPr>
              <w:spacing w:after="30"/>
            </w:pPr>
            <w:r>
              <w:rPr>
                <w:b/>
                <w:bCs/>
                <w:color w:val="FFFFFF"/>
                <w:sz w:val="18"/>
                <w:szCs w:val="18"/>
              </w:rPr>
              <w:t xml:space="preserve">Show</w:t>
            </w:r>
          </w:p>
        </w:tc>
        <w:tc>
          <w:tcPr>
            <w:tcW w:type="dxa" w:w="4238"/>
            <w:shd w:fill="2F3B4C" w:color="auto" w:val="clear"/>
            <w:tcMar>
              <w:top w:type="dxa" w:w="60"/>
              <w:left w:type="dxa" w:w="90"/>
              <w:bottom w:type="dxa" w:w="60"/>
              <w:right w:type="dxa" w:w="90"/>
            </w:tcMar>
          </w:tcPr>
          <w:p>
            <w:pPr>
              <w:spacing w:after="30"/>
            </w:pPr>
            <w:r>
              <w:rPr>
                <w:b/>
                <w:bCs/>
                <w:color w:val="FFFFFF"/>
                <w:sz w:val="18"/>
                <w:szCs w:val="18"/>
              </w:rPr>
              <w:t xml:space="preserve">Say</w:t>
            </w:r>
          </w:p>
        </w:tc>
        <w:tc>
          <w:tcPr>
            <w:tcW w:type="dxa" w:w="2300"/>
            <w:shd w:fill="2F3B4C" w:color="auto" w:val="clear"/>
            <w:tcMar>
              <w:top w:type="dxa" w:w="60"/>
              <w:left w:type="dxa" w:w="90"/>
              <w:bottom w:type="dxa" w:w="60"/>
              <w:right w:type="dxa" w:w="90"/>
            </w:tcMar>
          </w:tcPr>
          <w:p>
            <w:pPr>
              <w:spacing w:after="30"/>
            </w:pPr>
            <w:r>
              <w:rPr>
                <w:b/>
                <w:bCs/>
                <w:color w:val="FFFFFF"/>
                <w:sz w:val="18"/>
                <w:szCs w:val="18"/>
              </w:rPr>
              <w:t xml:space="preserve">Avoid</w:t>
            </w:r>
          </w:p>
        </w:tc>
      </w:tr>
      <w:tr>
        <w:trPr>
          <w:tblHeader w:val="off"/>
        </w:trPr>
        <w:tc>
          <w:tcPr>
            <w:tcW w:type="dxa" w:w="500"/>
            <w:tcMar>
              <w:top w:type="dxa" w:w="60"/>
              <w:left w:type="dxa" w:w="90"/>
              <w:bottom w:type="dxa" w:w="60"/>
              <w:right w:type="dxa" w:w="90"/>
            </w:tcMar>
          </w:tcPr>
          <w:p>
            <w:pPr>
              <w:spacing w:after="30"/>
            </w:pPr>
            <w:r>
              <w:rPr>
                <w:sz w:val="18"/>
                <w:szCs w:val="18"/>
              </w:rPr>
              <w:t xml:space="preserve">1</w:t>
            </w:r>
          </w:p>
        </w:tc>
        <w:tc>
          <w:tcPr>
            <w:tcW w:type="dxa" w:w="2600"/>
            <w:tcMar>
              <w:top w:type="dxa" w:w="60"/>
              <w:left w:type="dxa" w:w="90"/>
              <w:bottom w:type="dxa" w:w="60"/>
              <w:right w:type="dxa" w:w="90"/>
            </w:tcMar>
          </w:tcPr>
          <w:p>
            <w:pPr>
              <w:spacing w:after="30"/>
            </w:pPr>
            <w:r>
              <w:rPr>
                <w:sz w:val="18"/>
                <w:szCs w:val="18"/>
              </w:rPr>
              <w:t xml:space="preserve">Overview dashboard</w:t>
            </w:r>
          </w:p>
        </w:tc>
        <w:tc>
          <w:tcPr>
            <w:tcW w:type="dxa" w:w="4238"/>
            <w:tcMar>
              <w:top w:type="dxa" w:w="60"/>
              <w:left w:type="dxa" w:w="90"/>
              <w:bottom w:type="dxa" w:w="60"/>
              <w:right w:type="dxa" w:w="90"/>
            </w:tcMar>
          </w:tcPr>
          <w:p>
            <w:pPr>
              <w:spacing w:after="30"/>
            </w:pPr>
            <w:r>
              <w:rPr>
                <w:sz w:val="18"/>
                <w:szCs w:val="18"/>
              </w:rPr>
              <w:t xml:space="preserve">The opening line (section 2). Two ways in — email or IAS — same checks.</w:t>
            </w:r>
          </w:p>
        </w:tc>
        <w:tc>
          <w:tcPr>
            <w:tcW w:type="dxa" w:w="2300"/>
            <w:tcMar>
              <w:top w:type="dxa" w:w="60"/>
              <w:left w:type="dxa" w:w="90"/>
              <w:bottom w:type="dxa" w:w="60"/>
              <w:right w:type="dxa" w:w="90"/>
            </w:tcMar>
          </w:tcPr>
          <w:p>
            <w:pPr>
              <w:spacing w:after="30"/>
            </w:pPr>
            <w:r>
              <w:rPr>
                <w:sz w:val="18"/>
                <w:szCs w:val="18"/>
              </w:rPr>
              <w:t xml:space="preserve"/>
            </w:r>
          </w:p>
        </w:tc>
      </w:tr>
      <w:tr>
        <w:trPr>
          <w:tblHeader w:val="off"/>
        </w:trPr>
        <w:tc>
          <w:tcPr>
            <w:tcW w:type="dxa" w:w="500"/>
            <w:tcMar>
              <w:top w:type="dxa" w:w="60"/>
              <w:left w:type="dxa" w:w="90"/>
              <w:bottom w:type="dxa" w:w="60"/>
              <w:right w:type="dxa" w:w="90"/>
            </w:tcMar>
          </w:tcPr>
          <w:p>
            <w:pPr>
              <w:spacing w:after="30"/>
            </w:pPr>
            <w:r>
              <w:rPr>
                <w:sz w:val="18"/>
                <w:szCs w:val="18"/>
              </w:rPr>
              <w:t xml:space="preserve">2</w:t>
            </w:r>
          </w:p>
        </w:tc>
        <w:tc>
          <w:tcPr>
            <w:tcW w:type="dxa" w:w="2600"/>
            <w:tcMar>
              <w:top w:type="dxa" w:w="60"/>
              <w:left w:type="dxa" w:w="90"/>
              <w:bottom w:type="dxa" w:w="60"/>
              <w:right w:type="dxa" w:w="90"/>
            </w:tcMar>
          </w:tcPr>
          <w:p>
            <w:pPr>
              <w:spacing w:after="30"/>
            </w:pPr>
            <w:r>
              <w:rPr>
                <w:sz w:val="18"/>
                <w:szCs w:val="18"/>
              </w:rPr>
              <w:t xml:space="preserve">API complete AYA-CL-26034912</w:t>
            </w:r>
          </w:p>
        </w:tc>
        <w:tc>
          <w:tcPr>
            <w:tcW w:type="dxa" w:w="4238"/>
            <w:tcMar>
              <w:top w:type="dxa" w:w="60"/>
              <w:left w:type="dxa" w:w="90"/>
              <w:bottom w:type="dxa" w:w="60"/>
              <w:right w:type="dxa" w:w="90"/>
            </w:tcMar>
          </w:tcPr>
          <w:p>
            <w:pPr>
              <w:spacing w:after="30"/>
            </w:pPr>
            <w:r>
              <w:rPr>
                <w:sz w:val="18"/>
                <w:szCs w:val="18"/>
              </w:rPr>
              <w:t xml:space="preserve">IAS claim → console images → AI read → member checked against IAS → documents complete → STP by your rules → revised in IAS → settlement report.</w:t>
            </w:r>
          </w:p>
        </w:tc>
        <w:tc>
          <w:tcPr>
            <w:tcW w:type="dxa" w:w="2300"/>
            <w:tcMar>
              <w:top w:type="dxa" w:w="60"/>
              <w:left w:type="dxa" w:w="90"/>
              <w:bottom w:type="dxa" w:w="60"/>
              <w:right w:type="dxa" w:w="90"/>
            </w:tcMar>
          </w:tcPr>
          <w:p>
            <w:pPr>
              <w:spacing w:after="30"/>
            </w:pPr>
            <w:r>
              <w:rPr>
                <w:sz w:val="18"/>
                <w:szCs w:val="18"/>
              </w:rPr>
              <w:t xml:space="preserve">Diagnosis and benefit lines</w:t>
            </w:r>
          </w:p>
        </w:tc>
      </w:tr>
      <w:tr>
        <w:trPr>
          <w:tblHeader w:val="off"/>
        </w:trPr>
        <w:tc>
          <w:tcPr>
            <w:tcW w:type="dxa" w:w="500"/>
            <w:tcMar>
              <w:top w:type="dxa" w:w="60"/>
              <w:left w:type="dxa" w:w="90"/>
              <w:bottom w:type="dxa" w:w="60"/>
              <w:right w:type="dxa" w:w="90"/>
            </w:tcMar>
          </w:tcPr>
          <w:p>
            <w:pPr>
              <w:spacing w:after="30"/>
            </w:pPr>
            <w:r>
              <w:rPr>
                <w:sz w:val="18"/>
                <w:szCs w:val="18"/>
              </w:rPr>
              <w:t xml:space="preserve">3</w:t>
            </w:r>
          </w:p>
        </w:tc>
        <w:tc>
          <w:tcPr>
            <w:tcW w:type="dxa" w:w="2600"/>
            <w:tcMar>
              <w:top w:type="dxa" w:w="60"/>
              <w:left w:type="dxa" w:w="90"/>
              <w:bottom w:type="dxa" w:w="60"/>
              <w:right w:type="dxa" w:w="90"/>
            </w:tcMar>
          </w:tcPr>
          <w:p>
            <w:pPr>
              <w:spacing w:after="30"/>
            </w:pPr>
            <w:r>
              <w:rPr>
                <w:sz w:val="18"/>
                <w:szCs w:val="18"/>
              </w:rPr>
              <w:t xml:space="preserve">API incomplete AYA-CL-26031486</w:t>
            </w:r>
          </w:p>
        </w:tc>
        <w:tc>
          <w:tcPr>
            <w:tcW w:type="dxa" w:w="4238"/>
            <w:tcMar>
              <w:top w:type="dxa" w:w="60"/>
              <w:left w:type="dxa" w:w="90"/>
              <w:bottom w:type="dxa" w:w="60"/>
              <w:right w:type="dxa" w:w="90"/>
            </w:tcMar>
          </w:tcPr>
          <w:p>
            <w:pPr>
              <w:spacing w:after="30"/>
            </w:pPr>
            <w:r>
              <w:rPr>
                <w:sz w:val="18"/>
                <w:szCs w:val="18"/>
              </w:rPr>
              <w:t xml:space="preserve">Suspended in IAS automatically; customer and team told what is missing. Point 1 is right. Points 2 and 3 are wrong — here is why (section 5).</w:t>
            </w:r>
          </w:p>
        </w:tc>
        <w:tc>
          <w:tcPr>
            <w:tcW w:type="dxa" w:w="2300"/>
            <w:tcMar>
              <w:top w:type="dxa" w:w="60"/>
              <w:left w:type="dxa" w:w="90"/>
              <w:bottom w:type="dxa" w:w="60"/>
              <w:right w:type="dxa" w:w="90"/>
            </w:tcMar>
          </w:tcPr>
          <w:p>
            <w:pPr>
              <w:spacing w:after="30"/>
            </w:pPr>
            <w:r>
              <w:rPr>
                <w:sz w:val="18"/>
                <w:szCs w:val="18"/>
              </w:rPr>
              <w:t xml:space="preserve">Customer email body; scanned pages unless explaining</w:t>
            </w:r>
          </w:p>
        </w:tc>
      </w:tr>
      <w:tr>
        <w:trPr>
          <w:tblHeader w:val="off"/>
        </w:trPr>
        <w:tc>
          <w:tcPr>
            <w:tcW w:type="dxa" w:w="500"/>
            <w:tcMar>
              <w:top w:type="dxa" w:w="60"/>
              <w:left w:type="dxa" w:w="90"/>
              <w:bottom w:type="dxa" w:w="60"/>
              <w:right w:type="dxa" w:w="90"/>
            </w:tcMar>
          </w:tcPr>
          <w:p>
            <w:pPr>
              <w:spacing w:after="30"/>
            </w:pPr>
            <w:r>
              <w:rPr>
                <w:sz w:val="18"/>
                <w:szCs w:val="18"/>
              </w:rPr>
              <w:t xml:space="preserve">4</w:t>
            </w:r>
          </w:p>
        </w:tc>
        <w:tc>
          <w:tcPr>
            <w:tcW w:type="dxa" w:w="2600"/>
            <w:tcMar>
              <w:top w:type="dxa" w:w="60"/>
              <w:left w:type="dxa" w:w="90"/>
              <w:bottom w:type="dxa" w:w="60"/>
              <w:right w:type="dxa" w:w="90"/>
            </w:tcMar>
          </w:tcPr>
          <w:p>
            <w:pPr>
              <w:spacing w:after="30"/>
            </w:pPr>
            <w:r>
              <w:rPr>
                <w:sz w:val="18"/>
                <w:szCs w:val="18"/>
              </w:rPr>
              <w:t xml:space="preserve">STP settings + switches</w:t>
            </w:r>
          </w:p>
        </w:tc>
        <w:tc>
          <w:tcPr>
            <w:tcW w:type="dxa" w:w="4238"/>
            <w:tcMar>
              <w:top w:type="dxa" w:w="60"/>
              <w:left w:type="dxa" w:w="90"/>
              <w:bottom w:type="dxa" w:w="60"/>
              <w:right w:type="dxa" w:w="90"/>
            </w:tcMar>
          </w:tcPr>
          <w:p>
            <w:pPr>
              <w:spacing w:after="30"/>
            </w:pPr>
            <w:r>
              <w:rPr>
                <w:sz w:val="18"/>
                <w:szCs w:val="18"/>
              </w:rPr>
              <w:t xml:space="preserve">Rules per case type and benefit type; R69 never STP; human checks. Same OP amount: API = STP, email = not STP.</w:t>
            </w:r>
          </w:p>
        </w:tc>
        <w:tc>
          <w:tcPr>
            <w:tcW w:type="dxa" w:w="2300"/>
            <w:tcMar>
              <w:top w:type="dxa" w:w="60"/>
              <w:left w:type="dxa" w:w="90"/>
              <w:bottom w:type="dxa" w:w="60"/>
              <w:right w:type="dxa" w:w="90"/>
            </w:tcMar>
          </w:tcPr>
          <w:p>
            <w:pPr>
              <w:spacing w:after="30"/>
            </w:pPr>
            <w:r>
              <w:rPr>
                <w:sz w:val="18"/>
                <w:szCs w:val="18"/>
              </w:rPr>
              <w:t xml:space="preserve">Clicking the switches live</w:t>
            </w:r>
          </w:p>
        </w:tc>
      </w:tr>
      <w:tr>
        <w:trPr>
          <w:tblHeader w:val="off"/>
        </w:trPr>
        <w:tc>
          <w:tcPr>
            <w:tcW w:type="dxa" w:w="500"/>
            <w:tcMar>
              <w:top w:type="dxa" w:w="60"/>
              <w:left w:type="dxa" w:w="90"/>
              <w:bottom w:type="dxa" w:w="60"/>
              <w:right w:type="dxa" w:w="90"/>
            </w:tcMar>
          </w:tcPr>
          <w:p>
            <w:pPr>
              <w:spacing w:after="30"/>
            </w:pPr>
            <w:r>
              <w:rPr>
                <w:sz w:val="18"/>
                <w:szCs w:val="18"/>
              </w:rPr>
              <w:t xml:space="preserve">5</w:t>
            </w:r>
          </w:p>
        </w:tc>
        <w:tc>
          <w:tcPr>
            <w:tcW w:type="dxa" w:w="2600"/>
            <w:tcMar>
              <w:top w:type="dxa" w:w="60"/>
              <w:left w:type="dxa" w:w="90"/>
              <w:bottom w:type="dxa" w:w="60"/>
              <w:right w:type="dxa" w:w="90"/>
            </w:tcMar>
          </w:tcPr>
          <w:p>
            <w:pPr>
              <w:spacing w:after="30"/>
            </w:pPr>
            <w:r>
              <w:rPr>
                <w:sz w:val="18"/>
                <w:szCs w:val="18"/>
              </w:rPr>
              <w:t xml:space="preserve">Email held — Kaung Nyan Lynn</w:t>
            </w:r>
          </w:p>
        </w:tc>
        <w:tc>
          <w:tcPr>
            <w:tcW w:type="dxa" w:w="4238"/>
            <w:tcMar>
              <w:top w:type="dxa" w:w="60"/>
              <w:left w:type="dxa" w:w="90"/>
              <w:bottom w:type="dxa" w:w="60"/>
              <w:right w:type="dxa" w:w="90"/>
            </w:tcMar>
          </w:tcPr>
          <w:p>
            <w:pPr>
              <w:spacing w:after="30"/>
            </w:pPr>
            <w:r>
              <w:rPr>
                <w:sz w:val="18"/>
                <w:szCs w:val="18"/>
              </w:rPr>
              <w:t xml:space="preserve">The AI wasn’t sure about the amount, so the customer wasn’t emailed. The team decides.</w:t>
            </w:r>
          </w:p>
        </w:tc>
        <w:tc>
          <w:tcPr>
            <w:tcW w:type="dxa" w:w="2300"/>
            <w:tcMar>
              <w:top w:type="dxa" w:w="60"/>
              <w:left w:type="dxa" w:w="90"/>
              <w:bottom w:type="dxa" w:w="60"/>
              <w:right w:type="dxa" w:w="90"/>
            </w:tcMar>
          </w:tcPr>
          <w:p>
            <w:pPr>
              <w:spacing w:after="30"/>
            </w:pPr>
            <w:r>
              <w:rPr>
                <w:sz w:val="18"/>
                <w:szCs w:val="18"/>
              </w:rPr>
              <w:t xml:space="preserve">Releasing the held email</w:t>
            </w:r>
          </w:p>
        </w:tc>
      </w:tr>
      <w:tr>
        <w:trPr>
          <w:tblHeader w:val="off"/>
        </w:trPr>
        <w:tc>
          <w:tcPr>
            <w:tcW w:type="dxa" w:w="500"/>
            <w:tcMar>
              <w:top w:type="dxa" w:w="60"/>
              <w:left w:type="dxa" w:w="90"/>
              <w:bottom w:type="dxa" w:w="60"/>
              <w:right w:type="dxa" w:w="90"/>
            </w:tcMar>
          </w:tcPr>
          <w:p>
            <w:pPr>
              <w:spacing w:after="30"/>
            </w:pPr>
            <w:r>
              <w:rPr>
                <w:sz w:val="18"/>
                <w:szCs w:val="18"/>
              </w:rPr>
              <w:t xml:space="preserve">6</w:t>
            </w:r>
          </w:p>
        </w:tc>
        <w:tc>
          <w:tcPr>
            <w:tcW w:type="dxa" w:w="2600"/>
            <w:tcMar>
              <w:top w:type="dxa" w:w="60"/>
              <w:left w:type="dxa" w:w="90"/>
              <w:bottom w:type="dxa" w:w="60"/>
              <w:right w:type="dxa" w:w="90"/>
            </w:tcMar>
          </w:tcPr>
          <w:p>
            <w:pPr>
              <w:spacing w:after="30"/>
            </w:pPr>
            <w:r>
              <w:rPr>
                <w:sz w:val="18"/>
                <w:szCs w:val="18"/>
              </w:rPr>
              <w:t xml:space="preserve">Email complete — Hlaing Myo Oo</w:t>
            </w:r>
          </w:p>
        </w:tc>
        <w:tc>
          <w:tcPr>
            <w:tcW w:type="dxa" w:w="4238"/>
            <w:tcMar>
              <w:top w:type="dxa" w:w="60"/>
              <w:left w:type="dxa" w:w="90"/>
              <w:bottom w:type="dxa" w:w="60"/>
              <w:right w:type="dxa" w:w="90"/>
            </w:tcMar>
          </w:tcPr>
          <w:p>
            <w:pPr>
              <w:spacing w:after="30"/>
            </w:pPr>
            <w:r>
              <w:rPr>
                <w:sz w:val="18"/>
                <w:szCs w:val="18"/>
              </w:rPr>
              <w:t xml:space="preserve">Date misread → AI unsure → person overrode in one click → console barcode → IAS claim → STP: No with 3 reasons → JD3 approves.</w:t>
            </w:r>
          </w:p>
        </w:tc>
        <w:tc>
          <w:tcPr>
            <w:tcW w:type="dxa" w:w="2300"/>
            <w:tcMar>
              <w:top w:type="dxa" w:w="60"/>
              <w:left w:type="dxa" w:w="90"/>
              <w:bottom w:type="dxa" w:w="60"/>
              <w:right w:type="dxa" w:w="90"/>
            </w:tcMar>
          </w:tcPr>
          <w:p>
            <w:pPr>
              <w:spacing w:after="30"/>
            </w:pPr>
            <w:r>
              <w:rPr>
                <w:sz w:val="18"/>
                <w:szCs w:val="18"/>
              </w:rPr>
              <w:t xml:space="preserve"/>
            </w:r>
          </w:p>
        </w:tc>
      </w:tr>
      <w:tr>
        <w:trPr>
          <w:tblHeader w:val="off"/>
        </w:trPr>
        <w:tc>
          <w:tcPr>
            <w:tcW w:type="dxa" w:w="500"/>
            <w:tcMar>
              <w:top w:type="dxa" w:w="60"/>
              <w:left w:type="dxa" w:w="90"/>
              <w:bottom w:type="dxa" w:w="60"/>
              <w:right w:type="dxa" w:w="90"/>
            </w:tcMar>
          </w:tcPr>
          <w:p>
            <w:pPr>
              <w:spacing w:after="30"/>
            </w:pPr>
            <w:r>
              <w:rPr>
                <w:sz w:val="18"/>
                <w:szCs w:val="18"/>
              </w:rPr>
              <w:t xml:space="preserve">7</w:t>
            </w:r>
          </w:p>
        </w:tc>
        <w:tc>
          <w:tcPr>
            <w:tcW w:type="dxa" w:w="2600"/>
            <w:tcMar>
              <w:top w:type="dxa" w:w="60"/>
              <w:left w:type="dxa" w:w="90"/>
              <w:bottom w:type="dxa" w:w="60"/>
              <w:right w:type="dxa" w:w="90"/>
            </w:tcMar>
          </w:tcPr>
          <w:p>
            <w:pPr>
              <w:spacing w:after="30"/>
            </w:pPr>
            <w:r>
              <w:rPr>
                <w:sz w:val="18"/>
                <w:szCs w:val="18"/>
              </w:rPr>
              <w:t xml:space="preserve">Review queue → close</w:t>
            </w:r>
          </w:p>
        </w:tc>
        <w:tc>
          <w:tcPr>
            <w:tcW w:type="dxa" w:w="4238"/>
            <w:tcMar>
              <w:top w:type="dxa" w:w="60"/>
              <w:left w:type="dxa" w:w="90"/>
              <w:bottom w:type="dxa" w:w="60"/>
              <w:right w:type="dxa" w:w="90"/>
            </w:tcMar>
          </w:tcPr>
          <w:p>
            <w:pPr>
              <w:spacing w:after="30"/>
            </w:pPr>
            <w:r>
              <w:rPr>
                <w:sz w:val="18"/>
                <w:szCs w:val="18"/>
              </w:rPr>
              <w:t xml:space="preserve">Anything uncertain lands here with a reason. Repeat the opening line.</w:t>
            </w:r>
          </w:p>
        </w:tc>
        <w:tc>
          <w:tcPr>
            <w:tcW w:type="dxa" w:w="2300"/>
            <w:tcMar>
              <w:top w:type="dxa" w:w="60"/>
              <w:left w:type="dxa" w:w="90"/>
              <w:bottom w:type="dxa" w:w="60"/>
              <w:right w:type="dxa" w:w="90"/>
            </w:tcMar>
          </w:tcPr>
          <w:p>
            <w:pPr>
              <w:spacing w:after="30"/>
            </w:pPr>
            <w:r>
              <w:rPr>
                <w:sz w:val="18"/>
                <w:szCs w:val="18"/>
              </w:rPr>
              <w:t xml:space="preserve">Pipeline graph (API tab)</w:t>
            </w:r>
          </w:p>
        </w:tc>
      </w:tr>
    </w:tbl>
    <w:p>
      <w:pPr>
        <w:spacing w:after="60"/>
      </w:pPr>
    </w:p>
    <w:p>
      <w:pPr>
        <w:spacing w:after="100"/>
      </w:pPr>
      <w:r>
        <w:rPr>
          <w:b/>
          <w:bCs/>
        </w:rPr>
        <w:t xml:space="preserve">Why STP settings come before the email cases: </w:t>
      </w:r>
      <w:r>
        <w:t xml:space="preserve">they explain why the API case went straight through, and they set up “STP: No, because of the email rule” so it doesn’t look like a failure.</w:t>
      </w:r>
    </w:p>
    <w:p>
      <w:pPr>
        <w:pStyle w:val="Heading1"/>
      </w:pPr>
      <w:r>
        <w:t xml:space="preserve">5. What to say when the mistakes come up</w:t>
      </w:r>
    </w:p>
    <w:p>
      <w:pPr>
        <w:pStyle w:val="Heading2"/>
      </w:pPr>
      <w:r>
        <w:t xml:space="preserve">API incomplete — amount mismatch (#2)</w:t>
      </w:r>
    </w:p>
    <w:p>
      <w:pPr>
        <w:pBdr>
          <w:left w:val="single" w:color="E8702A" w:sz="18" w:space="8"/>
        </w:pBdr>
        <w:spacing w:after="120" w:before="60"/>
        <w:ind w:left="360"/>
      </w:pPr>
      <w:r>
        <w:rPr>
          <w:i/>
          <w:iCs/>
        </w:rPr>
        <w:t xml:space="preserve">“There’s a third voucher, dated 2 August, for 135,500. The three add up to exactly 375,000. The AI missed it because it’s a photo pasted inside a form page — it read the form and skipped the photo. When we give it just the photo, it reads every line. That’s a page-handling fix, not a reading problem.”</w:t>
      </w:r>
    </w:p>
    <w:p>
      <w:pPr>
        <w:pStyle w:val="Heading2"/>
      </w:pPr>
      <w:r>
        <w:t xml:space="preserve">API incomplete — patient name (#3)</w:t>
      </w:r>
    </w:p>
    <w:p>
      <w:pPr>
        <w:pBdr>
          <w:left w:val="single" w:color="E8702A" w:sz="18" w:space="8"/>
        </w:pBdr>
        <w:spacing w:after="120" w:before="60"/>
        <w:ind w:left="360"/>
      </w:pPr>
      <w:r>
        <w:rPr>
          <w:i/>
          <w:iCs/>
        </w:rPr>
        <w:t xml:space="preserve">“The name is handwritten in Burmese — Ma Shin Minn Thi, the claimant. The model on your own server can’t reliably read handwritten Burmese, and it guessed instead of saying so. Age and sex on the bill match. It rated that guess 95%, but that’s only its own opinion — the system labels it ‘self-rated’, not proven. Our next change sends unproven findings like this to a person before the customer is asked.”</w:t>
      </w:r>
    </w:p>
    <w:p>
      <w:pPr>
        <w:pStyle w:val="Heading2"/>
      </w:pPr>
      <w:r>
        <w:t xml:space="preserve">API complete — if someone asks about the diagnosis</w:t>
      </w:r>
    </w:p>
    <w:p>
      <w:pPr>
        <w:pBdr>
          <w:left w:val="single" w:color="E8702A" w:sz="18" w:space="8"/>
        </w:pBdr>
        <w:spacing w:after="120" w:before="60"/>
        <w:ind w:left="360"/>
      </w:pPr>
      <w:r>
        <w:rPr>
          <w:i/>
          <w:iCs/>
        </w:rPr>
        <w:t xml:space="preserve">“The diagnosis is AI self-rated here, not proven, and this one is wrong: it read the customer’s Burmese text instead of the doctor’s record. Our next change uses the doctor’s diagnosis first and sends anything unproven to a person before it can pay automatically.”</w:t>
      </w:r>
    </w:p>
    <w:p>
      <w:pPr>
        <w:pStyle w:val="Heading2"/>
      </w:pPr>
      <w:r>
        <w:t xml:space="preserve">Email complete — the good example</w:t>
      </w:r>
    </w:p>
    <w:p>
      <w:pPr>
        <w:pBdr>
          <w:left w:val="single" w:color="E8702A" w:sz="18" w:space="8"/>
        </w:pBdr>
        <w:spacing w:after="120" w:before="60"/>
        <w:ind w:left="360"/>
      </w:pPr>
      <w:r>
        <w:rPr>
          <w:i/>
          <w:iCs/>
        </w:rPr>
        <w:t xml:space="preserve">“The AI misread the date — January instead of July. But it knew it wasn’t sure, so it didn’t email the customer. A person checked in one click, and the case carried on by itself. And it didn’t pay automatically: the diagnosis wasn’t proven and the amount is above your email rule, so JD3 approves it.”</w:t>
      </w:r>
    </w:p>
    <w:p>
      <w:pPr>
        <w:pStyle w:val="Heading1"/>
      </w:pPr>
      <w:r>
        <w:t xml:space="preserve">6. Likely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shd w:fill="2F3B4C" w:color="auto" w:val="clear"/>
            <w:tcMar>
              <w:top w:type="dxa" w:w="60"/>
              <w:left w:type="dxa" w:w="90"/>
              <w:bottom w:type="dxa" w:w="60"/>
              <w:right w:type="dxa" w:w="90"/>
            </w:tcMar>
          </w:tcPr>
          <w:p>
            <w:pPr>
              <w:spacing w:after="30"/>
            </w:pPr>
            <w:r>
              <w:rPr>
                <w:b/>
                <w:bCs/>
                <w:color w:val="FFFFFF"/>
                <w:sz w:val="18"/>
                <w:szCs w:val="18"/>
              </w:rPr>
              <w:t xml:space="preserve">Question</w:t>
            </w:r>
          </w:p>
        </w:tc>
        <w:tc>
          <w:tcPr>
            <w:tcW w:type="dxa" w:w="6638"/>
            <w:shd w:fill="2F3B4C" w:color="auto" w:val="clear"/>
            <w:tcMar>
              <w:top w:type="dxa" w:w="60"/>
              <w:left w:type="dxa" w:w="90"/>
              <w:bottom w:type="dxa" w:w="60"/>
              <w:right w:type="dxa" w:w="90"/>
            </w:tcMar>
          </w:tcPr>
          <w:p>
            <w:pPr>
              <w:spacing w:after="30"/>
            </w:pPr>
            <w:r>
              <w:rPr>
                <w:b/>
                <w:bCs/>
                <w:color w:val="FFFFFF"/>
                <w:sz w:val="18"/>
                <w:szCs w:val="18"/>
              </w:rPr>
              <w:t xml:space="preserve">Answer</w:t>
            </w:r>
          </w:p>
        </w:tc>
      </w:tr>
      <w:tr>
        <w:trPr>
          <w:tblHeader w:val="off"/>
        </w:trPr>
        <w:tc>
          <w:tcPr>
            <w:tcW w:type="dxa" w:w="3000"/>
            <w:tcMar>
              <w:top w:type="dxa" w:w="60"/>
              <w:left w:type="dxa" w:w="90"/>
              <w:bottom w:type="dxa" w:w="60"/>
              <w:right w:type="dxa" w:w="90"/>
            </w:tcMar>
          </w:tcPr>
          <w:p>
            <w:pPr>
              <w:spacing w:after="30"/>
            </w:pPr>
            <w:r>
              <w:rPr>
                <w:sz w:val="18"/>
                <w:szCs w:val="18"/>
              </w:rPr>
              <w:t xml:space="preserve">So the customer got a wrong email?</w:t>
            </w:r>
          </w:p>
        </w:tc>
        <w:tc>
          <w:tcPr>
            <w:tcW w:type="dxa" w:w="6638"/>
            <w:tcMar>
              <w:top w:type="dxa" w:w="60"/>
              <w:left w:type="dxa" w:w="90"/>
              <w:bottom w:type="dxa" w:w="60"/>
              <w:right w:type="dxa" w:w="90"/>
            </w:tcMar>
          </w:tcPr>
          <w:p>
            <w:pPr>
              <w:spacing w:after="30"/>
            </w:pPr>
            <w:r>
              <w:rPr>
                <w:sz w:val="18"/>
                <w:szCs w:val="18"/>
              </w:rPr>
              <w:t xml:space="preserve">Yes, on this test case. That’s the gap the next change closes: findings the AI can’t prove are checked by the team before the customer is emailed. For unreadable vouchers and medical reports the switch already exists.</w:t>
            </w:r>
          </w:p>
        </w:tc>
      </w:tr>
      <w:tr>
        <w:trPr>
          <w:tblHeader w:val="off"/>
        </w:trPr>
        <w:tc>
          <w:tcPr>
            <w:tcW w:type="dxa" w:w="3000"/>
            <w:tcMar>
              <w:top w:type="dxa" w:w="60"/>
              <w:left w:type="dxa" w:w="90"/>
              <w:bottom w:type="dxa" w:w="60"/>
              <w:right w:type="dxa" w:w="90"/>
            </w:tcMar>
          </w:tcPr>
          <w:p>
            <w:pPr>
              <w:spacing w:after="30"/>
            </w:pPr>
            <w:r>
              <w:rPr>
                <w:sz w:val="18"/>
                <w:szCs w:val="18"/>
              </w:rPr>
              <w:t xml:space="preserve">How accurate is the AI?</w:t>
            </w:r>
          </w:p>
        </w:tc>
        <w:tc>
          <w:tcPr>
            <w:tcW w:type="dxa" w:w="6638"/>
            <w:tcMar>
              <w:top w:type="dxa" w:w="60"/>
              <w:left w:type="dxa" w:w="90"/>
              <w:bottom w:type="dxa" w:w="60"/>
              <w:right w:type="dxa" w:w="90"/>
            </w:tcMar>
          </w:tcPr>
          <w:p>
            <w:pPr>
              <w:spacing w:after="30"/>
            </w:pPr>
            <w:r>
              <w:rPr>
                <w:sz w:val="18"/>
                <w:szCs w:val="18"/>
              </w:rPr>
              <w:t xml:space="preserve">We haven’t measured a percentage yet and I’d rather not guess. We suggest measuring it on your real cases in the pilot, with your reviewers checking. (Give no number.)</w:t>
            </w:r>
          </w:p>
        </w:tc>
      </w:tr>
      <w:tr>
        <w:trPr>
          <w:tblHeader w:val="off"/>
        </w:trPr>
        <w:tc>
          <w:tcPr>
            <w:tcW w:type="dxa" w:w="3000"/>
            <w:tcMar>
              <w:top w:type="dxa" w:w="60"/>
              <w:left w:type="dxa" w:w="90"/>
              <w:bottom w:type="dxa" w:w="60"/>
              <w:right w:type="dxa" w:w="90"/>
            </w:tcMar>
          </w:tcPr>
          <w:p>
            <w:pPr>
              <w:spacing w:after="30"/>
            </w:pPr>
            <w:r>
              <w:rPr>
                <w:sz w:val="18"/>
                <w:szCs w:val="18"/>
              </w:rPr>
              <w:t xml:space="preserve">Can it read Burmese?</w:t>
            </w:r>
          </w:p>
        </w:tc>
        <w:tc>
          <w:tcPr>
            <w:tcW w:type="dxa" w:w="6638"/>
            <w:tcMar>
              <w:top w:type="dxa" w:w="60"/>
              <w:left w:type="dxa" w:w="90"/>
              <w:bottom w:type="dxa" w:w="60"/>
              <w:right w:type="dxa" w:w="90"/>
            </w:tcMar>
          </w:tcPr>
          <w:p>
            <w:pPr>
              <w:spacing w:after="30"/>
            </w:pPr>
            <w:r>
              <w:rPr>
                <w:sz w:val="18"/>
                <w:szCs w:val="18"/>
              </w:rPr>
              <w:t xml:space="preserve">Printed Burmese, yes — you saw the diagnosis translated. Handwritten Burmese, not reliably with the model on your server; what it can’t read goes to a person.</w:t>
            </w:r>
          </w:p>
        </w:tc>
      </w:tr>
      <w:tr>
        <w:trPr>
          <w:tblHeader w:val="off"/>
        </w:trPr>
        <w:tc>
          <w:tcPr>
            <w:tcW w:type="dxa" w:w="3000"/>
            <w:tcMar>
              <w:top w:type="dxa" w:w="60"/>
              <w:left w:type="dxa" w:w="90"/>
              <w:bottom w:type="dxa" w:w="60"/>
              <w:right w:type="dxa" w:w="90"/>
            </w:tcMar>
          </w:tcPr>
          <w:p>
            <w:pPr>
              <w:spacing w:after="30"/>
            </w:pPr>
            <w:r>
              <w:rPr>
                <w:sz w:val="18"/>
                <w:szCs w:val="18"/>
              </w:rPr>
              <w:t xml:space="preserve">Why not use a better AI?</w:t>
            </w:r>
          </w:p>
        </w:tc>
        <w:tc>
          <w:tcPr>
            <w:tcW w:type="dxa" w:w="6638"/>
            <w:tcMar>
              <w:top w:type="dxa" w:w="60"/>
              <w:left w:type="dxa" w:w="90"/>
              <w:bottom w:type="dxa" w:w="60"/>
              <w:right w:type="dxa" w:w="90"/>
            </w:tcMar>
          </w:tcPr>
          <w:p>
            <w:pPr>
              <w:spacing w:after="30"/>
            </w:pPr>
            <w:r>
              <w:rPr>
                <w:sz w:val="18"/>
                <w:szCs w:val="18"/>
              </w:rPr>
              <w:t xml:space="preserve">We can. A stronger hosted model would read better, but documents would leave your server — a data and cost decision for you. We can test it on these samples so you have evidence.</w:t>
            </w:r>
          </w:p>
        </w:tc>
      </w:tr>
      <w:tr>
        <w:trPr>
          <w:tblHeader w:val="off"/>
        </w:trPr>
        <w:tc>
          <w:tcPr>
            <w:tcW w:type="dxa" w:w="3000"/>
            <w:tcMar>
              <w:top w:type="dxa" w:w="60"/>
              <w:left w:type="dxa" w:w="90"/>
              <w:bottom w:type="dxa" w:w="60"/>
              <w:right w:type="dxa" w:w="90"/>
            </w:tcMar>
          </w:tcPr>
          <w:p>
            <w:pPr>
              <w:spacing w:after="30"/>
            </w:pPr>
            <w:r>
              <w:rPr>
                <w:sz w:val="18"/>
                <w:szCs w:val="18"/>
              </w:rPr>
              <w:t xml:space="preserve">Every clinic’s form is different — does it work on all?</w:t>
            </w:r>
          </w:p>
        </w:tc>
        <w:tc>
          <w:tcPr>
            <w:tcW w:type="dxa" w:w="6638"/>
            <w:tcMar>
              <w:top w:type="dxa" w:w="60"/>
              <w:left w:type="dxa" w:w="90"/>
              <w:bottom w:type="dxa" w:w="60"/>
              <w:right w:type="dxa" w:w="90"/>
            </w:tcMar>
          </w:tcPr>
          <w:p>
            <w:pPr>
              <w:spacing w:after="30"/>
            </w:pPr>
            <w:r>
              <w:rPr>
                <w:sz w:val="18"/>
                <w:szCs w:val="18"/>
              </w:rPr>
              <w:t xml:space="preserve">No templates per form; the AI reads whatever it gets. Every fix is tested against all our sample cases before release, so what worked doesn’t break.</w:t>
            </w:r>
          </w:p>
        </w:tc>
      </w:tr>
      <w:tr>
        <w:trPr>
          <w:tblHeader w:val="off"/>
        </w:trPr>
        <w:tc>
          <w:tcPr>
            <w:tcW w:type="dxa" w:w="3000"/>
            <w:tcMar>
              <w:top w:type="dxa" w:w="60"/>
              <w:left w:type="dxa" w:w="90"/>
              <w:bottom w:type="dxa" w:w="60"/>
              <w:right w:type="dxa" w:w="90"/>
            </w:tcMar>
          </w:tcPr>
          <w:p>
            <w:pPr>
              <w:spacing w:after="30"/>
            </w:pPr>
            <w:r>
              <w:rPr>
                <w:sz w:val="18"/>
                <w:szCs w:val="18"/>
              </w:rPr>
              <w:t xml:space="preserve">Could an incomplete claim be paid automatically?</w:t>
            </w:r>
          </w:p>
        </w:tc>
        <w:tc>
          <w:tcPr>
            <w:tcW w:type="dxa" w:w="6638"/>
            <w:tcMar>
              <w:top w:type="dxa" w:w="60"/>
              <w:left w:type="dxa" w:w="90"/>
              <w:bottom w:type="dxa" w:w="60"/>
              <w:right w:type="dxa" w:w="90"/>
            </w:tcMar>
          </w:tcPr>
          <w:p>
            <w:pPr>
              <w:spacing w:after="30"/>
            </w:pPr>
            <w:r>
              <w:rPr>
                <w:sz w:val="18"/>
                <w:szCs w:val="18"/>
              </w:rPr>
              <w:t xml:space="preserve">No. Missing documents always means suspended in IAS, whatever the amount or STP rules.</w:t>
            </w:r>
          </w:p>
        </w:tc>
      </w:tr>
      <w:tr>
        <w:trPr>
          <w:tblHeader w:val="off"/>
        </w:trPr>
        <w:tc>
          <w:tcPr>
            <w:tcW w:type="dxa" w:w="3000"/>
            <w:tcMar>
              <w:top w:type="dxa" w:w="60"/>
              <w:left w:type="dxa" w:w="90"/>
              <w:bottom w:type="dxa" w:w="60"/>
              <w:right w:type="dxa" w:w="90"/>
            </w:tcMar>
          </w:tcPr>
          <w:p>
            <w:pPr>
              <w:spacing w:after="30"/>
            </w:pPr>
            <w:r>
              <w:rPr>
                <w:sz w:val="18"/>
                <w:szCs w:val="18"/>
              </w:rPr>
              <w:t xml:space="preserve">What happens when the customer sends documents?</w:t>
            </w:r>
          </w:p>
        </w:tc>
        <w:tc>
          <w:tcPr>
            <w:tcW w:type="dxa" w:w="6638"/>
            <w:tcMar>
              <w:top w:type="dxa" w:w="60"/>
              <w:left w:type="dxa" w:w="90"/>
              <w:bottom w:type="dxa" w:w="60"/>
              <w:right w:type="dxa" w:w="90"/>
            </w:tcMar>
          </w:tcPr>
          <w:p>
            <w:pPr>
              <w:spacing w:after="30"/>
            </w:pPr>
            <w:r>
              <w:rPr>
                <w:sz w:val="18"/>
                <w:szCs w:val="18"/>
              </w:rPr>
              <w:t xml:space="preserve">The reply is read and checked again, and the claim is revised in IAS with the suspension lifted. (Built; not part of today’s demo.)</w:t>
            </w:r>
          </w:p>
        </w:tc>
      </w:tr>
      <w:tr>
        <w:trPr>
          <w:tblHeader w:val="off"/>
        </w:trPr>
        <w:tc>
          <w:tcPr>
            <w:tcW w:type="dxa" w:w="3000"/>
            <w:tcMar>
              <w:top w:type="dxa" w:w="60"/>
              <w:left w:type="dxa" w:w="90"/>
              <w:bottom w:type="dxa" w:w="60"/>
              <w:right w:type="dxa" w:w="90"/>
            </w:tcMar>
          </w:tcPr>
          <w:p>
            <w:pPr>
              <w:spacing w:after="30"/>
            </w:pPr>
            <w:r>
              <w:rPr>
                <w:sz w:val="18"/>
                <w:szCs w:val="18"/>
              </w:rPr>
              <w:t xml:space="preserve">Who decides what a valid stamp is?</w:t>
            </w:r>
          </w:p>
        </w:tc>
        <w:tc>
          <w:tcPr>
            <w:tcW w:type="dxa" w:w="6638"/>
            <w:tcMar>
              <w:top w:type="dxa" w:w="60"/>
              <w:left w:type="dxa" w:w="90"/>
              <w:bottom w:type="dxa" w:w="60"/>
              <w:right w:type="dxa" w:w="90"/>
            </w:tcMar>
          </w:tcPr>
          <w:p>
            <w:pPr>
              <w:spacing w:after="30"/>
            </w:pPr>
            <w:r>
              <w:rPr>
                <w:sz w:val="18"/>
                <w:szCs w:val="18"/>
              </w:rPr>
              <w:t xml:space="preserve">You do. We based it on your reviewer’s decision on this sample and can adjust it with your team.</w:t>
            </w:r>
          </w:p>
        </w:tc>
      </w:tr>
      <w:tr>
        <w:trPr>
          <w:tblHeader w:val="off"/>
        </w:trPr>
        <w:tc>
          <w:tcPr>
            <w:tcW w:type="dxa" w:w="3000"/>
            <w:tcMar>
              <w:top w:type="dxa" w:w="60"/>
              <w:left w:type="dxa" w:w="90"/>
              <w:bottom w:type="dxa" w:w="60"/>
              <w:right w:type="dxa" w:w="90"/>
            </w:tcMar>
          </w:tcPr>
          <w:p>
            <w:pPr>
              <w:spacing w:after="30"/>
            </w:pPr>
            <w:r>
              <w:rPr>
                <w:sz w:val="18"/>
                <w:szCs w:val="18"/>
              </w:rPr>
              <w:t xml:space="preserve">Can a person correct a wrong finding?</w:t>
            </w:r>
          </w:p>
        </w:tc>
        <w:tc>
          <w:tcPr>
            <w:tcW w:type="dxa" w:w="6638"/>
            <w:tcMar>
              <w:top w:type="dxa" w:w="60"/>
              <w:left w:type="dxa" w:w="90"/>
              <w:bottom w:type="dxa" w:w="60"/>
              <w:right w:type="dxa" w:w="90"/>
            </w:tcMar>
          </w:tcPr>
          <w:p>
            <w:pPr>
              <w:spacing w:after="30"/>
            </w:pPr>
            <w:r>
              <w:rPr>
                <w:sz w:val="18"/>
                <w:szCs w:val="18"/>
              </w:rPr>
              <w:t xml:space="preserve">Yes — override, recorded with who and why. (Check tonight that it shows on the suspended API case.)</w:t>
            </w:r>
          </w:p>
        </w:tc>
      </w:tr>
      <w:tr>
        <w:trPr>
          <w:tblHeader w:val="off"/>
        </w:trPr>
        <w:tc>
          <w:tcPr>
            <w:tcW w:type="dxa" w:w="3000"/>
            <w:tcMar>
              <w:top w:type="dxa" w:w="60"/>
              <w:left w:type="dxa" w:w="90"/>
              <w:bottom w:type="dxa" w:w="60"/>
              <w:right w:type="dxa" w:w="90"/>
            </w:tcMar>
          </w:tcPr>
          <w:p>
            <w:pPr>
              <w:spacing w:after="30"/>
            </w:pPr>
            <w:r>
              <w:rPr>
                <w:sz w:val="18"/>
                <w:szCs w:val="18"/>
              </w:rPr>
              <w:t xml:space="preserve">Where does our data go?</w:t>
            </w:r>
          </w:p>
        </w:tc>
        <w:tc>
          <w:tcPr>
            <w:tcW w:type="dxa" w:w="6638"/>
            <w:tcMar>
              <w:top w:type="dxa" w:w="60"/>
              <w:left w:type="dxa" w:w="90"/>
              <w:bottom w:type="dxa" w:w="60"/>
              <w:right w:type="dxa" w:w="90"/>
            </w:tcMar>
          </w:tcPr>
          <w:p>
            <w:pPr>
              <w:spacing w:after="30"/>
            </w:pPr>
            <w:r>
              <w:rPr>
                <w:sz w:val="18"/>
                <w:szCs w:val="18"/>
              </w:rPr>
              <w:t xml:space="preserve">The AI runs on your own server. Documents don’t go to an outside AI service.</w:t>
            </w:r>
          </w:p>
        </w:tc>
      </w:tr>
    </w:tbl>
    <w:p>
      <w:pPr>
        <w:spacing w:after="60"/>
      </w:pPr>
    </w:p>
    <w:p>
      <w:pPr>
        <w:pStyle w:val="Heading2"/>
      </w:pPr>
      <w:r>
        <w:t xml:space="preserve">Current STP rules (as set on 30 September)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19"/>
        <w:gridCol w:w="3219"/>
      </w:tblGrid>
      <w:tr>
        <w:trPr>
          <w:tblHeader/>
        </w:trPr>
        <w:tc>
          <w:tcPr>
            <w:tcW w:type="dxa" w:w="3200"/>
            <w:shd w:fill="2F3B4C" w:color="auto" w:val="clear"/>
            <w:tcMar>
              <w:top w:type="dxa" w:w="60"/>
              <w:left w:type="dxa" w:w="90"/>
              <w:bottom w:type="dxa" w:w="60"/>
              <w:right w:type="dxa" w:w="90"/>
            </w:tcMar>
          </w:tcPr>
          <w:p>
            <w:pPr>
              <w:spacing w:after="30"/>
            </w:pPr>
            <w:r>
              <w:rPr>
                <w:b/>
                <w:bCs/>
                <w:color w:val="FFFFFF"/>
                <w:sz w:val="18"/>
                <w:szCs w:val="18"/>
              </w:rPr>
              <w:t xml:space="preserve">Benefit type</w:t>
            </w:r>
          </w:p>
        </w:tc>
        <w:tc>
          <w:tcPr>
            <w:tcW w:type="dxa" w:w="3219"/>
            <w:shd w:fill="2F3B4C" w:color="auto" w:val="clear"/>
            <w:tcMar>
              <w:top w:type="dxa" w:w="60"/>
              <w:left w:type="dxa" w:w="90"/>
              <w:bottom w:type="dxa" w:w="60"/>
              <w:right w:type="dxa" w:w="90"/>
            </w:tcMar>
          </w:tcPr>
          <w:p>
            <w:pPr>
              <w:spacing w:after="30"/>
            </w:pPr>
            <w:r>
              <w:rPr>
                <w:b/>
                <w:bCs/>
                <w:color w:val="FFFFFF"/>
                <w:sz w:val="18"/>
                <w:szCs w:val="18"/>
              </w:rPr>
              <w:t xml:space="preserve">API case</w:t>
            </w:r>
          </w:p>
        </w:tc>
        <w:tc>
          <w:tcPr>
            <w:tcW w:type="dxa" w:w="3219"/>
            <w:shd w:fill="2F3B4C" w:color="auto" w:val="clear"/>
            <w:tcMar>
              <w:top w:type="dxa" w:w="60"/>
              <w:left w:type="dxa" w:w="90"/>
              <w:bottom w:type="dxa" w:w="60"/>
              <w:right w:type="dxa" w:w="90"/>
            </w:tcMar>
          </w:tcPr>
          <w:p>
            <w:pPr>
              <w:spacing w:after="30"/>
            </w:pPr>
            <w:r>
              <w:rPr>
                <w:b/>
                <w:bCs/>
                <w:color w:val="FFFFFF"/>
                <w:sz w:val="18"/>
                <w:szCs w:val="18"/>
              </w:rPr>
              <w:t xml:space="preserve">Email case</w:t>
            </w:r>
          </w:p>
        </w:tc>
      </w:tr>
      <w:tr>
        <w:trPr>
          <w:tblHeader w:val="off"/>
        </w:trPr>
        <w:tc>
          <w:tcPr>
            <w:tcW w:type="dxa" w:w="3200"/>
            <w:tcMar>
              <w:top w:type="dxa" w:w="60"/>
              <w:left w:type="dxa" w:w="90"/>
              <w:bottom w:type="dxa" w:w="60"/>
              <w:right w:type="dxa" w:w="90"/>
            </w:tcMar>
          </w:tcPr>
          <w:p>
            <w:pPr>
              <w:spacing w:after="30"/>
            </w:pPr>
            <w:r>
              <w:rPr>
                <w:sz w:val="18"/>
                <w:szCs w:val="18"/>
              </w:rPr>
              <w:t xml:space="preserve">OP — Outpatient</w:t>
            </w:r>
          </w:p>
        </w:tc>
        <w:tc>
          <w:tcPr>
            <w:tcW w:type="dxa" w:w="3219"/>
            <w:tcMar>
              <w:top w:type="dxa" w:w="60"/>
              <w:left w:type="dxa" w:w="90"/>
              <w:bottom w:type="dxa" w:w="60"/>
              <w:right w:type="dxa" w:w="90"/>
            </w:tcMar>
          </w:tcPr>
          <w:p>
            <w:pPr>
              <w:spacing w:after="30"/>
            </w:pPr>
            <w:r>
              <w:rPr>
                <w:sz w:val="18"/>
                <w:szCs w:val="18"/>
              </w:rPr>
              <w:t xml:space="preserve">Allowed, ≤ 100,000 MMK</w:t>
            </w:r>
          </w:p>
        </w:tc>
        <w:tc>
          <w:tcPr>
            <w:tcW w:type="dxa" w:w="3219"/>
            <w:tcMar>
              <w:top w:type="dxa" w:w="60"/>
              <w:left w:type="dxa" w:w="90"/>
              <w:bottom w:type="dxa" w:w="60"/>
              <w:right w:type="dxa" w:w="90"/>
            </w:tcMar>
          </w:tcPr>
          <w:p>
            <w:pPr>
              <w:spacing w:after="30"/>
            </w:pPr>
            <w:r>
              <w:rPr>
                <w:sz w:val="18"/>
                <w:szCs w:val="18"/>
              </w:rPr>
              <w:t xml:space="preserve">Allowed, ≤ 1,000 MMK</w:t>
            </w:r>
          </w:p>
        </w:tc>
      </w:tr>
      <w:tr>
        <w:trPr>
          <w:tblHeader w:val="off"/>
        </w:trPr>
        <w:tc>
          <w:tcPr>
            <w:tcW w:type="dxa" w:w="3200"/>
            <w:tcMar>
              <w:top w:type="dxa" w:w="60"/>
              <w:left w:type="dxa" w:w="90"/>
              <w:bottom w:type="dxa" w:w="60"/>
              <w:right w:type="dxa" w:w="90"/>
            </w:tcMar>
          </w:tcPr>
          <w:p>
            <w:pPr>
              <w:spacing w:after="30"/>
            </w:pPr>
            <w:r>
              <w:rPr>
                <w:sz w:val="18"/>
                <w:szCs w:val="18"/>
              </w:rPr>
              <w:t xml:space="preserve">DT — Dental</w:t>
            </w:r>
          </w:p>
        </w:tc>
        <w:tc>
          <w:tcPr>
            <w:tcW w:type="dxa" w:w="3219"/>
            <w:tcMar>
              <w:top w:type="dxa" w:w="60"/>
              <w:left w:type="dxa" w:w="90"/>
              <w:bottom w:type="dxa" w:w="60"/>
              <w:right w:type="dxa" w:w="90"/>
            </w:tcMar>
          </w:tcPr>
          <w:p>
            <w:pPr>
              <w:spacing w:after="30"/>
            </w:pPr>
            <w:r>
              <w:rPr>
                <w:sz w:val="18"/>
                <w:szCs w:val="18"/>
              </w:rPr>
              <w:t xml:space="preserve">Allowed, ≤ 50,000 MMK</w:t>
            </w:r>
          </w:p>
        </w:tc>
        <w:tc>
          <w:tcPr>
            <w:tcW w:type="dxa" w:w="3219"/>
            <w:tcMar>
              <w:top w:type="dxa" w:w="60"/>
              <w:left w:type="dxa" w:w="90"/>
              <w:bottom w:type="dxa" w:w="60"/>
              <w:right w:type="dxa" w:w="90"/>
            </w:tcMar>
          </w:tcPr>
          <w:p>
            <w:pPr>
              <w:spacing w:after="30"/>
            </w:pPr>
            <w:r>
              <w:rPr>
                <w:sz w:val="18"/>
                <w:szCs w:val="18"/>
              </w:rPr>
              <w:t xml:space="preserve">Allowed, ≤ 30,000 MMK</w:t>
            </w:r>
          </w:p>
        </w:tc>
      </w:tr>
      <w:tr>
        <w:trPr>
          <w:tblHeader w:val="off"/>
        </w:trPr>
        <w:tc>
          <w:tcPr>
            <w:tcW w:type="dxa" w:w="3200"/>
            <w:tcMar>
              <w:top w:type="dxa" w:w="60"/>
              <w:left w:type="dxa" w:w="90"/>
              <w:bottom w:type="dxa" w:w="60"/>
              <w:right w:type="dxa" w:w="90"/>
            </w:tcMar>
          </w:tcPr>
          <w:p>
            <w:pPr>
              <w:spacing w:after="30"/>
            </w:pPr>
            <w:r>
              <w:rPr>
                <w:sz w:val="18"/>
                <w:szCs w:val="18"/>
              </w:rPr>
              <w:t xml:space="preserve">VS — Vision</w:t>
            </w:r>
          </w:p>
        </w:tc>
        <w:tc>
          <w:tcPr>
            <w:tcW w:type="dxa" w:w="3219"/>
            <w:tcMar>
              <w:top w:type="dxa" w:w="60"/>
              <w:left w:type="dxa" w:w="90"/>
              <w:bottom w:type="dxa" w:w="60"/>
              <w:right w:type="dxa" w:w="90"/>
            </w:tcMar>
          </w:tcPr>
          <w:p>
            <w:pPr>
              <w:spacing w:after="30"/>
            </w:pPr>
            <w:r>
              <w:rPr>
                <w:sz w:val="18"/>
                <w:szCs w:val="18"/>
              </w:rPr>
              <w:t xml:space="preserve">Not allowed</w:t>
            </w:r>
          </w:p>
        </w:tc>
        <w:tc>
          <w:tcPr>
            <w:tcW w:type="dxa" w:w="3219"/>
            <w:tcMar>
              <w:top w:type="dxa" w:w="60"/>
              <w:left w:type="dxa" w:w="90"/>
              <w:bottom w:type="dxa" w:w="60"/>
              <w:right w:type="dxa" w:w="90"/>
            </w:tcMar>
          </w:tcPr>
          <w:p>
            <w:pPr>
              <w:spacing w:after="30"/>
            </w:pPr>
            <w:r>
              <w:rPr>
                <w:sz w:val="18"/>
                <w:szCs w:val="18"/>
              </w:rPr>
              <w:t xml:space="preserve">Allowed, ≤ 30,000 MMK</w:t>
            </w:r>
          </w:p>
        </w:tc>
      </w:tr>
      <w:tr>
        <w:trPr>
          <w:tblHeader w:val="off"/>
        </w:trPr>
        <w:tc>
          <w:tcPr>
            <w:tcW w:type="dxa" w:w="3200"/>
            <w:tcMar>
              <w:top w:type="dxa" w:w="60"/>
              <w:left w:type="dxa" w:w="90"/>
              <w:bottom w:type="dxa" w:w="60"/>
              <w:right w:type="dxa" w:w="90"/>
            </w:tcMar>
          </w:tcPr>
          <w:p>
            <w:pPr>
              <w:spacing w:after="30"/>
            </w:pPr>
            <w:r>
              <w:rPr>
                <w:sz w:val="18"/>
                <w:szCs w:val="18"/>
              </w:rPr>
              <w:t xml:space="preserve">IP — Inpatient</w:t>
            </w:r>
          </w:p>
        </w:tc>
        <w:tc>
          <w:tcPr>
            <w:tcW w:type="dxa" w:w="3219"/>
            <w:tcMar>
              <w:top w:type="dxa" w:w="60"/>
              <w:left w:type="dxa" w:w="90"/>
              <w:bottom w:type="dxa" w:w="60"/>
              <w:right w:type="dxa" w:w="90"/>
            </w:tcMar>
          </w:tcPr>
          <w:p>
            <w:pPr>
              <w:spacing w:after="30"/>
            </w:pPr>
            <w:r>
              <w:rPr>
                <w:sz w:val="18"/>
                <w:szCs w:val="18"/>
              </w:rPr>
              <w:t xml:space="preserve">Not allowed</w:t>
            </w:r>
          </w:p>
        </w:tc>
        <w:tc>
          <w:tcPr>
            <w:tcW w:type="dxa" w:w="3219"/>
            <w:tcMar>
              <w:top w:type="dxa" w:w="60"/>
              <w:left w:type="dxa" w:w="90"/>
              <w:bottom w:type="dxa" w:w="60"/>
              <w:right w:type="dxa" w:w="90"/>
            </w:tcMar>
          </w:tcPr>
          <w:p>
            <w:pPr>
              <w:spacing w:after="30"/>
            </w:pPr>
            <w:r>
              <w:rPr>
                <w:sz w:val="18"/>
                <w:szCs w:val="18"/>
              </w:rPr>
              <w:t xml:space="preserve">Not allowed</w:t>
            </w:r>
          </w:p>
        </w:tc>
      </w:tr>
      <w:tr>
        <w:trPr>
          <w:tblHeader w:val="off"/>
        </w:trPr>
        <w:tc>
          <w:tcPr>
            <w:tcW w:type="dxa" w:w="3200"/>
            <w:tcMar>
              <w:top w:type="dxa" w:w="60"/>
              <w:left w:type="dxa" w:w="90"/>
              <w:bottom w:type="dxa" w:w="60"/>
              <w:right w:type="dxa" w:w="90"/>
            </w:tcMar>
          </w:tcPr>
          <w:p>
            <w:pPr>
              <w:spacing w:after="30"/>
            </w:pPr>
            <w:r>
              <w:rPr>
                <w:sz w:val="18"/>
                <w:szCs w:val="18"/>
              </w:rPr>
              <w:t xml:space="preserve">PA — Personal Accident</w:t>
            </w:r>
          </w:p>
        </w:tc>
        <w:tc>
          <w:tcPr>
            <w:tcW w:type="dxa" w:w="3219"/>
            <w:tcMar>
              <w:top w:type="dxa" w:w="60"/>
              <w:left w:type="dxa" w:w="90"/>
              <w:bottom w:type="dxa" w:w="60"/>
              <w:right w:type="dxa" w:w="90"/>
            </w:tcMar>
          </w:tcPr>
          <w:p>
            <w:pPr>
              <w:spacing w:after="30"/>
            </w:pPr>
            <w:r>
              <w:rPr>
                <w:sz w:val="18"/>
                <w:szCs w:val="18"/>
              </w:rPr>
              <w:t xml:space="preserve">No rule → never STP</w:t>
            </w:r>
          </w:p>
        </w:tc>
        <w:tc>
          <w:tcPr>
            <w:tcW w:type="dxa" w:w="3219"/>
            <w:tcMar>
              <w:top w:type="dxa" w:w="60"/>
              <w:left w:type="dxa" w:w="90"/>
              <w:bottom w:type="dxa" w:w="60"/>
              <w:right w:type="dxa" w:w="90"/>
            </w:tcMar>
          </w:tcPr>
          <w:p>
            <w:pPr>
              <w:spacing w:after="30"/>
            </w:pPr>
            <w:r>
              <w:rPr>
                <w:sz w:val="18"/>
                <w:szCs w:val="18"/>
              </w:rPr>
              <w:t xml:space="preserve">No rule → never STP</w:t>
            </w:r>
          </w:p>
        </w:tc>
      </w:tr>
    </w:tbl>
    <w:p>
      <w:pPr>
        <w:spacing w:after="60"/>
      </w:pPr>
    </w:p>
    <w:p>
      <w:pPr>
        <w:spacing w:after="100"/>
      </w:pPr>
      <w:r>
        <w:t xml:space="preserve">Never-STP diagnosis: R69 (diagnosis not found). Switch #1 ON: an open review point blocks STP. Switch #2 ON: the customer email is held when the AI is unsure. STP is decided per benefit TYPE (OP, IP, …), summed across the claim’s lines; the type comes from the AI’s benefit pick.</w:t>
      </w:r>
    </w:p>
    <w:p>
      <w:r>
        <w:br w:type="page"/>
      </w:r>
    </w:p>
    <w:p>
      <w:pPr>
        <w:pStyle w:val="Heading1"/>
      </w:pPr>
      <w:r>
        <w:t xml:space="preserve">7. After the demo — improvements</w:t>
      </w:r>
    </w:p>
    <w:p>
      <w:pPr>
        <w:spacing w:after="100"/>
      </w:pPr>
      <w:r>
        <w:t xml:space="preserve">In order of impact. Numbers 1 and 2 would have prevented most of the reading mistakes found in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3438"/>
        <w:gridCol w:w="2000"/>
      </w:tblGrid>
      <w:tr>
        <w:trPr>
          <w:tblHeader/>
        </w:trPr>
        <w:tc>
          <w:tcPr>
            <w:tcW w:type="dxa" w:w="500"/>
            <w:shd w:fill="2F3B4C" w:color="auto" w:val="clear"/>
            <w:tcMar>
              <w:top w:type="dxa" w:w="60"/>
              <w:left w:type="dxa" w:w="90"/>
              <w:bottom w:type="dxa" w:w="60"/>
              <w:right w:type="dxa" w:w="90"/>
            </w:tcMar>
          </w:tcPr>
          <w:p>
            <w:pPr>
              <w:spacing w:after="30"/>
            </w:pPr>
            <w:r>
              <w:rPr>
                <w:b/>
                <w:bCs/>
                <w:color w:val="FFFFFF"/>
                <w:sz w:val="18"/>
                <w:szCs w:val="18"/>
              </w:rPr>
              <w:t xml:space="preserve">#</w:t>
            </w:r>
          </w:p>
        </w:tc>
        <w:tc>
          <w:tcPr>
            <w:tcW w:type="dxa" w:w="3700"/>
            <w:shd w:fill="2F3B4C" w:color="auto" w:val="clear"/>
            <w:tcMar>
              <w:top w:type="dxa" w:w="60"/>
              <w:left w:type="dxa" w:w="90"/>
              <w:bottom w:type="dxa" w:w="60"/>
              <w:right w:type="dxa" w:w="90"/>
            </w:tcMar>
          </w:tcPr>
          <w:p>
            <w:pPr>
              <w:spacing w:after="30"/>
            </w:pPr>
            <w:r>
              <w:rPr>
                <w:b/>
                <w:bCs/>
                <w:color w:val="FFFFFF"/>
                <w:sz w:val="18"/>
                <w:szCs w:val="18"/>
              </w:rPr>
              <w:t xml:space="preserve">Improvement</w:t>
            </w:r>
          </w:p>
        </w:tc>
        <w:tc>
          <w:tcPr>
            <w:tcW w:type="dxa" w:w="3438"/>
            <w:shd w:fill="2F3B4C" w:color="auto" w:val="clear"/>
            <w:tcMar>
              <w:top w:type="dxa" w:w="60"/>
              <w:left w:type="dxa" w:w="90"/>
              <w:bottom w:type="dxa" w:w="60"/>
              <w:right w:type="dxa" w:w="90"/>
            </w:tcMar>
          </w:tcPr>
          <w:p>
            <w:pPr>
              <w:spacing w:after="30"/>
            </w:pPr>
            <w:r>
              <w:rPr>
                <w:b/>
                <w:bCs/>
                <w:color w:val="FFFFFF"/>
                <w:sz w:val="18"/>
                <w:szCs w:val="18"/>
              </w:rPr>
              <w:t xml:space="preserve">Evidence from testing</w:t>
            </w:r>
          </w:p>
        </w:tc>
        <w:tc>
          <w:tcPr>
            <w:tcW w:type="dxa" w:w="2000"/>
            <w:shd w:fill="2F3B4C" w:color="auto" w:val="clear"/>
            <w:tcMar>
              <w:top w:type="dxa" w:w="60"/>
              <w:left w:type="dxa" w:w="90"/>
              <w:bottom w:type="dxa" w:w="60"/>
              <w:right w:type="dxa" w:w="90"/>
            </w:tcMar>
          </w:tcPr>
          <w:p>
            <w:pPr>
              <w:spacing w:after="30"/>
            </w:pPr>
            <w:r>
              <w:rPr>
                <w:b/>
                <w:bCs/>
                <w:color w:val="FFFFFF"/>
                <w:sz w:val="18"/>
                <w:szCs w:val="18"/>
              </w:rPr>
              <w:t xml:space="preserve">Effort</w:t>
            </w:r>
          </w:p>
        </w:tc>
      </w:tr>
      <w:tr>
        <w:trPr>
          <w:tblHeader w:val="off"/>
        </w:trPr>
        <w:tc>
          <w:tcPr>
            <w:tcW w:type="dxa" w:w="500"/>
            <w:tcMar>
              <w:top w:type="dxa" w:w="60"/>
              <w:left w:type="dxa" w:w="90"/>
              <w:bottom w:type="dxa" w:w="60"/>
              <w:right w:type="dxa" w:w="90"/>
            </w:tcMar>
          </w:tcPr>
          <w:p>
            <w:pPr>
              <w:spacing w:after="30"/>
            </w:pPr>
            <w:r>
              <w:rPr>
                <w:sz w:val="18"/>
                <w:szCs w:val="18"/>
              </w:rPr>
              <w:t xml:space="preserve">1</w:t>
            </w:r>
          </w:p>
        </w:tc>
        <w:tc>
          <w:tcPr>
            <w:tcW w:type="dxa" w:w="3700"/>
            <w:tcMar>
              <w:top w:type="dxa" w:w="60"/>
              <w:left w:type="dxa" w:w="90"/>
              <w:bottom w:type="dxa" w:w="60"/>
              <w:right w:type="dxa" w:w="90"/>
            </w:tcMar>
          </w:tcPr>
          <w:p>
            <w:pPr>
              <w:spacing w:after="30"/>
            </w:pPr>
            <w:r>
              <w:rPr>
                <w:sz w:val="18"/>
                <w:szCs w:val="18"/>
              </w:rPr>
              <w:t xml:space="preserve">Use the PDF’s own text for typed fields (account number, amounts, names, dates) — e-claim PDFs are generated, so the typed text is exact. AI only for photos.</w:t>
            </w:r>
          </w:p>
        </w:tc>
        <w:tc>
          <w:tcPr>
            <w:tcW w:type="dxa" w:w="3438"/>
            <w:tcMar>
              <w:top w:type="dxa" w:w="60"/>
              <w:left w:type="dxa" w:w="90"/>
              <w:bottom w:type="dxa" w:w="60"/>
              <w:right w:type="dxa" w:w="90"/>
            </w:tcMar>
          </w:tcPr>
          <w:p>
            <w:pPr>
              <w:spacing w:after="30"/>
            </w:pPr>
            <w:r>
              <w:rPr>
                <w:sz w:val="18"/>
                <w:szCs w:val="18"/>
              </w:rPr>
              <w:t xml:space="preserve">Kaung Nyan Lynn: printed account number reported missing</w:t>
            </w:r>
          </w:p>
        </w:tc>
        <w:tc>
          <w:tcPr>
            <w:tcW w:type="dxa" w:w="2000"/>
            <w:tcMar>
              <w:top w:type="dxa" w:w="60"/>
              <w:left w:type="dxa" w:w="90"/>
              <w:bottom w:type="dxa" w:w="60"/>
              <w:right w:type="dxa" w:w="90"/>
            </w:tcMar>
          </w:tcPr>
          <w:p>
            <w:pPr>
              <w:spacing w:after="30"/>
            </w:pPr>
            <w:r>
              <w:rPr>
                <w:sz w:val="18"/>
                <w:szCs w:val="18"/>
              </w:rPr>
              <w:t xml:space="preserve">Medium</w:t>
            </w:r>
          </w:p>
        </w:tc>
      </w:tr>
      <w:tr>
        <w:trPr>
          <w:tblHeader w:val="off"/>
        </w:trPr>
        <w:tc>
          <w:tcPr>
            <w:tcW w:type="dxa" w:w="500"/>
            <w:tcMar>
              <w:top w:type="dxa" w:w="60"/>
              <w:left w:type="dxa" w:w="90"/>
              <w:bottom w:type="dxa" w:w="60"/>
              <w:right w:type="dxa" w:w="90"/>
            </w:tcMar>
          </w:tcPr>
          <w:p>
            <w:pPr>
              <w:spacing w:after="30"/>
            </w:pPr>
            <w:r>
              <w:rPr>
                <w:sz w:val="18"/>
                <w:szCs w:val="18"/>
              </w:rPr>
              <w:t xml:space="preserve">2</w:t>
            </w:r>
          </w:p>
        </w:tc>
        <w:tc>
          <w:tcPr>
            <w:tcW w:type="dxa" w:w="3700"/>
            <w:tcMar>
              <w:top w:type="dxa" w:w="60"/>
              <w:left w:type="dxa" w:w="90"/>
              <w:bottom w:type="dxa" w:w="60"/>
              <w:right w:type="dxa" w:w="90"/>
            </w:tcMar>
          </w:tcPr>
          <w:p>
            <w:pPr>
              <w:spacing w:after="30"/>
            </w:pPr>
            <w:r>
              <w:rPr>
                <w:sz w:val="18"/>
                <w:szCs w:val="18"/>
              </w:rPr>
              <w:t xml:space="preserve">Read photos inside form pages separately, including rotated ones.</w:t>
            </w:r>
          </w:p>
        </w:tc>
        <w:tc>
          <w:tcPr>
            <w:tcW w:type="dxa" w:w="3438"/>
            <w:tcMar>
              <w:top w:type="dxa" w:w="60"/>
              <w:left w:type="dxa" w:w="90"/>
              <w:bottom w:type="dxa" w:w="60"/>
              <w:right w:type="dxa" w:w="90"/>
            </w:tcMar>
          </w:tcPr>
          <w:p>
            <w:pPr>
              <w:spacing w:after="30"/>
            </w:pPr>
            <w:r>
              <w:rPr>
                <w:sz w:val="18"/>
                <w:szCs w:val="18"/>
              </w:rPr>
              <w:t xml:space="preserve">API incomplete: missed 135,500 voucher. Kaung Nyan Lynn: sideways main receipt</w:t>
            </w:r>
          </w:p>
        </w:tc>
        <w:tc>
          <w:tcPr>
            <w:tcW w:type="dxa" w:w="2000"/>
            <w:tcMar>
              <w:top w:type="dxa" w:w="60"/>
              <w:left w:type="dxa" w:w="90"/>
              <w:bottom w:type="dxa" w:w="60"/>
              <w:right w:type="dxa" w:w="90"/>
            </w:tcMar>
          </w:tcPr>
          <w:p>
            <w:pPr>
              <w:spacing w:after="30"/>
            </w:pPr>
            <w:r>
              <w:rPr>
                <w:sz w:val="18"/>
                <w:szCs w:val="18"/>
              </w:rPr>
              <w:t xml:space="preserve">Medium</w:t>
            </w:r>
          </w:p>
        </w:tc>
      </w:tr>
      <w:tr>
        <w:trPr>
          <w:tblHeader w:val="off"/>
        </w:trPr>
        <w:tc>
          <w:tcPr>
            <w:tcW w:type="dxa" w:w="500"/>
            <w:tcMar>
              <w:top w:type="dxa" w:w="60"/>
              <w:left w:type="dxa" w:w="90"/>
              <w:bottom w:type="dxa" w:w="60"/>
              <w:right w:type="dxa" w:w="90"/>
            </w:tcMar>
          </w:tcPr>
          <w:p>
            <w:pPr>
              <w:spacing w:after="30"/>
            </w:pPr>
            <w:r>
              <w:rPr>
                <w:sz w:val="18"/>
                <w:szCs w:val="18"/>
              </w:rPr>
              <w:t xml:space="preserve">3</w:t>
            </w:r>
          </w:p>
        </w:tc>
        <w:tc>
          <w:tcPr>
            <w:tcW w:type="dxa" w:w="3700"/>
            <w:tcMar>
              <w:top w:type="dxa" w:w="60"/>
              <w:left w:type="dxa" w:w="90"/>
              <w:bottom w:type="dxa" w:w="60"/>
              <w:right w:type="dxa" w:w="90"/>
            </w:tcMar>
          </w:tcPr>
          <w:p>
            <w:pPr>
              <w:spacing w:after="30"/>
            </w:pPr>
            <w:r>
              <w:rPr>
                <w:sz w:val="18"/>
                <w:szCs w:val="18"/>
              </w:rPr>
              <w:t xml:space="preserve">Diagnosis from the doctor’s medical record first; widen ICD search from 5 to ~20 candidates, without drug names.</w:t>
            </w:r>
          </w:p>
        </w:tc>
        <w:tc>
          <w:tcPr>
            <w:tcW w:type="dxa" w:w="3438"/>
            <w:tcMar>
              <w:top w:type="dxa" w:w="60"/>
              <w:left w:type="dxa" w:w="90"/>
              <w:bottom w:type="dxa" w:w="60"/>
              <w:right w:type="dxa" w:w="90"/>
            </w:tcMar>
          </w:tcPr>
          <w:p>
            <w:pPr>
              <w:spacing w:after="30"/>
            </w:pPr>
            <w:r>
              <w:rPr>
                <w:sz w:val="18"/>
                <w:szCs w:val="18"/>
              </w:rPr>
              <w:t xml:space="preserve">S13 on a thyroid claim; R69 for cough / dizziness</w:t>
            </w:r>
          </w:p>
        </w:tc>
        <w:tc>
          <w:tcPr>
            <w:tcW w:type="dxa" w:w="2000"/>
            <w:tcMar>
              <w:top w:type="dxa" w:w="60"/>
              <w:left w:type="dxa" w:w="90"/>
              <w:bottom w:type="dxa" w:w="60"/>
              <w:right w:type="dxa" w:w="90"/>
            </w:tcMar>
          </w:tcPr>
          <w:p>
            <w:pPr>
              <w:spacing w:after="30"/>
            </w:pPr>
            <w:r>
              <w:rPr>
                <w:sz w:val="18"/>
                <w:szCs w:val="18"/>
              </w:rPr>
              <w:t xml:space="preserve">Small–medium</w:t>
            </w:r>
          </w:p>
        </w:tc>
      </w:tr>
      <w:tr>
        <w:trPr>
          <w:tblHeader w:val="off"/>
        </w:trPr>
        <w:tc>
          <w:tcPr>
            <w:tcW w:type="dxa" w:w="500"/>
            <w:tcMar>
              <w:top w:type="dxa" w:w="60"/>
              <w:left w:type="dxa" w:w="90"/>
              <w:bottom w:type="dxa" w:w="60"/>
              <w:right w:type="dxa" w:w="90"/>
            </w:tcMar>
          </w:tcPr>
          <w:p>
            <w:pPr>
              <w:spacing w:after="30"/>
            </w:pPr>
            <w:r>
              <w:rPr>
                <w:sz w:val="18"/>
                <w:szCs w:val="18"/>
              </w:rPr>
              <w:t xml:space="preserve">4</w:t>
            </w:r>
          </w:p>
        </w:tc>
        <w:tc>
          <w:tcPr>
            <w:tcW w:type="dxa" w:w="3700"/>
            <w:tcMar>
              <w:top w:type="dxa" w:w="60"/>
              <w:left w:type="dxa" w:w="90"/>
              <w:bottom w:type="dxa" w:w="60"/>
              <w:right w:type="dxa" w:w="90"/>
            </w:tcMar>
          </w:tcPr>
          <w:p>
            <w:pPr>
              <w:spacing w:after="30"/>
            </w:pPr>
            <w:r>
              <w:rPr>
                <w:sz w:val="18"/>
                <w:szCs w:val="18"/>
              </w:rPr>
              <w:t xml:space="preserve">Benefit per invoice line (consultation vs medicine vs imaging).</w:t>
            </w:r>
          </w:p>
        </w:tc>
        <w:tc>
          <w:tcPr>
            <w:tcW w:type="dxa" w:w="3438"/>
            <w:tcMar>
              <w:top w:type="dxa" w:w="60"/>
              <w:left w:type="dxa" w:w="90"/>
              <w:bottom w:type="dxa" w:w="60"/>
              <w:right w:type="dxa" w:w="90"/>
            </w:tcMar>
          </w:tcPr>
          <w:p>
            <w:pPr>
              <w:spacing w:after="30"/>
            </w:pPr>
            <w:r>
              <w:rPr>
                <w:sz w:val="18"/>
                <w:szCs w:val="18"/>
              </w:rPr>
              <w:t xml:space="preserve">XRAY instead of Specialist; consultation fee + medicine merged as RX</w:t>
            </w:r>
          </w:p>
        </w:tc>
        <w:tc>
          <w:tcPr>
            <w:tcW w:type="dxa" w:w="2000"/>
            <w:tcMar>
              <w:top w:type="dxa" w:w="60"/>
              <w:left w:type="dxa" w:w="90"/>
              <w:bottom w:type="dxa" w:w="60"/>
              <w:right w:type="dxa" w:w="90"/>
            </w:tcMar>
          </w:tcPr>
          <w:p>
            <w:pPr>
              <w:spacing w:after="30"/>
            </w:pPr>
            <w:r>
              <w:rPr>
                <w:sz w:val="18"/>
                <w:szCs w:val="18"/>
              </w:rPr>
              <w:t xml:space="preserve">Small–medium</w:t>
            </w:r>
          </w:p>
        </w:tc>
      </w:tr>
      <w:tr>
        <w:trPr>
          <w:tblHeader w:val="off"/>
        </w:trPr>
        <w:tc>
          <w:tcPr>
            <w:tcW w:type="dxa" w:w="500"/>
            <w:tcMar>
              <w:top w:type="dxa" w:w="60"/>
              <w:left w:type="dxa" w:w="90"/>
              <w:bottom w:type="dxa" w:w="60"/>
              <w:right w:type="dxa" w:w="90"/>
            </w:tcMar>
          </w:tcPr>
          <w:p>
            <w:pPr>
              <w:spacing w:after="30"/>
            </w:pPr>
            <w:r>
              <w:rPr>
                <w:sz w:val="18"/>
                <w:szCs w:val="18"/>
              </w:rPr>
              <w:t xml:space="preserve">5</w:t>
            </w:r>
          </w:p>
        </w:tc>
        <w:tc>
          <w:tcPr>
            <w:tcW w:type="dxa" w:w="3700"/>
            <w:tcMar>
              <w:top w:type="dxa" w:w="60"/>
              <w:left w:type="dxa" w:w="90"/>
              <w:bottom w:type="dxa" w:w="60"/>
              <w:right w:type="dxa" w:w="90"/>
            </w:tcMar>
          </w:tcPr>
          <w:p>
            <w:pPr>
              <w:spacing w:after="30"/>
            </w:pPr>
            <w:r>
              <w:rPr>
                <w:sz w:val="18"/>
                <w:szCs w:val="18"/>
              </w:rPr>
              <w:t xml:space="preserve">“Unsure” from evidence, not the AI’s own score: handwritten Burmese names, amount mismatch when a page wasn’t fully read, score exactly 0.5.</w:t>
            </w:r>
          </w:p>
        </w:tc>
        <w:tc>
          <w:tcPr>
            <w:tcW w:type="dxa" w:w="3438"/>
            <w:tcMar>
              <w:top w:type="dxa" w:w="60"/>
              <w:left w:type="dxa" w:w="90"/>
              <w:bottom w:type="dxa" w:w="60"/>
              <w:right w:type="dxa" w:w="90"/>
            </w:tcMar>
          </w:tcPr>
          <w:p>
            <w:pPr>
              <w:spacing w:after="30"/>
            </w:pPr>
            <w:r>
              <w:rPr>
                <w:sz w:val="18"/>
                <w:szCs w:val="18"/>
              </w:rPr>
              <w:t xml:space="preserve">Name 0.95 but wrong; date 0.5 sent to customer</w:t>
            </w:r>
          </w:p>
        </w:tc>
        <w:tc>
          <w:tcPr>
            <w:tcW w:type="dxa" w:w="2000"/>
            <w:tcMar>
              <w:top w:type="dxa" w:w="60"/>
              <w:left w:type="dxa" w:w="90"/>
              <w:bottom w:type="dxa" w:w="60"/>
              <w:right w:type="dxa" w:w="90"/>
            </w:tcMar>
          </w:tcPr>
          <w:p>
            <w:pPr>
              <w:spacing w:after="30"/>
            </w:pPr>
            <w:r>
              <w:rPr>
                <w:sz w:val="18"/>
                <w:szCs w:val="18"/>
              </w:rPr>
              <w:t xml:space="preserve">Small</w:t>
            </w:r>
          </w:p>
        </w:tc>
      </w:tr>
      <w:tr>
        <w:trPr>
          <w:tblHeader w:val="off"/>
        </w:trPr>
        <w:tc>
          <w:tcPr>
            <w:tcW w:type="dxa" w:w="500"/>
            <w:tcMar>
              <w:top w:type="dxa" w:w="60"/>
              <w:left w:type="dxa" w:w="90"/>
              <w:bottom w:type="dxa" w:w="60"/>
              <w:right w:type="dxa" w:w="90"/>
            </w:tcMar>
          </w:tcPr>
          <w:p>
            <w:pPr>
              <w:spacing w:after="30"/>
            </w:pPr>
            <w:r>
              <w:rPr>
                <w:sz w:val="18"/>
                <w:szCs w:val="18"/>
              </w:rPr>
              <w:t xml:space="preserve">6</w:t>
            </w:r>
          </w:p>
        </w:tc>
        <w:tc>
          <w:tcPr>
            <w:tcW w:type="dxa" w:w="3700"/>
            <w:tcMar>
              <w:top w:type="dxa" w:w="60"/>
              <w:left w:type="dxa" w:w="90"/>
              <w:bottom w:type="dxa" w:w="60"/>
              <w:right w:type="dxa" w:w="90"/>
            </w:tcMar>
          </w:tcPr>
          <w:p>
            <w:pPr>
              <w:spacing w:after="30"/>
            </w:pPr>
            <w:r>
              <w:rPr>
                <w:sz w:val="18"/>
                <w:szCs w:val="18"/>
              </w:rPr>
              <w:t xml:space="preserve">Multi-visit claims: compare each invoice with the record of its own visit.</w:t>
            </w:r>
          </w:p>
        </w:tc>
        <w:tc>
          <w:tcPr>
            <w:tcW w:type="dxa" w:w="3438"/>
            <w:tcMar>
              <w:top w:type="dxa" w:w="60"/>
              <w:left w:type="dxa" w:w="90"/>
              <w:bottom w:type="dxa" w:w="60"/>
              <w:right w:type="dxa" w:w="90"/>
            </w:tcMar>
          </w:tcPr>
          <w:p>
            <w:pPr>
              <w:spacing w:after="30"/>
            </w:pPr>
            <w:r>
              <w:rPr>
                <w:sz w:val="18"/>
                <w:szCs w:val="18"/>
              </w:rPr>
              <w:t xml:space="preserve">Su Mon Latt (21/8 and 28/8)</w:t>
            </w:r>
          </w:p>
        </w:tc>
        <w:tc>
          <w:tcPr>
            <w:tcW w:type="dxa" w:w="2000"/>
            <w:tcMar>
              <w:top w:type="dxa" w:w="60"/>
              <w:left w:type="dxa" w:w="90"/>
              <w:bottom w:type="dxa" w:w="60"/>
              <w:right w:type="dxa" w:w="90"/>
            </w:tcMar>
          </w:tcPr>
          <w:p>
            <w:pPr>
              <w:spacing w:after="30"/>
            </w:pPr>
            <w:r>
              <w:rPr>
                <w:sz w:val="18"/>
                <w:szCs w:val="18"/>
              </w:rPr>
              <w:t xml:space="preserve">Small</w:t>
            </w:r>
          </w:p>
        </w:tc>
      </w:tr>
      <w:tr>
        <w:trPr>
          <w:tblHeader w:val="off"/>
        </w:trPr>
        <w:tc>
          <w:tcPr>
            <w:tcW w:type="dxa" w:w="500"/>
            <w:tcMar>
              <w:top w:type="dxa" w:w="60"/>
              <w:left w:type="dxa" w:w="90"/>
              <w:bottom w:type="dxa" w:w="60"/>
              <w:right w:type="dxa" w:w="90"/>
            </w:tcMar>
          </w:tcPr>
          <w:p>
            <w:pPr>
              <w:spacing w:after="30"/>
            </w:pPr>
            <w:r>
              <w:rPr>
                <w:sz w:val="18"/>
                <w:szCs w:val="18"/>
              </w:rPr>
              <w:t xml:space="preserve">7</w:t>
            </w:r>
          </w:p>
        </w:tc>
        <w:tc>
          <w:tcPr>
            <w:tcW w:type="dxa" w:w="3700"/>
            <w:tcMar>
              <w:top w:type="dxa" w:w="60"/>
              <w:left w:type="dxa" w:w="90"/>
              <w:bottom w:type="dxa" w:w="60"/>
              <w:right w:type="dxa" w:w="90"/>
            </w:tcMar>
          </w:tcPr>
          <w:p>
            <w:pPr>
              <w:spacing w:after="30"/>
            </w:pPr>
            <w:r>
              <w:rPr>
                <w:sz w:val="18"/>
                <w:szCs w:val="18"/>
              </w:rPr>
              <w:t xml:space="preserve">Let the reviewer remove wrong items from a held email before releasing it.</w:t>
            </w:r>
          </w:p>
        </w:tc>
        <w:tc>
          <w:tcPr>
            <w:tcW w:type="dxa" w:w="3438"/>
            <w:tcMar>
              <w:top w:type="dxa" w:w="60"/>
              <w:left w:type="dxa" w:w="90"/>
              <w:bottom w:type="dxa" w:w="60"/>
              <w:right w:type="dxa" w:w="90"/>
            </w:tcMar>
          </w:tcPr>
          <w:p>
            <w:pPr>
              <w:spacing w:after="30"/>
            </w:pPr>
            <w:r>
              <w:rPr>
                <w:sz w:val="18"/>
                <w:szCs w:val="18"/>
              </w:rPr>
              <w:t xml:space="preserve">Kaung Nyan Lynn (wrong account-number item)</w:t>
            </w:r>
          </w:p>
        </w:tc>
        <w:tc>
          <w:tcPr>
            <w:tcW w:type="dxa" w:w="2000"/>
            <w:tcMar>
              <w:top w:type="dxa" w:w="60"/>
              <w:left w:type="dxa" w:w="90"/>
              <w:bottom w:type="dxa" w:w="60"/>
              <w:right w:type="dxa" w:w="90"/>
            </w:tcMar>
          </w:tcPr>
          <w:p>
            <w:pPr>
              <w:spacing w:after="30"/>
            </w:pPr>
            <w:r>
              <w:rPr>
                <w:sz w:val="18"/>
                <w:szCs w:val="18"/>
              </w:rPr>
              <w:t xml:space="preserve">Small</w:t>
            </w:r>
          </w:p>
        </w:tc>
      </w:tr>
      <w:tr>
        <w:trPr>
          <w:tblHeader w:val="off"/>
        </w:trPr>
        <w:tc>
          <w:tcPr>
            <w:tcW w:type="dxa" w:w="500"/>
            <w:tcMar>
              <w:top w:type="dxa" w:w="60"/>
              <w:left w:type="dxa" w:w="90"/>
              <w:bottom w:type="dxa" w:w="60"/>
              <w:right w:type="dxa" w:w="90"/>
            </w:tcMar>
          </w:tcPr>
          <w:p>
            <w:pPr>
              <w:spacing w:after="30"/>
            </w:pPr>
            <w:r>
              <w:rPr>
                <w:sz w:val="18"/>
                <w:szCs w:val="18"/>
              </w:rPr>
              <w:t xml:space="preserve">8</w:t>
            </w:r>
          </w:p>
        </w:tc>
        <w:tc>
          <w:tcPr>
            <w:tcW w:type="dxa" w:w="3700"/>
            <w:tcMar>
              <w:top w:type="dxa" w:w="60"/>
              <w:left w:type="dxa" w:w="90"/>
              <w:bottom w:type="dxa" w:w="60"/>
              <w:right w:type="dxa" w:w="90"/>
            </w:tcMar>
          </w:tcPr>
          <w:p>
            <w:pPr>
              <w:spacing w:after="30"/>
            </w:pPr>
            <w:r>
              <w:rPr>
                <w:sz w:val="18"/>
                <w:szCs w:val="18"/>
              </w:rPr>
              <w:t xml:space="preserve">Pipeline graph: light an email badge only when its own step asked for that email.</w:t>
            </w:r>
          </w:p>
        </w:tc>
        <w:tc>
          <w:tcPr>
            <w:tcW w:type="dxa" w:w="3438"/>
            <w:tcMar>
              <w:top w:type="dxa" w:w="60"/>
              <w:left w:type="dxa" w:w="90"/>
              <w:bottom w:type="dxa" w:w="60"/>
              <w:right w:type="dxa" w:w="90"/>
            </w:tcMar>
          </w:tcPr>
          <w:p>
            <w:pPr>
              <w:spacing w:after="30"/>
            </w:pPr>
            <w:r>
              <w:rPr>
                <w:sz w:val="18"/>
                <w:szCs w:val="18"/>
              </w:rPr>
              <w:t xml:space="preserve">“No images” badge lights on every API case</w:t>
            </w:r>
          </w:p>
        </w:tc>
        <w:tc>
          <w:tcPr>
            <w:tcW w:type="dxa" w:w="2000"/>
            <w:tcMar>
              <w:top w:type="dxa" w:w="60"/>
              <w:left w:type="dxa" w:w="90"/>
              <w:bottom w:type="dxa" w:w="60"/>
              <w:right w:type="dxa" w:w="90"/>
            </w:tcMar>
          </w:tcPr>
          <w:p>
            <w:pPr>
              <w:spacing w:after="30"/>
            </w:pPr>
            <w:r>
              <w:rPr>
                <w:sz w:val="18"/>
                <w:szCs w:val="18"/>
              </w:rPr>
              <w:t xml:space="preserve">Small</w:t>
            </w:r>
          </w:p>
        </w:tc>
      </w:tr>
      <w:tr>
        <w:trPr>
          <w:tblHeader w:val="off"/>
        </w:trPr>
        <w:tc>
          <w:tcPr>
            <w:tcW w:type="dxa" w:w="500"/>
            <w:tcMar>
              <w:top w:type="dxa" w:w="60"/>
              <w:left w:type="dxa" w:w="90"/>
              <w:bottom w:type="dxa" w:w="60"/>
              <w:right w:type="dxa" w:w="90"/>
            </w:tcMar>
          </w:tcPr>
          <w:p>
            <w:pPr>
              <w:spacing w:after="30"/>
            </w:pPr>
            <w:r>
              <w:rPr>
                <w:sz w:val="18"/>
                <w:szCs w:val="18"/>
              </w:rPr>
              <w:t xml:space="preserve">9</w:t>
            </w:r>
          </w:p>
        </w:tc>
        <w:tc>
          <w:tcPr>
            <w:tcW w:type="dxa" w:w="3700"/>
            <w:tcMar>
              <w:top w:type="dxa" w:w="60"/>
              <w:left w:type="dxa" w:w="90"/>
              <w:bottom w:type="dxa" w:w="60"/>
              <w:right w:type="dxa" w:w="90"/>
            </w:tcMar>
          </w:tcPr>
          <w:p>
            <w:pPr>
              <w:spacing w:after="30"/>
            </w:pPr>
            <w:r>
              <w:rPr>
                <w:sz w:val="18"/>
                <w:szCs w:val="18"/>
              </w:rPr>
              <w:t xml:space="preserve">Measure: run all samples before and after each change; track how many cases go to a person and why.</w:t>
            </w:r>
          </w:p>
        </w:tc>
        <w:tc>
          <w:tcPr>
            <w:tcW w:type="dxa" w:w="3438"/>
            <w:tcMar>
              <w:top w:type="dxa" w:w="60"/>
              <w:left w:type="dxa" w:w="90"/>
              <w:bottom w:type="dxa" w:w="60"/>
              <w:right w:type="dxa" w:w="90"/>
            </w:tcMar>
          </w:tcPr>
          <w:p>
            <w:pPr>
              <w:spacing w:after="30"/>
            </w:pPr>
            <w:r>
              <w:rPr>
                <w:sz w:val="18"/>
                <w:szCs w:val="18"/>
              </w:rPr>
              <w:t xml:space="preserve">Gives Ulink a real number instead of a promise</w:t>
            </w:r>
          </w:p>
        </w:tc>
        <w:tc>
          <w:tcPr>
            <w:tcW w:type="dxa" w:w="2000"/>
            <w:tcMar>
              <w:top w:type="dxa" w:w="60"/>
              <w:left w:type="dxa" w:w="90"/>
              <w:bottom w:type="dxa" w:w="60"/>
              <w:right w:type="dxa" w:w="90"/>
            </w:tcMar>
          </w:tcPr>
          <w:p>
            <w:pPr>
              <w:spacing w:after="30"/>
            </w:pPr>
            <w:r>
              <w:rPr>
                <w:sz w:val="18"/>
                <w:szCs w:val="18"/>
              </w:rPr>
              <w:t xml:space="preserve">Ongoing</w:t>
            </w:r>
          </w:p>
        </w:tc>
      </w:tr>
    </w:tbl>
    <w:p>
      <w:pPr>
        <w:spacing w:after="60"/>
      </w:pPr>
    </w:p>
    <w:p>
      <w:pPr>
        <w:pStyle w:val="Heading2"/>
      </w:pPr>
      <w:r>
        <w:t xml:space="preserve">Root causes found (for reference)</w:t>
      </w:r>
    </w:p>
    <w:p>
      <w:pPr>
        <w:pStyle w:val="ListParagraph"/>
        <w:numPr>
          <w:ilvl w:val="0"/>
          <w:numId w:val="3"/>
        </w:numPr>
        <w:spacing w:after="60"/>
      </w:pPr>
      <w:r>
        <w:rPr>
          <w:b/>
          <w:bCs/>
        </w:rPr>
        <w:t xml:space="preserve">Photo inside a form page is skipped. </w:t>
      </w:r>
      <w:r>
        <w:t xml:space="preserve">Same model reads it perfectly when the photo is sent alone; higher resolution did not help. Repeatable at temperature 0.</w:t>
      </w:r>
    </w:p>
    <w:p>
      <w:pPr>
        <w:pStyle w:val="ListParagraph"/>
        <w:numPr>
          <w:ilvl w:val="0"/>
          <w:numId w:val="3"/>
        </w:numPr>
        <w:spacing w:after="60"/>
      </w:pPr>
      <w:r>
        <w:rPr>
          <w:b/>
          <w:bCs/>
        </w:rPr>
        <w:t xml:space="preserve">Handwritten Burmese can’t be read by the local model </w:t>
      </w:r>
      <w:r>
        <w:t xml:space="preserve">(qwen3.6-35b-a3b). Four reads of one name gave four different wrong names, all “NO_MATCH”, never “can’t read”.</w:t>
      </w:r>
    </w:p>
    <w:p>
      <w:pPr>
        <w:pStyle w:val="ListParagraph"/>
        <w:numPr>
          <w:ilvl w:val="0"/>
          <w:numId w:val="3"/>
        </w:numPr>
        <w:spacing w:after="60"/>
      </w:pPr>
      <w:r>
        <w:rPr>
          <w:b/>
          <w:bCs/>
        </w:rPr>
        <w:t xml:space="preserve">Name check is text-only. </w:t>
      </w:r>
      <w:r>
        <w:t xml:space="preserve">It compares the claimant with the misread text, never the image, so its confidence means little.</w:t>
      </w:r>
    </w:p>
    <w:p>
      <w:pPr>
        <w:pStyle w:val="ListParagraph"/>
        <w:numPr>
          <w:ilvl w:val="0"/>
          <w:numId w:val="3"/>
        </w:numPr>
        <w:spacing w:after="60"/>
      </w:pPr>
      <w:r>
        <w:rPr>
          <w:b/>
          <w:bCs/>
        </w:rPr>
        <w:t xml:space="preserve">Diagnosis uses only the customer’s claim-form text </w:t>
      </w:r>
      <w:r>
        <w:t xml:space="preserve">(ias-claim-preparation/service.js), ignoring the doctor’s printed diagnosis; ICD search returns only 5 candidates.</w:t>
      </w:r>
    </w:p>
    <w:p>
      <w:pPr>
        <w:pStyle w:val="ListParagraph"/>
        <w:numPr>
          <w:ilvl w:val="0"/>
          <w:numId w:val="3"/>
        </w:numPr>
        <w:spacing w:after="60"/>
      </w:pPr>
      <w:r>
        <w:rPr>
          <w:b/>
          <w:bCs/>
        </w:rPr>
        <w:t xml:space="preserve">Already fixed: </w:t>
      </w:r>
      <w:r>
        <w:t xml:space="preserve">customer-email reasons no longer show internal field names (document-checking/checklist.js). Applies to new emails after the API restart.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ULINK demo study notes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E8702A" w:sz="8" w:space="4"/>
      </w:pBdr>
      <w:spacing w:after="120" w:before="280"/>
      <w:outlineLvl w:val="0"/>
    </w:pPr>
    <w:rPr>
      <w:b/>
      <w:bCs/>
      <w:color w:val="2F3B4C"/>
      <w:sz w:val="30"/>
      <w:szCs w:val="30"/>
    </w:rPr>
  </w:style>
  <w:style w:type="paragraph" w:styleId="Heading2">
    <w:name w:val="Heading 2"/>
    <w:basedOn w:val="Normal"/>
    <w:next w:val="Normal"/>
    <w:qFormat/>
    <w:pPr>
      <w:keepNext/>
      <w:keepLines/>
      <w:spacing w:after="60" w:before="160"/>
      <w:outlineLvl w:val="1"/>
    </w:pPr>
    <w:rPr>
      <w:b/>
      <w:bCs/>
      <w:color w:val="E8702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ULINK Demo Study Notes</dc:title>
  <dc:creator>ULINK</dc:creator>
  <cp:lastModifiedBy>Un-named</cp:lastModifiedBy>
  <cp:revision>1</cp:revision>
  <dcterms:created xsi:type="dcterms:W3CDTF">2026-09-30T15:02:14.390Z</dcterms:created>
  <dcterms:modified xsi:type="dcterms:W3CDTF">2026-09-30T15:02:14.391Z</dcterms:modified>
</cp:coreProperties>
</file>

<file path=docProps/custom.xml><?xml version="1.0" encoding="utf-8"?>
<Properties xmlns="http://schemas.openxmlformats.org/officeDocument/2006/custom-properties" xmlns:vt="http://schemas.openxmlformats.org/officeDocument/2006/docPropsVTypes"/>
</file>