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400" w:rsidRDefault="00FD3010" w:rsidP="00431400">
      <w:r>
        <w:t>Prototype</w:t>
      </w:r>
      <w:r w:rsidR="00431400">
        <w:t xml:space="preserve"> </w:t>
      </w:r>
      <w:r>
        <w:t>Implementation</w:t>
      </w:r>
      <w:r w:rsidR="00431400">
        <w:t xml:space="preserve"> </w:t>
      </w:r>
      <w:r>
        <w:t>for</w:t>
      </w:r>
      <w:r w:rsidR="00431400">
        <w:t xml:space="preserve"> Service Composition</w:t>
      </w:r>
    </w:p>
    <w:p w:rsidR="00431400" w:rsidRDefault="00431400" w:rsidP="00431400"/>
    <w:p w:rsidR="00431400" w:rsidRDefault="00CE5CE3" w:rsidP="00431400">
      <w:pPr>
        <w:widowControl/>
        <w:autoSpaceDE w:val="0"/>
        <w:autoSpaceDN w:val="0"/>
        <w:adjustRightInd w:val="0"/>
        <w:rPr>
          <w:rFonts w:ascii="TimesNewRoman,Italic" w:hAnsi="TimesNewRoman,Italic" w:cs="TimesNewRoman,Italic"/>
          <w:i/>
          <w:iCs/>
          <w:kern w:val="0"/>
          <w:sz w:val="20"/>
          <w:szCs w:val="20"/>
          <w:lang w:eastAsia="zh-CN" w:bidi="hi-IN"/>
        </w:rPr>
      </w:pPr>
      <w:r>
        <w:rPr>
          <w:rFonts w:ascii="TimesNewRoman,Italic" w:hAnsi="TimesNewRoman,Italic" w:cs="TimesNewRoman,Italic"/>
          <w:i/>
          <w:iCs/>
          <w:kern w:val="0"/>
          <w:sz w:val="20"/>
          <w:szCs w:val="20"/>
          <w:lang w:eastAsia="zh-CN" w:bidi="hi-IN"/>
        </w:rPr>
        <w:t>System</w:t>
      </w:r>
      <w:r w:rsidR="00431400" w:rsidRPr="00431400">
        <w:rPr>
          <w:rFonts w:ascii="TimesNewRoman,Italic" w:hAnsi="TimesNewRoman,Italic" w:cs="TimesNewRoman,Italic"/>
          <w:i/>
          <w:iCs/>
          <w:kern w:val="0"/>
          <w:sz w:val="20"/>
          <w:szCs w:val="20"/>
          <w:lang w:eastAsia="zh-CN" w:bidi="hi-IN"/>
        </w:rPr>
        <w:t xml:space="preserve"> Architecture</w:t>
      </w:r>
    </w:p>
    <w:p w:rsidR="00431400" w:rsidRDefault="00431400" w:rsidP="00431400">
      <w:pPr>
        <w:ind w:firstLine="245"/>
        <w:jc w:val="both"/>
        <w:rPr>
          <w:sz w:val="20"/>
          <w:szCs w:val="20"/>
        </w:rPr>
      </w:pPr>
    </w:p>
    <w:p w:rsidR="00431400" w:rsidRDefault="00431400" w:rsidP="00431400">
      <w:pPr>
        <w:ind w:firstLine="245"/>
        <w:jc w:val="both"/>
        <w:rPr>
          <w:sz w:val="20"/>
          <w:szCs w:val="20"/>
        </w:rPr>
      </w:pPr>
      <w:r>
        <w:rPr>
          <w:sz w:val="20"/>
          <w:szCs w:val="20"/>
        </w:rPr>
        <w:t xml:space="preserve">We develop a </w:t>
      </w:r>
      <w:r w:rsidR="00812C42">
        <w:rPr>
          <w:sz w:val="20"/>
          <w:szCs w:val="20"/>
        </w:rPr>
        <w:t>prototype</w:t>
      </w:r>
      <w:r>
        <w:rPr>
          <w:sz w:val="20"/>
          <w:szCs w:val="20"/>
        </w:rPr>
        <w:t xml:space="preserve"> for our service composition approach to study its performance in the real environments. As shown in Figure XXX, w</w:t>
      </w:r>
      <w:r>
        <w:rPr>
          <w:rFonts w:ascii="TimesNewRoman" w:hAnsi="TimesNewRoman" w:cs="TimesNewRoman"/>
          <w:kern w:val="0"/>
          <w:sz w:val="20"/>
          <w:szCs w:val="20"/>
          <w:lang w:eastAsia="zh-CN" w:bidi="hi-IN"/>
        </w:rPr>
        <w:t xml:space="preserve">e used 40 </w:t>
      </w:r>
      <w:proofErr w:type="spellStart"/>
      <w:r w:rsidRPr="007F3951">
        <w:rPr>
          <w:rFonts w:hint="eastAsia"/>
          <w:sz w:val="20"/>
          <w:szCs w:val="20"/>
        </w:rPr>
        <w:t>MicaZ</w:t>
      </w:r>
      <w:proofErr w:type="spellEnd"/>
      <w:r w:rsidRPr="007F3951">
        <w:rPr>
          <w:rFonts w:hint="eastAsia"/>
          <w:sz w:val="20"/>
          <w:szCs w:val="20"/>
        </w:rPr>
        <w:t xml:space="preserve"> </w:t>
      </w:r>
      <w:r>
        <w:rPr>
          <w:sz w:val="20"/>
          <w:szCs w:val="20"/>
        </w:rPr>
        <w:t xml:space="preserve">[] </w:t>
      </w:r>
      <w:r>
        <w:rPr>
          <w:rFonts w:ascii="TimesNewRoman" w:hAnsi="TimesNewRoman" w:cs="TimesNewRoman"/>
          <w:kern w:val="0"/>
          <w:sz w:val="20"/>
          <w:szCs w:val="20"/>
          <w:lang w:eastAsia="zh-CN" w:bidi="hi-IN"/>
        </w:rPr>
        <w:t>nodes with a MIB600 gateway for the hardware and deployed them in an indoor environment.</w:t>
      </w:r>
    </w:p>
    <w:p w:rsidR="00431400" w:rsidRPr="00431400" w:rsidRDefault="00431400" w:rsidP="00431400">
      <w:pPr>
        <w:ind w:firstLine="245"/>
        <w:jc w:val="both"/>
        <w:rPr>
          <w:sz w:val="20"/>
          <w:szCs w:val="20"/>
        </w:rPr>
      </w:pPr>
    </w:p>
    <w:tbl>
      <w:tblPr>
        <w:tblStyle w:val="TableGrid"/>
        <w:tblW w:w="0" w:type="auto"/>
        <w:tblLayout w:type="fixed"/>
        <w:tblLook w:val="01E0" w:firstRow="1" w:lastRow="1" w:firstColumn="1" w:lastColumn="1" w:noHBand="0" w:noVBand="0"/>
      </w:tblPr>
      <w:tblGrid>
        <w:gridCol w:w="2088"/>
        <w:gridCol w:w="3240"/>
        <w:gridCol w:w="2700"/>
      </w:tblGrid>
      <w:tr w:rsidR="00812C42" w:rsidRPr="00D14D7A" w:rsidTr="00812C42">
        <w:tc>
          <w:tcPr>
            <w:tcW w:w="2088" w:type="dxa"/>
          </w:tcPr>
          <w:p w:rsidR="00812C42" w:rsidRDefault="00812C42" w:rsidP="00812C42">
            <w:pPr>
              <w:snapToGrid w:val="0"/>
              <w:jc w:val="both"/>
              <w:rPr>
                <w:rFonts w:eastAsia="SimSun"/>
                <w:color w:val="FF0000"/>
                <w:sz w:val="20"/>
                <w:szCs w:val="20"/>
                <w:lang w:eastAsia="zh-CN"/>
              </w:rPr>
            </w:pPr>
            <w:r>
              <w:rPr>
                <w:noProof/>
                <w:color w:val="FF0000"/>
                <w:lang w:eastAsia="zh-CN"/>
              </w:rPr>
              <w:drawing>
                <wp:inline distT="0" distB="0" distL="0" distR="0">
                  <wp:extent cx="1381125" cy="1228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381125" cy="1228725"/>
                          </a:xfrm>
                          <a:prstGeom prst="rect">
                            <a:avLst/>
                          </a:prstGeom>
                          <a:noFill/>
                          <a:ln w="9525">
                            <a:noFill/>
                            <a:miter lim="800000"/>
                            <a:headEnd/>
                            <a:tailEnd/>
                          </a:ln>
                        </pic:spPr>
                      </pic:pic>
                    </a:graphicData>
                  </a:graphic>
                </wp:inline>
              </w:drawing>
            </w:r>
          </w:p>
        </w:tc>
        <w:tc>
          <w:tcPr>
            <w:tcW w:w="3240" w:type="dxa"/>
          </w:tcPr>
          <w:p w:rsidR="00812C42" w:rsidRDefault="00812C42" w:rsidP="00812C42">
            <w:pPr>
              <w:snapToGrid w:val="0"/>
              <w:jc w:val="both"/>
              <w:rPr>
                <w:rFonts w:eastAsia="SimSun"/>
                <w:color w:val="FF0000"/>
                <w:sz w:val="20"/>
                <w:szCs w:val="20"/>
                <w:lang w:eastAsia="zh-CN"/>
              </w:rPr>
            </w:pPr>
            <w:r>
              <w:rPr>
                <w:noProof/>
                <w:lang w:eastAsia="zh-CN"/>
              </w:rPr>
              <w:drawing>
                <wp:inline distT="0" distB="0" distL="0" distR="0">
                  <wp:extent cx="1971675" cy="1219200"/>
                  <wp:effectExtent l="19050" t="0" r="9525" b="0"/>
                  <wp:docPr id="2" name="Picture 2" descr="IMG_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1035"/>
                          <pic:cNvPicPr>
                            <a:picLocks noChangeAspect="1" noChangeArrowheads="1"/>
                          </pic:cNvPicPr>
                        </pic:nvPicPr>
                        <pic:blipFill>
                          <a:blip r:embed="rId6" cstate="print"/>
                          <a:srcRect/>
                          <a:stretch>
                            <a:fillRect/>
                          </a:stretch>
                        </pic:blipFill>
                        <pic:spPr bwMode="auto">
                          <a:xfrm>
                            <a:off x="0" y="0"/>
                            <a:ext cx="1971675" cy="1219200"/>
                          </a:xfrm>
                          <a:prstGeom prst="rect">
                            <a:avLst/>
                          </a:prstGeom>
                          <a:noFill/>
                          <a:ln w="9525">
                            <a:noFill/>
                            <a:miter lim="800000"/>
                            <a:headEnd/>
                            <a:tailEnd/>
                          </a:ln>
                        </pic:spPr>
                      </pic:pic>
                    </a:graphicData>
                  </a:graphic>
                </wp:inline>
              </w:drawing>
            </w:r>
          </w:p>
        </w:tc>
        <w:tc>
          <w:tcPr>
            <w:tcW w:w="2700" w:type="dxa"/>
          </w:tcPr>
          <w:p w:rsidR="00812C42" w:rsidRPr="00D14D7A" w:rsidRDefault="00812C42" w:rsidP="00812C42">
            <w:pPr>
              <w:snapToGrid w:val="0"/>
              <w:jc w:val="both"/>
            </w:pPr>
            <w:r>
              <w:rPr>
                <w:noProof/>
                <w:sz w:val="20"/>
                <w:szCs w:val="20"/>
                <w:lang w:eastAsia="zh-CN"/>
              </w:rPr>
              <w:drawing>
                <wp:inline distT="0" distB="0" distL="0" distR="0">
                  <wp:extent cx="1619250" cy="1228725"/>
                  <wp:effectExtent l="19050" t="0" r="0" b="0"/>
                  <wp:docPr id="3" name="Picture 3" descr="PHM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M037"/>
                          <pic:cNvPicPr>
                            <a:picLocks noChangeAspect="1" noChangeArrowheads="1"/>
                          </pic:cNvPicPr>
                        </pic:nvPicPr>
                        <pic:blipFill>
                          <a:blip r:embed="rId7" cstate="print"/>
                          <a:srcRect/>
                          <a:stretch>
                            <a:fillRect/>
                          </a:stretch>
                        </pic:blipFill>
                        <pic:spPr bwMode="auto">
                          <a:xfrm>
                            <a:off x="0" y="0"/>
                            <a:ext cx="1619250" cy="1228725"/>
                          </a:xfrm>
                          <a:prstGeom prst="rect">
                            <a:avLst/>
                          </a:prstGeom>
                          <a:noFill/>
                          <a:ln w="9525">
                            <a:noFill/>
                            <a:miter lim="800000"/>
                            <a:headEnd/>
                            <a:tailEnd/>
                          </a:ln>
                        </pic:spPr>
                      </pic:pic>
                    </a:graphicData>
                  </a:graphic>
                </wp:inline>
              </w:drawing>
            </w:r>
          </w:p>
        </w:tc>
      </w:tr>
      <w:tr w:rsidR="00812C42" w:rsidRPr="00854469" w:rsidTr="00812C42">
        <w:tc>
          <w:tcPr>
            <w:tcW w:w="2088" w:type="dxa"/>
          </w:tcPr>
          <w:p w:rsidR="00812C42" w:rsidRPr="00854469" w:rsidRDefault="00812C42" w:rsidP="00812C42">
            <w:pPr>
              <w:snapToGrid w:val="0"/>
              <w:jc w:val="both"/>
              <w:rPr>
                <w:rFonts w:ascii="TimesNewRoman" w:hAnsi="TimesNewRoman" w:cs="TimesNewRoman"/>
                <w:kern w:val="0"/>
                <w:sz w:val="20"/>
                <w:szCs w:val="20"/>
                <w:lang w:eastAsia="zh-CN" w:bidi="hi-IN"/>
              </w:rPr>
            </w:pPr>
            <w:r w:rsidRPr="00854469">
              <w:rPr>
                <w:rFonts w:ascii="TimesNewRoman" w:hAnsi="TimesNewRoman" w:cs="TimesNewRoman"/>
                <w:kern w:val="0"/>
                <w:sz w:val="20"/>
                <w:szCs w:val="20"/>
                <w:lang w:eastAsia="zh-CN" w:bidi="hi-IN"/>
              </w:rPr>
              <w:t>Fig. 1(a)</w:t>
            </w:r>
            <w:r>
              <w:rPr>
                <w:rFonts w:ascii="TimesNewRoman" w:hAnsi="TimesNewRoman" w:cs="TimesNewRoman"/>
                <w:kern w:val="0"/>
                <w:sz w:val="20"/>
                <w:szCs w:val="20"/>
                <w:lang w:eastAsia="zh-CN" w:bidi="hi-IN"/>
              </w:rPr>
              <w:t>:</w:t>
            </w:r>
            <w:r w:rsidRPr="00854469">
              <w:rPr>
                <w:rFonts w:ascii="TimesNewRoman" w:hAnsi="TimesNewRoman" w:cs="TimesNewRoman"/>
                <w:kern w:val="0"/>
                <w:sz w:val="20"/>
                <w:szCs w:val="20"/>
                <w:lang w:eastAsia="zh-CN" w:bidi="hi-IN"/>
              </w:rPr>
              <w:t xml:space="preserve"> </w:t>
            </w:r>
            <w:proofErr w:type="spellStart"/>
            <w:r w:rsidRPr="00854469">
              <w:rPr>
                <w:rFonts w:ascii="TimesNewRoman" w:hAnsi="TimesNewRoman" w:cs="TimesNewRoman"/>
                <w:kern w:val="0"/>
                <w:sz w:val="20"/>
                <w:szCs w:val="20"/>
                <w:lang w:eastAsia="zh-CN" w:bidi="hi-IN"/>
              </w:rPr>
              <w:t>MicaZ</w:t>
            </w:r>
            <w:proofErr w:type="spellEnd"/>
            <w:r w:rsidRPr="00854469">
              <w:rPr>
                <w:rFonts w:ascii="TimesNewRoman" w:hAnsi="TimesNewRoman" w:cs="TimesNewRoman"/>
                <w:kern w:val="0"/>
                <w:sz w:val="20"/>
                <w:szCs w:val="20"/>
                <w:lang w:eastAsia="zh-CN" w:bidi="hi-IN"/>
              </w:rPr>
              <w:t xml:space="preserve"> Node</w:t>
            </w:r>
          </w:p>
        </w:tc>
        <w:tc>
          <w:tcPr>
            <w:tcW w:w="3240" w:type="dxa"/>
          </w:tcPr>
          <w:p w:rsidR="00812C42" w:rsidRPr="00854469" w:rsidRDefault="00812C42" w:rsidP="00812C42">
            <w:pPr>
              <w:snapToGrid w:val="0"/>
              <w:jc w:val="both"/>
              <w:rPr>
                <w:rFonts w:ascii="TimesNewRoman" w:hAnsi="TimesNewRoman" w:cs="TimesNewRoman"/>
                <w:kern w:val="0"/>
                <w:sz w:val="20"/>
                <w:szCs w:val="20"/>
                <w:lang w:eastAsia="zh-CN" w:bidi="hi-IN"/>
              </w:rPr>
            </w:pPr>
            <w:r w:rsidRPr="00854469">
              <w:rPr>
                <w:rFonts w:ascii="TimesNewRoman" w:hAnsi="TimesNewRoman" w:cs="TimesNewRoman"/>
                <w:kern w:val="0"/>
                <w:sz w:val="20"/>
                <w:szCs w:val="20"/>
                <w:lang w:eastAsia="zh-CN" w:bidi="hi-IN"/>
              </w:rPr>
              <w:t>Fig. 1(b)</w:t>
            </w:r>
            <w:r>
              <w:rPr>
                <w:rFonts w:ascii="TimesNewRoman" w:hAnsi="TimesNewRoman" w:cs="TimesNewRoman"/>
                <w:kern w:val="0"/>
                <w:sz w:val="20"/>
                <w:szCs w:val="20"/>
                <w:lang w:eastAsia="zh-CN" w:bidi="hi-IN"/>
              </w:rPr>
              <w:t>:</w:t>
            </w:r>
            <w:r w:rsidRPr="00854469">
              <w:rPr>
                <w:rFonts w:ascii="TimesNewRoman" w:hAnsi="TimesNewRoman" w:cs="TimesNewRoman"/>
                <w:kern w:val="0"/>
                <w:sz w:val="20"/>
                <w:szCs w:val="20"/>
                <w:lang w:eastAsia="zh-CN" w:bidi="hi-IN"/>
              </w:rPr>
              <w:t xml:space="preserve"> </w:t>
            </w:r>
            <w:r>
              <w:rPr>
                <w:rFonts w:ascii="TimesNewRoman" w:hAnsi="TimesNewRoman" w:cs="TimesNewRoman"/>
                <w:kern w:val="0"/>
                <w:sz w:val="20"/>
                <w:szCs w:val="20"/>
                <w:lang w:eastAsia="zh-CN" w:bidi="hi-IN"/>
              </w:rPr>
              <w:t>MIB600 Gateway</w:t>
            </w:r>
          </w:p>
        </w:tc>
        <w:tc>
          <w:tcPr>
            <w:tcW w:w="2700" w:type="dxa"/>
          </w:tcPr>
          <w:p w:rsidR="00812C42" w:rsidRPr="00854469" w:rsidRDefault="00812C42" w:rsidP="00812C42">
            <w:pPr>
              <w:snapToGrid w:val="0"/>
              <w:jc w:val="both"/>
              <w:rPr>
                <w:rFonts w:ascii="TimesNewRoman" w:hAnsi="TimesNewRoman" w:cs="TimesNewRoman"/>
                <w:kern w:val="0"/>
                <w:sz w:val="20"/>
                <w:szCs w:val="20"/>
                <w:lang w:eastAsia="zh-CN" w:bidi="hi-IN"/>
              </w:rPr>
            </w:pPr>
            <w:r w:rsidRPr="00854469">
              <w:rPr>
                <w:rFonts w:ascii="TimesNewRoman" w:hAnsi="TimesNewRoman" w:cs="TimesNewRoman"/>
                <w:kern w:val="0"/>
                <w:sz w:val="20"/>
                <w:szCs w:val="20"/>
                <w:lang w:eastAsia="zh-CN" w:bidi="hi-IN"/>
              </w:rPr>
              <w:t xml:space="preserve">Fig. 1(c): Part of the </w:t>
            </w:r>
            <w:proofErr w:type="spellStart"/>
            <w:r w:rsidRPr="00854469">
              <w:rPr>
                <w:rFonts w:ascii="TimesNewRoman" w:hAnsi="TimesNewRoman" w:cs="TimesNewRoman"/>
                <w:kern w:val="0"/>
                <w:sz w:val="20"/>
                <w:szCs w:val="20"/>
                <w:lang w:eastAsia="zh-CN" w:bidi="hi-IN"/>
              </w:rPr>
              <w:t>Testbed</w:t>
            </w:r>
            <w:proofErr w:type="spellEnd"/>
          </w:p>
        </w:tc>
      </w:tr>
    </w:tbl>
    <w:p w:rsidR="00431400" w:rsidRDefault="00431400" w:rsidP="00431400"/>
    <w:p w:rsidR="00431400" w:rsidRDefault="00431400" w:rsidP="00431400">
      <w:pPr>
        <w:ind w:firstLine="244"/>
        <w:jc w:val="both"/>
        <w:rPr>
          <w:sz w:val="20"/>
          <w:szCs w:val="20"/>
        </w:rPr>
      </w:pPr>
      <w:r>
        <w:rPr>
          <w:sz w:val="20"/>
          <w:szCs w:val="20"/>
        </w:rPr>
        <w:t>The system architecture</w:t>
      </w:r>
      <w:r w:rsidR="00CE5CE3">
        <w:rPr>
          <w:sz w:val="20"/>
          <w:szCs w:val="20"/>
        </w:rPr>
        <w:t xml:space="preserve"> for the prototype</w:t>
      </w:r>
      <w:r>
        <w:rPr>
          <w:sz w:val="20"/>
          <w:szCs w:val="20"/>
        </w:rPr>
        <w:t xml:space="preserve"> is shown in Figure XXX.  </w:t>
      </w:r>
      <w:r w:rsidRPr="00D274B7">
        <w:rPr>
          <w:rFonts w:hint="eastAsia"/>
          <w:sz w:val="20"/>
          <w:szCs w:val="20"/>
        </w:rPr>
        <w:t xml:space="preserve">In order to </w:t>
      </w:r>
      <w:r w:rsidR="00230D99">
        <w:rPr>
          <w:sz w:val="20"/>
          <w:szCs w:val="20"/>
        </w:rPr>
        <w:t xml:space="preserve">support </w:t>
      </w:r>
      <w:r w:rsidR="00CE5CE3">
        <w:rPr>
          <w:sz w:val="20"/>
          <w:szCs w:val="20"/>
        </w:rPr>
        <w:t>flexible interaction between the application programmer and our service composition middleware</w:t>
      </w:r>
      <w:r w:rsidRPr="00D274B7">
        <w:rPr>
          <w:rFonts w:hint="eastAsia"/>
          <w:sz w:val="20"/>
          <w:szCs w:val="20"/>
        </w:rPr>
        <w:t xml:space="preserve">, </w:t>
      </w:r>
      <w:r w:rsidR="00AB173A">
        <w:rPr>
          <w:sz w:val="20"/>
          <w:szCs w:val="20"/>
        </w:rPr>
        <w:t xml:space="preserve">our </w:t>
      </w:r>
      <w:r w:rsidR="00CE5CE3">
        <w:rPr>
          <w:sz w:val="20"/>
          <w:szCs w:val="20"/>
        </w:rPr>
        <w:t>prototype</w:t>
      </w:r>
      <w:r w:rsidR="00AB173A">
        <w:rPr>
          <w:sz w:val="20"/>
          <w:szCs w:val="20"/>
        </w:rPr>
        <w:t xml:space="preserve"> mainly consists of two </w:t>
      </w:r>
      <w:r w:rsidR="00044202">
        <w:rPr>
          <w:sz w:val="20"/>
          <w:szCs w:val="20"/>
        </w:rPr>
        <w:t>major components</w:t>
      </w:r>
      <w:r>
        <w:rPr>
          <w:sz w:val="20"/>
          <w:szCs w:val="20"/>
        </w:rPr>
        <w:t xml:space="preserve">. </w:t>
      </w:r>
      <w:r w:rsidR="00AB173A">
        <w:rPr>
          <w:sz w:val="20"/>
          <w:szCs w:val="20"/>
        </w:rPr>
        <w:t xml:space="preserve">On the </w:t>
      </w:r>
      <w:r w:rsidR="00044202">
        <w:rPr>
          <w:sz w:val="20"/>
          <w:szCs w:val="20"/>
        </w:rPr>
        <w:t>application side</w:t>
      </w:r>
      <w:r w:rsidR="00AB173A">
        <w:rPr>
          <w:sz w:val="20"/>
          <w:szCs w:val="20"/>
        </w:rPr>
        <w:t xml:space="preserve">, the application user will provide an XML file which defines service composition. Then the </w:t>
      </w:r>
      <w:r w:rsidR="00CE5CE3">
        <w:rPr>
          <w:sz w:val="20"/>
          <w:szCs w:val="20"/>
        </w:rPr>
        <w:t>file</w:t>
      </w:r>
      <w:r w:rsidR="00AB173A">
        <w:rPr>
          <w:sz w:val="20"/>
          <w:szCs w:val="20"/>
        </w:rPr>
        <w:t xml:space="preserve"> will be </w:t>
      </w:r>
      <w:r w:rsidR="00CE5CE3">
        <w:rPr>
          <w:sz w:val="20"/>
          <w:szCs w:val="20"/>
        </w:rPr>
        <w:t>parsed and packetized for dissemination</w:t>
      </w:r>
      <w:r w:rsidR="00AB173A">
        <w:rPr>
          <w:sz w:val="20"/>
          <w:szCs w:val="20"/>
        </w:rPr>
        <w:t xml:space="preserve"> into the </w:t>
      </w:r>
      <w:r w:rsidR="00CE5CE3">
        <w:rPr>
          <w:sz w:val="20"/>
          <w:szCs w:val="20"/>
        </w:rPr>
        <w:t>pervasive computing environment</w:t>
      </w:r>
      <w:r w:rsidR="00AB173A">
        <w:rPr>
          <w:sz w:val="20"/>
          <w:szCs w:val="20"/>
        </w:rPr>
        <w:t xml:space="preserve">. </w:t>
      </w:r>
      <w:r w:rsidRPr="00C50E27">
        <w:rPr>
          <w:rFonts w:hint="eastAsia"/>
          <w:sz w:val="20"/>
          <w:szCs w:val="20"/>
        </w:rPr>
        <w:t xml:space="preserve">On the </w:t>
      </w:r>
      <w:r w:rsidR="00044202">
        <w:rPr>
          <w:sz w:val="20"/>
          <w:szCs w:val="20"/>
        </w:rPr>
        <w:t>pervasive device side</w:t>
      </w:r>
      <w:r w:rsidRPr="00C50E27">
        <w:rPr>
          <w:rFonts w:hint="eastAsia"/>
          <w:sz w:val="20"/>
          <w:szCs w:val="20"/>
        </w:rPr>
        <w:t xml:space="preserve">, </w:t>
      </w:r>
      <w:r w:rsidR="00AB173A">
        <w:rPr>
          <w:sz w:val="20"/>
          <w:szCs w:val="20"/>
        </w:rPr>
        <w:t xml:space="preserve">after </w:t>
      </w:r>
      <w:r w:rsidR="00CE5CE3">
        <w:rPr>
          <w:sz w:val="20"/>
          <w:szCs w:val="20"/>
        </w:rPr>
        <w:t>the devices</w:t>
      </w:r>
      <w:r w:rsidR="00AB173A">
        <w:rPr>
          <w:sz w:val="20"/>
          <w:szCs w:val="20"/>
        </w:rPr>
        <w:t xml:space="preserve"> receive the service specification</w:t>
      </w:r>
      <w:r w:rsidR="00CB44FD">
        <w:rPr>
          <w:sz w:val="20"/>
          <w:szCs w:val="20"/>
        </w:rPr>
        <w:t xml:space="preserve"> they will start executing the service composition algorithm and notify the user when the composition process is complete.</w:t>
      </w:r>
      <w:r w:rsidR="00CE5CE3">
        <w:rPr>
          <w:sz w:val="20"/>
          <w:szCs w:val="20"/>
        </w:rPr>
        <w:t xml:space="preserve"> </w:t>
      </w:r>
    </w:p>
    <w:p w:rsidR="00230D99" w:rsidRPr="00C50E27" w:rsidRDefault="00230D99" w:rsidP="00431400">
      <w:pPr>
        <w:ind w:firstLine="244"/>
        <w:jc w:val="both"/>
        <w:rPr>
          <w:sz w:val="20"/>
          <w:szCs w:val="20"/>
        </w:rPr>
      </w:pPr>
    </w:p>
    <w:p w:rsidR="00AC4576" w:rsidRDefault="00C44342" w:rsidP="00230D99">
      <w:pPr>
        <w:jc w:val="center"/>
      </w:pPr>
      <w:r>
        <w:rPr>
          <w:noProof/>
          <w:lang w:eastAsia="zh-CN"/>
        </w:rPr>
        <w:drawing>
          <wp:inline distT="0" distB="0" distL="0" distR="0">
            <wp:extent cx="4552950" cy="3422154"/>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srcRect/>
                    <a:stretch>
                      <a:fillRect/>
                    </a:stretch>
                  </pic:blipFill>
                  <pic:spPr bwMode="auto">
                    <a:xfrm>
                      <a:off x="0" y="0"/>
                      <a:ext cx="4552950" cy="3422154"/>
                    </a:xfrm>
                    <a:prstGeom prst="rect">
                      <a:avLst/>
                    </a:prstGeom>
                    <a:noFill/>
                    <a:ln w="9525">
                      <a:noFill/>
                      <a:miter lim="800000"/>
                      <a:headEnd/>
                      <a:tailEnd/>
                    </a:ln>
                  </pic:spPr>
                </pic:pic>
              </a:graphicData>
            </a:graphic>
          </wp:inline>
        </w:drawing>
      </w:r>
    </w:p>
    <w:p w:rsidR="00C44342" w:rsidRDefault="00C44342" w:rsidP="00230D99">
      <w:pPr>
        <w:jc w:val="center"/>
      </w:pPr>
    </w:p>
    <w:p w:rsidR="00C44342" w:rsidRDefault="00C44342" w:rsidP="00C44342">
      <w:pPr>
        <w:widowControl/>
        <w:autoSpaceDE w:val="0"/>
        <w:autoSpaceDN w:val="0"/>
        <w:adjustRightInd w:val="0"/>
        <w:rPr>
          <w:rFonts w:ascii="TimesNewRoman,Italic" w:hAnsi="TimesNewRoman,Italic" w:cs="TimesNewRoman,Italic"/>
          <w:i/>
          <w:iCs/>
          <w:kern w:val="0"/>
          <w:sz w:val="20"/>
          <w:szCs w:val="20"/>
          <w:lang w:eastAsia="zh-CN" w:bidi="hi-IN"/>
        </w:rPr>
      </w:pPr>
      <w:r>
        <w:rPr>
          <w:rFonts w:ascii="TimesNewRoman,Italic" w:hAnsi="TimesNewRoman,Italic" w:cs="TimesNewRoman,Italic"/>
          <w:i/>
          <w:iCs/>
          <w:kern w:val="0"/>
          <w:sz w:val="20"/>
          <w:szCs w:val="20"/>
          <w:lang w:eastAsia="zh-CN" w:bidi="hi-IN"/>
        </w:rPr>
        <w:t>.</w:t>
      </w:r>
      <w:r w:rsidR="00CF45A6">
        <w:rPr>
          <w:rFonts w:ascii="TimesNewRoman,Italic" w:hAnsi="TimesNewRoman,Italic" w:cs="TimesNewRoman,Italic"/>
          <w:i/>
          <w:iCs/>
          <w:kern w:val="0"/>
          <w:sz w:val="20"/>
          <w:szCs w:val="20"/>
          <w:lang w:eastAsia="zh-CN" w:bidi="hi-IN"/>
        </w:rPr>
        <w:t>Experiments</w:t>
      </w:r>
    </w:p>
    <w:p w:rsidR="00C44342" w:rsidRDefault="00CF45A6" w:rsidP="00E738AD">
      <w:pPr>
        <w:ind w:firstLine="245"/>
        <w:jc w:val="both"/>
        <w:rPr>
          <w:sz w:val="20"/>
          <w:szCs w:val="20"/>
        </w:rPr>
      </w:pPr>
      <w:r>
        <w:rPr>
          <w:sz w:val="20"/>
          <w:szCs w:val="20"/>
        </w:rPr>
        <w:t xml:space="preserve">We conducted experiments </w:t>
      </w:r>
      <w:r w:rsidR="00F81904">
        <w:rPr>
          <w:sz w:val="20"/>
          <w:szCs w:val="20"/>
        </w:rPr>
        <w:t xml:space="preserve">based </w:t>
      </w:r>
      <w:r>
        <w:rPr>
          <w:sz w:val="20"/>
          <w:szCs w:val="20"/>
        </w:rPr>
        <w:t>on our prototype</w:t>
      </w:r>
      <w:r w:rsidR="00C44342">
        <w:rPr>
          <w:sz w:val="20"/>
          <w:szCs w:val="20"/>
        </w:rPr>
        <w:t xml:space="preserve">. </w:t>
      </w:r>
      <w:r>
        <w:rPr>
          <w:sz w:val="20"/>
          <w:szCs w:val="20"/>
        </w:rPr>
        <w:t xml:space="preserve"> </w:t>
      </w:r>
      <w:r w:rsidR="001043AE">
        <w:rPr>
          <w:sz w:val="20"/>
          <w:szCs w:val="20"/>
        </w:rPr>
        <w:t xml:space="preserve">We pre-defined a number of services for each sensor node in our </w:t>
      </w:r>
      <w:proofErr w:type="spellStart"/>
      <w:r w:rsidR="001043AE">
        <w:rPr>
          <w:sz w:val="20"/>
          <w:szCs w:val="20"/>
        </w:rPr>
        <w:t>testbed</w:t>
      </w:r>
      <w:proofErr w:type="spellEnd"/>
      <w:r w:rsidR="001043AE">
        <w:rPr>
          <w:sz w:val="20"/>
          <w:szCs w:val="20"/>
        </w:rPr>
        <w:t xml:space="preserve">. </w:t>
      </w:r>
      <w:r w:rsidR="00175AA0">
        <w:rPr>
          <w:sz w:val="20"/>
          <w:szCs w:val="20"/>
        </w:rPr>
        <w:t xml:space="preserve">Similar </w:t>
      </w:r>
      <w:r w:rsidR="00FF6F35">
        <w:rPr>
          <w:sz w:val="20"/>
          <w:szCs w:val="20"/>
        </w:rPr>
        <w:t xml:space="preserve">to our simulation, we use </w:t>
      </w:r>
      <w:r w:rsidR="001940B9">
        <w:rPr>
          <w:sz w:val="20"/>
          <w:szCs w:val="20"/>
        </w:rPr>
        <w:t xml:space="preserve">CEN as a reference for performance comparison. We implemented CEN based on existing </w:t>
      </w:r>
      <w:r w:rsidR="00514A12">
        <w:rPr>
          <w:sz w:val="20"/>
          <w:szCs w:val="20"/>
        </w:rPr>
        <w:t>CTP</w:t>
      </w:r>
      <w:r w:rsidR="001940B9">
        <w:rPr>
          <w:sz w:val="20"/>
          <w:szCs w:val="20"/>
        </w:rPr>
        <w:t xml:space="preserve"> </w:t>
      </w:r>
      <w:r w:rsidR="00514A12">
        <w:rPr>
          <w:sz w:val="20"/>
          <w:szCs w:val="20"/>
        </w:rPr>
        <w:t>in</w:t>
      </w:r>
      <w:r w:rsidR="001940B9">
        <w:rPr>
          <w:sz w:val="20"/>
          <w:szCs w:val="20"/>
        </w:rPr>
        <w:t xml:space="preserve"> </w:t>
      </w:r>
      <w:proofErr w:type="spellStart"/>
      <w:r w:rsidR="001940B9">
        <w:rPr>
          <w:sz w:val="20"/>
          <w:szCs w:val="20"/>
        </w:rPr>
        <w:t>TinyOS</w:t>
      </w:r>
      <w:proofErr w:type="spellEnd"/>
      <w:r w:rsidR="001940B9">
        <w:rPr>
          <w:sz w:val="20"/>
          <w:szCs w:val="20"/>
        </w:rPr>
        <w:t xml:space="preserve"> where the nodes will send their </w:t>
      </w:r>
      <w:r w:rsidR="001940B9">
        <w:rPr>
          <w:sz w:val="20"/>
          <w:szCs w:val="20"/>
        </w:rPr>
        <w:lastRenderedPageBreak/>
        <w:t xml:space="preserve">available services to sink for composition. </w:t>
      </w:r>
      <w:r w:rsidR="007D406D">
        <w:rPr>
          <w:sz w:val="20"/>
          <w:szCs w:val="20"/>
        </w:rPr>
        <w:t xml:space="preserve">We use message cost and delay as metrics for the experiments and study the performance according to </w:t>
      </w: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oMath>
      <w:r w:rsidR="007D406D">
        <w:rPr>
          <w:sz w:val="20"/>
          <w:szCs w:val="20"/>
        </w:rPr>
        <w:t xml:space="preserve"> of SCP. </w:t>
      </w:r>
      <w:r w:rsidR="001043AE">
        <w:rPr>
          <w:sz w:val="20"/>
          <w:szCs w:val="20"/>
        </w:rPr>
        <w:t xml:space="preserve">The </w:t>
      </w:r>
      <w:r w:rsidR="00F60AD1">
        <w:rPr>
          <w:sz w:val="20"/>
          <w:szCs w:val="20"/>
        </w:rPr>
        <w:t xml:space="preserve">experimental </w:t>
      </w:r>
      <w:r w:rsidR="001043AE">
        <w:rPr>
          <w:sz w:val="20"/>
          <w:szCs w:val="20"/>
        </w:rPr>
        <w:t xml:space="preserve">results </w:t>
      </w:r>
      <w:r w:rsidR="00F53E66">
        <w:rPr>
          <w:sz w:val="20"/>
          <w:szCs w:val="20"/>
        </w:rPr>
        <w:t xml:space="preserve">for </w:t>
      </w:r>
      <w:r w:rsidR="00E738AD">
        <w:rPr>
          <w:sz w:val="20"/>
          <w:szCs w:val="20"/>
        </w:rPr>
        <w:t>message cost</w:t>
      </w:r>
      <w:r w:rsidR="00F60AD1">
        <w:rPr>
          <w:sz w:val="20"/>
          <w:szCs w:val="20"/>
        </w:rPr>
        <w:t xml:space="preserve"> </w:t>
      </w:r>
      <w:r w:rsidR="001043AE">
        <w:rPr>
          <w:sz w:val="20"/>
          <w:szCs w:val="20"/>
        </w:rPr>
        <w:t xml:space="preserve">are shown in the </w:t>
      </w:r>
      <w:r w:rsidR="00E738AD">
        <w:rPr>
          <w:sz w:val="20"/>
          <w:szCs w:val="20"/>
        </w:rPr>
        <w:t>F</w:t>
      </w:r>
      <w:r w:rsidR="001043AE">
        <w:rPr>
          <w:sz w:val="20"/>
          <w:szCs w:val="20"/>
        </w:rPr>
        <w:t>igures XXX.</w:t>
      </w:r>
      <w:r w:rsidR="00E738AD">
        <w:rPr>
          <w:sz w:val="20"/>
          <w:szCs w:val="20"/>
        </w:rPr>
        <w:t xml:space="preserve"> The data in </w:t>
      </w:r>
      <w:r w:rsidR="00D31E35">
        <w:rPr>
          <w:sz w:val="20"/>
          <w:szCs w:val="20"/>
        </w:rPr>
        <w:t>Sub-f</w:t>
      </w:r>
      <w:r w:rsidR="00E738AD">
        <w:rPr>
          <w:sz w:val="20"/>
          <w:szCs w:val="20"/>
        </w:rPr>
        <w:t>igure (a) are obtained from</w:t>
      </w:r>
      <w:r w:rsidR="004E4BB6">
        <w:rPr>
          <w:sz w:val="20"/>
          <w:szCs w:val="20"/>
        </w:rPr>
        <w:t xml:space="preserve"> experiments on</w:t>
      </w:r>
      <w:r w:rsidR="00E738AD">
        <w:rPr>
          <w:sz w:val="20"/>
          <w:szCs w:val="20"/>
        </w:rPr>
        <w:t xml:space="preserve"> </w:t>
      </w:r>
      <w:r w:rsidR="004E4BB6">
        <w:rPr>
          <w:sz w:val="20"/>
          <w:szCs w:val="20"/>
        </w:rPr>
        <w:t xml:space="preserve">10 pre-defined services while the data in </w:t>
      </w:r>
      <w:r w:rsidR="00D31E35">
        <w:rPr>
          <w:sz w:val="20"/>
          <w:szCs w:val="20"/>
        </w:rPr>
        <w:t>Sub-f</w:t>
      </w:r>
      <w:r w:rsidR="004E4BB6">
        <w:rPr>
          <w:sz w:val="20"/>
          <w:szCs w:val="20"/>
        </w:rPr>
        <w:t>igure (b) are obtained from experiments on 20 pre-defined services.</w:t>
      </w:r>
      <w:r w:rsidR="00E738AD">
        <w:rPr>
          <w:sz w:val="20"/>
          <w:szCs w:val="20"/>
        </w:rPr>
        <w:t xml:space="preserve"> </w:t>
      </w:r>
      <w:r w:rsidR="007D406D">
        <w:rPr>
          <w:sz w:val="20"/>
          <w:szCs w:val="20"/>
        </w:rPr>
        <w:t xml:space="preserve">Compared to CEN, </w:t>
      </w:r>
      <w:proofErr w:type="spellStart"/>
      <w:r w:rsidR="007D406D">
        <w:rPr>
          <w:sz w:val="20"/>
          <w:szCs w:val="20"/>
        </w:rPr>
        <w:t>LaSeC</w:t>
      </w:r>
      <w:proofErr w:type="spellEnd"/>
      <w:r w:rsidR="007D406D">
        <w:rPr>
          <w:sz w:val="20"/>
          <w:szCs w:val="20"/>
        </w:rPr>
        <w:t xml:space="preserve"> can reduce the </w:t>
      </w:r>
      <w:r w:rsidR="00F53E66">
        <w:rPr>
          <w:sz w:val="20"/>
          <w:szCs w:val="20"/>
        </w:rPr>
        <w:t xml:space="preserve">message </w:t>
      </w:r>
      <w:r w:rsidR="007D406D">
        <w:rPr>
          <w:sz w:val="20"/>
          <w:szCs w:val="20"/>
        </w:rPr>
        <w:t xml:space="preserve">cost </w:t>
      </w:r>
      <w:r w:rsidR="00B473B1">
        <w:rPr>
          <w:sz w:val="20"/>
          <w:szCs w:val="20"/>
        </w:rPr>
        <w:t xml:space="preserve">by </w:t>
      </w:r>
      <w:r w:rsidR="00E738AD">
        <w:rPr>
          <w:sz w:val="20"/>
          <w:szCs w:val="20"/>
        </w:rPr>
        <w:t>over</w:t>
      </w:r>
      <w:r w:rsidR="00F60AD1">
        <w:rPr>
          <w:sz w:val="20"/>
          <w:szCs w:val="20"/>
        </w:rPr>
        <w:t xml:space="preserve"> 5</w:t>
      </w:r>
      <w:r w:rsidR="00B473B1">
        <w:rPr>
          <w:sz w:val="20"/>
          <w:szCs w:val="20"/>
        </w:rPr>
        <w:t>0%.</w:t>
      </w:r>
      <w:r w:rsidR="00F53E66">
        <w:rPr>
          <w:sz w:val="20"/>
          <w:szCs w:val="20"/>
        </w:rPr>
        <w:t xml:space="preserve"> This is primarily because of </w:t>
      </w:r>
      <w:proofErr w:type="spellStart"/>
      <w:r w:rsidR="00F53E66">
        <w:rPr>
          <w:sz w:val="20"/>
          <w:szCs w:val="20"/>
        </w:rPr>
        <w:t>LaSeC’s</w:t>
      </w:r>
      <w:proofErr w:type="spellEnd"/>
      <w:r w:rsidR="00F53E66">
        <w:rPr>
          <w:sz w:val="20"/>
          <w:szCs w:val="20"/>
        </w:rPr>
        <w:t xml:space="preserve"> </w:t>
      </w:r>
      <w:r w:rsidR="00E738AD">
        <w:rPr>
          <w:sz w:val="20"/>
          <w:szCs w:val="20"/>
        </w:rPr>
        <w:t>decentralized</w:t>
      </w:r>
      <w:r w:rsidR="00F53E66">
        <w:rPr>
          <w:sz w:val="20"/>
          <w:szCs w:val="20"/>
        </w:rPr>
        <w:t xml:space="preserve"> service composition. Unlike CTP where all the messages must be transmitted to the sink, </w:t>
      </w:r>
      <w:r w:rsidR="00F53E66">
        <w:rPr>
          <w:sz w:val="20"/>
          <w:szCs w:val="20"/>
        </w:rPr>
        <w:t>a lot of</w:t>
      </w:r>
      <w:r w:rsidR="00F53E66">
        <w:rPr>
          <w:sz w:val="20"/>
          <w:szCs w:val="20"/>
        </w:rPr>
        <w:t xml:space="preserve"> messages in </w:t>
      </w:r>
      <w:proofErr w:type="spellStart"/>
      <w:r w:rsidR="00E738AD">
        <w:rPr>
          <w:sz w:val="20"/>
          <w:szCs w:val="20"/>
        </w:rPr>
        <w:t>LaSeC</w:t>
      </w:r>
      <w:proofErr w:type="spellEnd"/>
      <w:r w:rsidR="00E738AD">
        <w:rPr>
          <w:sz w:val="20"/>
          <w:szCs w:val="20"/>
        </w:rPr>
        <w:t xml:space="preserve"> are processed in-network. </w:t>
      </w:r>
      <w:r w:rsidR="008B15BF">
        <w:rPr>
          <w:sz w:val="20"/>
          <w:szCs w:val="20"/>
        </w:rPr>
        <w:t>In addition</w:t>
      </w:r>
      <w:r w:rsidR="004E4BB6">
        <w:rPr>
          <w:sz w:val="20"/>
          <w:szCs w:val="20"/>
        </w:rPr>
        <w:t xml:space="preserve">, </w:t>
      </w:r>
      <w:proofErr w:type="spellStart"/>
      <w:r w:rsidR="004E4BB6">
        <w:rPr>
          <w:sz w:val="20"/>
          <w:szCs w:val="20"/>
        </w:rPr>
        <w:t>LaSeC</w:t>
      </w:r>
      <w:proofErr w:type="spellEnd"/>
      <w:r w:rsidR="004E4BB6">
        <w:rPr>
          <w:sz w:val="20"/>
          <w:szCs w:val="20"/>
        </w:rPr>
        <w:t xml:space="preserve"> also scale better when the number of services </w:t>
      </w:r>
      <w:r w:rsidR="008B15BF">
        <w:rPr>
          <w:sz w:val="20"/>
          <w:szCs w:val="20"/>
        </w:rPr>
        <w:t>increases</w:t>
      </w:r>
      <w:r w:rsidR="004E4BB6">
        <w:rPr>
          <w:sz w:val="20"/>
          <w:szCs w:val="20"/>
        </w:rPr>
        <w:t xml:space="preserve">. </w:t>
      </w:r>
      <w:r w:rsidR="008B15BF">
        <w:rPr>
          <w:sz w:val="20"/>
          <w:szCs w:val="20"/>
        </w:rPr>
        <w:t xml:space="preserve">This is because when the number of services increases, the number of messages to be sent to the sink in CEN will increase accordingly. This inevitably causes a lot of packet collisions and message re-transmission.  </w:t>
      </w:r>
      <w:r w:rsidR="00F53E66">
        <w:rPr>
          <w:sz w:val="20"/>
          <w:szCs w:val="20"/>
        </w:rPr>
        <w:t>We believe such cost saving is of particular significance when considering the fact that many devices in pervasive computing environment are battery-powered.</w:t>
      </w:r>
    </w:p>
    <w:p w:rsidR="00EF73F1" w:rsidRDefault="00EF73F1" w:rsidP="00C44342">
      <w:pPr>
        <w:ind w:firstLine="245"/>
        <w:jc w:val="both"/>
        <w:rPr>
          <w:sz w:val="20"/>
          <w:szCs w:val="20"/>
        </w:rPr>
      </w:pPr>
    </w:p>
    <w:tbl>
      <w:tblPr>
        <w:tblStyle w:val="TableGrid"/>
        <w:tblW w:w="0" w:type="auto"/>
        <w:jc w:val="center"/>
        <w:tblInd w:w="108" w:type="dxa"/>
        <w:tblLook w:val="01E0" w:firstRow="1" w:lastRow="1" w:firstColumn="1" w:lastColumn="1" w:noHBand="0" w:noVBand="0"/>
      </w:tblPr>
      <w:tblGrid>
        <w:gridCol w:w="4067"/>
        <w:gridCol w:w="4186"/>
      </w:tblGrid>
      <w:tr w:rsidR="00EF73F1" w:rsidTr="00D31E35">
        <w:trPr>
          <w:trHeight w:val="794"/>
          <w:jc w:val="center"/>
        </w:trPr>
        <w:tc>
          <w:tcPr>
            <w:tcW w:w="3619" w:type="dxa"/>
          </w:tcPr>
          <w:p w:rsidR="00EF73F1" w:rsidRPr="00360D4A" w:rsidRDefault="004675E0" w:rsidP="00EF73F1">
            <w:pPr>
              <w:snapToGrid w:val="0"/>
              <w:jc w:val="center"/>
              <w:rPr>
                <w:rFonts w:eastAsia="SimSun"/>
                <w:b/>
                <w:bCs/>
                <w:sz w:val="18"/>
                <w:szCs w:val="18"/>
                <w:lang w:eastAsia="zh-CN"/>
              </w:rPr>
            </w:pPr>
            <w:r>
              <w:rPr>
                <w:rFonts w:eastAsia="SimSun"/>
                <w:b/>
                <w:bCs/>
                <w:noProof/>
                <w:sz w:val="18"/>
                <w:szCs w:val="18"/>
                <w:lang w:eastAsia="zh-CN"/>
              </w:rPr>
              <w:drawing>
                <wp:inline distT="0" distB="0" distL="0" distR="0">
                  <wp:extent cx="2445438" cy="1838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5438" cy="1838324"/>
                          </a:xfrm>
                          <a:prstGeom prst="rect">
                            <a:avLst/>
                          </a:prstGeom>
                          <a:noFill/>
                          <a:ln>
                            <a:noFill/>
                          </a:ln>
                        </pic:spPr>
                      </pic:pic>
                    </a:graphicData>
                  </a:graphic>
                </wp:inline>
              </w:drawing>
            </w:r>
          </w:p>
        </w:tc>
        <w:tc>
          <w:tcPr>
            <w:tcW w:w="3635" w:type="dxa"/>
          </w:tcPr>
          <w:p w:rsidR="00EF73F1" w:rsidRPr="004D1C3C" w:rsidRDefault="004675E0" w:rsidP="00EF73F1">
            <w:pPr>
              <w:snapToGrid w:val="0"/>
              <w:jc w:val="center"/>
              <w:rPr>
                <w:rFonts w:eastAsia="SimSun"/>
                <w:b/>
                <w:bCs/>
                <w:sz w:val="18"/>
                <w:szCs w:val="18"/>
                <w:lang w:eastAsia="zh-CN"/>
              </w:rPr>
            </w:pPr>
            <w:r>
              <w:rPr>
                <w:noProof/>
                <w:lang w:eastAsia="zh-CN"/>
              </w:rPr>
              <w:drawing>
                <wp:inline distT="0" distB="0" distL="0" distR="0">
                  <wp:extent cx="2521462" cy="1895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1462" cy="1895474"/>
                          </a:xfrm>
                          <a:prstGeom prst="rect">
                            <a:avLst/>
                          </a:prstGeom>
                          <a:noFill/>
                          <a:ln>
                            <a:noFill/>
                          </a:ln>
                        </pic:spPr>
                      </pic:pic>
                    </a:graphicData>
                  </a:graphic>
                </wp:inline>
              </w:drawing>
            </w:r>
          </w:p>
        </w:tc>
      </w:tr>
      <w:tr w:rsidR="00EF73F1" w:rsidTr="00D31E35">
        <w:trPr>
          <w:trHeight w:val="338"/>
          <w:jc w:val="center"/>
        </w:trPr>
        <w:tc>
          <w:tcPr>
            <w:tcW w:w="3619" w:type="dxa"/>
          </w:tcPr>
          <w:p w:rsidR="00EF73F1" w:rsidRPr="00ED14E1" w:rsidRDefault="00E738AD" w:rsidP="00E738AD">
            <w:pPr>
              <w:snapToGrid w:val="0"/>
              <w:jc w:val="center"/>
              <w:rPr>
                <w:rFonts w:eastAsia="SimSun"/>
                <w:sz w:val="18"/>
                <w:szCs w:val="18"/>
                <w:lang w:eastAsia="zh-CN"/>
              </w:rPr>
            </w:pPr>
            <w:r>
              <w:rPr>
                <w:rFonts w:eastAsia="SimSun"/>
                <w:sz w:val="18"/>
                <w:szCs w:val="18"/>
                <w:lang w:eastAsia="zh-CN"/>
              </w:rPr>
              <w:t>(a)</w:t>
            </w:r>
          </w:p>
        </w:tc>
        <w:tc>
          <w:tcPr>
            <w:tcW w:w="3635" w:type="dxa"/>
          </w:tcPr>
          <w:p w:rsidR="00EF73F1" w:rsidRPr="00ED14E1" w:rsidRDefault="00E738AD" w:rsidP="00E738AD">
            <w:pPr>
              <w:snapToGrid w:val="0"/>
              <w:jc w:val="center"/>
              <w:rPr>
                <w:rFonts w:eastAsia="SimSun"/>
                <w:sz w:val="18"/>
                <w:szCs w:val="18"/>
                <w:lang w:eastAsia="zh-CN"/>
              </w:rPr>
            </w:pPr>
            <w:r>
              <w:rPr>
                <w:rFonts w:eastAsia="SimSun"/>
                <w:sz w:val="18"/>
                <w:szCs w:val="18"/>
                <w:lang w:eastAsia="zh-CN"/>
              </w:rPr>
              <w:t>(b)</w:t>
            </w:r>
          </w:p>
        </w:tc>
      </w:tr>
    </w:tbl>
    <w:p w:rsidR="00D31E35" w:rsidRDefault="00D31E35" w:rsidP="00D31E35">
      <w:pPr>
        <w:jc w:val="both"/>
        <w:rPr>
          <w:sz w:val="20"/>
          <w:szCs w:val="20"/>
        </w:rPr>
      </w:pPr>
    </w:p>
    <w:p w:rsidR="00C44342" w:rsidRDefault="00D31E35" w:rsidP="00D31E35">
      <w:pPr>
        <w:jc w:val="both"/>
        <w:rPr>
          <w:sz w:val="20"/>
          <w:szCs w:val="20"/>
        </w:rPr>
      </w:pPr>
      <w:r>
        <w:rPr>
          <w:sz w:val="20"/>
          <w:szCs w:val="20"/>
        </w:rPr>
        <w:t>The experimental results for message delay are illustrated in Figure YYY. Similarly, t</w:t>
      </w:r>
      <w:r>
        <w:rPr>
          <w:sz w:val="20"/>
          <w:szCs w:val="20"/>
        </w:rPr>
        <w:t xml:space="preserve">he data in Sub-figure (a) are obtained from experiments on 10 pre-defined services while the data in Sub-figure (b) are obtained from experiments on 20 pre-defined services. </w:t>
      </w:r>
      <w:r>
        <w:rPr>
          <w:sz w:val="20"/>
          <w:szCs w:val="20"/>
        </w:rPr>
        <w:t xml:space="preserve"> We can see that on average, </w:t>
      </w:r>
      <w:proofErr w:type="spellStart"/>
      <w:r>
        <w:rPr>
          <w:sz w:val="20"/>
          <w:szCs w:val="20"/>
        </w:rPr>
        <w:t>LaSeC</w:t>
      </w:r>
      <w:proofErr w:type="spellEnd"/>
      <w:r>
        <w:rPr>
          <w:sz w:val="20"/>
          <w:szCs w:val="20"/>
        </w:rPr>
        <w:t xml:space="preserve"> achieves smaller delay, especially when there are more services in the environment. This is because in CEN, the delay is primarily introduced by message collision and packet retransmission when the devices try to deliver messages to the sink. On the other hand, the decentralized service composition in </w:t>
      </w:r>
      <w:proofErr w:type="spellStart"/>
      <w:r>
        <w:rPr>
          <w:sz w:val="20"/>
          <w:szCs w:val="20"/>
        </w:rPr>
        <w:t>LaSeC</w:t>
      </w:r>
      <w:proofErr w:type="spellEnd"/>
      <w:r>
        <w:rPr>
          <w:sz w:val="20"/>
          <w:szCs w:val="20"/>
        </w:rPr>
        <w:t xml:space="preserve"> allows more data to be processed in-network and hence, reduces the chance of packet collision.</w:t>
      </w:r>
    </w:p>
    <w:p w:rsidR="004675E0" w:rsidRDefault="004675E0" w:rsidP="00D31E35">
      <w:pPr>
        <w:jc w:val="both"/>
        <w:rPr>
          <w:sz w:val="20"/>
          <w:szCs w:val="20"/>
        </w:rPr>
      </w:pPr>
    </w:p>
    <w:tbl>
      <w:tblPr>
        <w:tblStyle w:val="TableGrid"/>
        <w:tblW w:w="0" w:type="auto"/>
        <w:jc w:val="center"/>
        <w:tblInd w:w="108" w:type="dxa"/>
        <w:tblLook w:val="01E0" w:firstRow="1" w:lastRow="1" w:firstColumn="1" w:lastColumn="1" w:noHBand="0" w:noVBand="0"/>
      </w:tblPr>
      <w:tblGrid>
        <w:gridCol w:w="4086"/>
        <w:gridCol w:w="4161"/>
      </w:tblGrid>
      <w:tr w:rsidR="004675E0" w:rsidTr="00B8114D">
        <w:trPr>
          <w:trHeight w:val="794"/>
          <w:jc w:val="center"/>
        </w:trPr>
        <w:tc>
          <w:tcPr>
            <w:tcW w:w="3619" w:type="dxa"/>
          </w:tcPr>
          <w:p w:rsidR="004675E0" w:rsidRPr="00360D4A" w:rsidRDefault="004675E0" w:rsidP="00B8114D">
            <w:pPr>
              <w:snapToGrid w:val="0"/>
              <w:jc w:val="center"/>
              <w:rPr>
                <w:rFonts w:eastAsia="SimSun"/>
                <w:b/>
                <w:bCs/>
                <w:sz w:val="18"/>
                <w:szCs w:val="18"/>
                <w:lang w:eastAsia="zh-CN"/>
              </w:rPr>
            </w:pPr>
            <w:r>
              <w:rPr>
                <w:noProof/>
                <w:lang w:eastAsia="zh-CN"/>
              </w:rPr>
              <w:drawing>
                <wp:inline distT="0" distB="0" distL="0" distR="0">
                  <wp:extent cx="2457450" cy="18473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2205" cy="1850927"/>
                          </a:xfrm>
                          <a:prstGeom prst="rect">
                            <a:avLst/>
                          </a:prstGeom>
                          <a:noFill/>
                          <a:ln>
                            <a:noFill/>
                          </a:ln>
                        </pic:spPr>
                      </pic:pic>
                    </a:graphicData>
                  </a:graphic>
                </wp:inline>
              </w:drawing>
            </w:r>
          </w:p>
        </w:tc>
        <w:tc>
          <w:tcPr>
            <w:tcW w:w="3635" w:type="dxa"/>
          </w:tcPr>
          <w:p w:rsidR="004675E0" w:rsidRPr="004D1C3C" w:rsidRDefault="004675E0" w:rsidP="00B8114D">
            <w:pPr>
              <w:snapToGrid w:val="0"/>
              <w:jc w:val="center"/>
              <w:rPr>
                <w:rFonts w:eastAsia="SimSun"/>
                <w:b/>
                <w:bCs/>
                <w:sz w:val="18"/>
                <w:szCs w:val="18"/>
                <w:lang w:eastAsia="zh-CN"/>
              </w:rPr>
            </w:pPr>
            <w:r>
              <w:rPr>
                <w:noProof/>
                <w:lang w:eastAsia="zh-CN"/>
              </w:rPr>
              <w:drawing>
                <wp:inline distT="0" distB="0" distL="0" distR="0">
                  <wp:extent cx="2505536" cy="1883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5536" cy="1883502"/>
                          </a:xfrm>
                          <a:prstGeom prst="rect">
                            <a:avLst/>
                          </a:prstGeom>
                          <a:noFill/>
                          <a:ln>
                            <a:noFill/>
                          </a:ln>
                        </pic:spPr>
                      </pic:pic>
                    </a:graphicData>
                  </a:graphic>
                </wp:inline>
              </w:drawing>
            </w:r>
          </w:p>
        </w:tc>
      </w:tr>
      <w:tr w:rsidR="004675E0" w:rsidTr="00B8114D">
        <w:trPr>
          <w:trHeight w:val="338"/>
          <w:jc w:val="center"/>
        </w:trPr>
        <w:tc>
          <w:tcPr>
            <w:tcW w:w="3619" w:type="dxa"/>
          </w:tcPr>
          <w:p w:rsidR="004675E0" w:rsidRPr="00ED14E1" w:rsidRDefault="004675E0" w:rsidP="00B8114D">
            <w:pPr>
              <w:snapToGrid w:val="0"/>
              <w:jc w:val="center"/>
              <w:rPr>
                <w:rFonts w:eastAsia="SimSun"/>
                <w:sz w:val="18"/>
                <w:szCs w:val="18"/>
                <w:lang w:eastAsia="zh-CN"/>
              </w:rPr>
            </w:pPr>
            <w:r>
              <w:rPr>
                <w:rFonts w:eastAsia="SimSun"/>
                <w:sz w:val="18"/>
                <w:szCs w:val="18"/>
                <w:lang w:eastAsia="zh-CN"/>
              </w:rPr>
              <w:t>(a)</w:t>
            </w:r>
          </w:p>
        </w:tc>
        <w:tc>
          <w:tcPr>
            <w:tcW w:w="3635" w:type="dxa"/>
          </w:tcPr>
          <w:p w:rsidR="004675E0" w:rsidRPr="00ED14E1" w:rsidRDefault="004675E0" w:rsidP="00B8114D">
            <w:pPr>
              <w:snapToGrid w:val="0"/>
              <w:jc w:val="center"/>
              <w:rPr>
                <w:rFonts w:eastAsia="SimSun"/>
                <w:sz w:val="18"/>
                <w:szCs w:val="18"/>
                <w:lang w:eastAsia="zh-CN"/>
              </w:rPr>
            </w:pPr>
            <w:bookmarkStart w:id="0" w:name="_GoBack"/>
            <w:bookmarkEnd w:id="0"/>
            <w:r>
              <w:rPr>
                <w:rFonts w:eastAsia="SimSun"/>
                <w:sz w:val="18"/>
                <w:szCs w:val="18"/>
                <w:lang w:eastAsia="zh-CN"/>
              </w:rPr>
              <w:t>(b)</w:t>
            </w:r>
          </w:p>
        </w:tc>
      </w:tr>
    </w:tbl>
    <w:p w:rsidR="004675E0" w:rsidRDefault="004675E0" w:rsidP="00D31E35">
      <w:pPr>
        <w:jc w:val="both"/>
      </w:pPr>
    </w:p>
    <w:sectPr w:rsidR="004675E0" w:rsidSect="00AC457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31400"/>
    <w:rsid w:val="00044202"/>
    <w:rsid w:val="001043AE"/>
    <w:rsid w:val="00175AA0"/>
    <w:rsid w:val="001940B9"/>
    <w:rsid w:val="00230D99"/>
    <w:rsid w:val="002661DE"/>
    <w:rsid w:val="004061FB"/>
    <w:rsid w:val="00431400"/>
    <w:rsid w:val="004675E0"/>
    <w:rsid w:val="004E4BB6"/>
    <w:rsid w:val="00514A12"/>
    <w:rsid w:val="006B751F"/>
    <w:rsid w:val="007D406D"/>
    <w:rsid w:val="00812C42"/>
    <w:rsid w:val="008B15BF"/>
    <w:rsid w:val="008B2624"/>
    <w:rsid w:val="00AB173A"/>
    <w:rsid w:val="00AC4576"/>
    <w:rsid w:val="00B42F92"/>
    <w:rsid w:val="00B473B1"/>
    <w:rsid w:val="00C44342"/>
    <w:rsid w:val="00C6200B"/>
    <w:rsid w:val="00CB44FD"/>
    <w:rsid w:val="00CE5CE3"/>
    <w:rsid w:val="00CF45A6"/>
    <w:rsid w:val="00D31E35"/>
    <w:rsid w:val="00E738AD"/>
    <w:rsid w:val="00EF73F1"/>
    <w:rsid w:val="00F53E66"/>
    <w:rsid w:val="00F60AD1"/>
    <w:rsid w:val="00F81904"/>
    <w:rsid w:val="00FD3010"/>
    <w:rsid w:val="00FE11D4"/>
    <w:rsid w:val="00FF6F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400"/>
    <w:pPr>
      <w:widowControl w:val="0"/>
      <w:spacing w:after="0" w:line="240" w:lineRule="auto"/>
    </w:pPr>
    <w:rPr>
      <w:rFonts w:ascii="Times New Roman" w:eastAsia="新細明體" w:hAnsi="Times New Roman" w:cs="Times New Roman"/>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31400"/>
    <w:pPr>
      <w:spacing w:after="0" w:line="240" w:lineRule="auto"/>
    </w:pPr>
    <w:rPr>
      <w:rFonts w:ascii="Times New Roman" w:eastAsia="新細明體"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1400"/>
    <w:rPr>
      <w:rFonts w:ascii="Tahoma" w:hAnsi="Tahoma" w:cs="Tahoma"/>
      <w:sz w:val="16"/>
      <w:szCs w:val="16"/>
    </w:rPr>
  </w:style>
  <w:style w:type="character" w:customStyle="1" w:styleId="BalloonTextChar">
    <w:name w:val="Balloon Text Char"/>
    <w:basedOn w:val="DefaultParagraphFont"/>
    <w:link w:val="BalloonText"/>
    <w:uiPriority w:val="99"/>
    <w:semiHidden/>
    <w:rsid w:val="00431400"/>
    <w:rPr>
      <w:rFonts w:ascii="Tahoma" w:eastAsia="新細明體" w:hAnsi="Tahoma" w:cs="Tahoma"/>
      <w:kern w:val="2"/>
      <w:sz w:val="16"/>
      <w:szCs w:val="16"/>
      <w:lang w:eastAsia="zh-TW"/>
    </w:rPr>
  </w:style>
  <w:style w:type="paragraph" w:styleId="ListParagraph">
    <w:name w:val="List Paragraph"/>
    <w:basedOn w:val="Normal"/>
    <w:uiPriority w:val="34"/>
    <w:qFormat/>
    <w:rsid w:val="004314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hkpu</dc:creator>
  <cp:keywords/>
  <dc:description/>
  <cp:lastModifiedBy>hkpu</cp:lastModifiedBy>
  <cp:revision>9</cp:revision>
  <dcterms:created xsi:type="dcterms:W3CDTF">2011-01-17T04:58:00Z</dcterms:created>
  <dcterms:modified xsi:type="dcterms:W3CDTF">2013-06-03T13:35:00Z</dcterms:modified>
</cp:coreProperties>
</file>