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Beyond GDP: Measuring Ghana's Standard of Living</w:t>
      </w:r>
    </w:p>
    <w:p>
      <w:pPr/>
      <w:r>
        <w:rPr>
          <w:i/>
        </w:rPr>
        <w:t xml:space="preserve">A paper on the growth–welfare gap in Ghana and a proposed composite measure of living standards</w:t>
      </w:r>
    </w:p>
    <w:p>
      <w:pPr>
        <w:pStyle w:val="Heading2"/>
      </w:pPr>
      <w:r>
        <w:t xml:space="preserve">1. Introduction</w:t>
      </w:r>
    </w:p>
    <w:p>
      <w:pPr/>
      <w:r>
        <w:t xml:space="preserve">Ghana's national accounts tell a story of success. Real GDP grew by roughly 6.0% in 2025 — the fastest pace since 2019 — and accelerated further to about 6.4% in the first half of 2026, with non-oil GDP growing even faster, at 7.6%, suggesting the recovery is broad-based rather than commodity-driven. The economy crossed the $100 billion mark in 2026. Yet this headline strength sits uneasily beside everyday experience: household budgets remain stretched, wages have not kept pace with the cost of living, and job creation has lagged behind output growth. The World Bank's own country director has described Ghana's recovery as "structurally incomplete," warning that strong headline growth alone will not guarantee improvements in living standards so long as poverty, weak job creation and infrastructure gaps persist.</w:t>
      </w:r>
    </w:p>
    <w:p>
      <w:pPr/>
      <w:r>
        <w:t xml:space="preserve">This paper asks a simple question: if GDP is rising, why doesn't it feel that way? The answer lies partly in what GDP was built to measure, partly in what it was never designed to capture, and partly in how growth is distributed once it occurs. The paper sets out what GDP does and does not measure, what it was originally created for, how Ghana's own data illustrates the gap between output and welfare, and closes with a proposed composite Standard of Living Index tailored to the Ghanaian context.</w:t>
      </w:r>
    </w:p>
    <w:p>
      <w:pPr>
        <w:pStyle w:val="Heading2"/>
      </w:pPr>
      <w:r>
        <w:t xml:space="preserve">2. What GDP Actually Measures</w:t>
      </w:r>
    </w:p>
    <w:p>
      <w:pPr/>
      <w:r>
        <w:t xml:space="preserve">Gross Domestic Product is the total monetary value of all final goods and services produced within a country's borders in a given period. It can be calculated three equivalent ways:</w:t>
      </w:r>
    </w:p>
    <w:p>
      <w:pPr>
        <w:pStyle w:val="ListParagraph"/>
        <w:numPr>
          <w:ilvl w:val="0"/>
          <w:numId w:val="2"/>
        </w:numPr>
      </w:pPr>
      <w:r>
        <w:rPr>
          <w:b/>
        </w:rPr>
        <w:t xml:space="preserve">Production approach</w:t>
      </w:r>
      <w:r>
        <w:t xml:space="preserve"> — the sum of value added across all sectors (agriculture, industry, services).</w:t>
      </w:r>
    </w:p>
    <w:p>
      <w:pPr>
        <w:pStyle w:val="ListParagraph"/>
        <w:numPr>
          <w:ilvl w:val="0"/>
          <w:numId w:val="2"/>
        </w:numPr>
      </w:pPr>
      <w:r>
        <w:rPr>
          <w:b/>
        </w:rPr>
        <w:t xml:space="preserve">Income approach</w:t>
      </w:r>
      <w:r>
        <w:t xml:space="preserve"> — the sum of wages, profits, rents and taxes earned in production.</w:t>
      </w:r>
    </w:p>
    <w:p>
      <w:pPr>
        <w:pStyle w:val="ListParagraph"/>
        <w:numPr>
          <w:ilvl w:val="0"/>
          <w:numId w:val="2"/>
        </w:numPr>
      </w:pPr>
      <w:r>
        <w:rPr>
          <w:b/>
        </w:rPr>
        <w:t xml:space="preserve">Expenditure approach</w:t>
      </w:r>
      <w:r>
        <w:t xml:space="preserve"> — C + I + G + (X − M): consumption, investment, government spending, and net exports.</w:t>
      </w:r>
    </w:p>
    <w:p>
      <w:pPr/>
      <w:r>
        <w:t xml:space="preserve">GDP is, by design, a measure of the </w:t>
      </w:r>
      <w:r>
        <w:rPr>
          <w:i/>
        </w:rPr>
        <w:t xml:space="preserve">flow</w:t>
      </w:r>
      <w:r>
        <w:t xml:space="preserve"> of market-priced economic activity in a period. It tells you how much was produced and transacted, and — through GDP per capita — gives a rough average of income per person. That is genuinely useful information: it signals the overall size and momentum of an economy, informs fiscal and monetary policy, and is the yardstick used for debt sustainability ratios, IMF programme targets, and international investment comparisons. Ghana's debt-to-GDP ratio, now on a declining path toward roughly 76% by 2026, and its fiscal deficit figures are only meaningful because of this GDP denominator.</w:t>
      </w:r>
    </w:p>
    <w:p>
      <w:pPr>
        <w:pStyle w:val="Heading2"/>
      </w:pPr>
      <w:r>
        <w:t xml:space="preserve">3. What GDP Was Built For</w:t>
      </w:r>
    </w:p>
    <w:p>
      <w:pPr/>
      <w:r>
        <w:t xml:space="preserve">GDP was never intended as a welfare measure. It was formalized in the 1930s and 1940s, principally by Simon Kuznets for the US Congress, as a wartime and Depression-era tool to answer one question: how much productive capacity does a national economy have, and how is it changing? Kuznets himself warned against treating it as a proxy for wellbeing, writing that the welfare of a nation could scarcely be inferred from a measure of national income.</w:t>
      </w:r>
    </w:p>
    <w:p>
      <w:pPr/>
      <w:r>
        <w:t xml:space="preserve">GDP's purpose, then and now, is narrower than it is often treated as:</w:t>
      </w:r>
    </w:p>
    <w:p>
      <w:pPr>
        <w:pStyle w:val="ListParagraph"/>
        <w:numPr>
          <w:ilvl w:val="0"/>
          <w:numId w:val="3"/>
        </w:numPr>
      </w:pPr>
      <w:r>
        <w:t xml:space="preserve">To track the scale and growth rate of market production.</w:t>
      </w:r>
    </w:p>
    <w:p>
      <w:pPr>
        <w:pStyle w:val="ListParagraph"/>
        <w:numPr>
          <w:ilvl w:val="0"/>
          <w:numId w:val="3"/>
        </w:numPr>
      </w:pPr>
      <w:r>
        <w:t xml:space="preserve">To give governments and central banks a basis for countercyclical policy (stimulus, interest rates).</w:t>
      </w:r>
    </w:p>
    <w:p>
      <w:pPr>
        <w:pStyle w:val="ListParagraph"/>
        <w:numPr>
          <w:ilvl w:val="0"/>
          <w:numId w:val="3"/>
        </w:numPr>
      </w:pPr>
      <w:r>
        <w:t xml:space="preserve">To benchmark one economy against another, and one period against another, in comparable monetary terms.</w:t>
      </w:r>
    </w:p>
    <w:p>
      <w:pPr>
        <w:pStyle w:val="ListParagraph"/>
        <w:numPr>
          <w:ilvl w:val="0"/>
          <w:numId w:val="3"/>
        </w:numPr>
      </w:pPr>
      <w:r>
        <w:t xml:space="preserve">To serve as a denominator for ratios that matter to creditors and investors (debt/GDP, deficit/GDP).</w:t>
      </w:r>
    </w:p>
    <w:p>
      <w:pPr/>
      <w:r>
        <w:t xml:space="preserve">It was never built to measure distribution, sustainability, health, happiness, free time, unpaid work, or the depletion of natural capital — and it does not.</w:t>
      </w:r>
    </w:p>
    <w:p>
      <w:pPr>
        <w:pStyle w:val="Heading2"/>
      </w:pPr>
      <w:r>
        <w:t xml:space="preserve">4. What GDP Does Not Measure</w:t>
      </w:r>
    </w:p>
    <w:p>
      <w:pPr/>
      <w:r>
        <w:t xml:space="preserve">The gap between Ghana's growth numbers and lived experience is explained almost entirely by what falls outside GDP's scope:</w:t>
      </w:r>
    </w:p>
    <w:p>
      <w:pPr/>
      <w:r>
        <w:rPr>
          <w:b/>
        </w:rPr>
        <w:t xml:space="preserve">Distribution of income.</w:t>
      </w:r>
      <w:r>
        <w:t xml:space="preserve"> GDP is an aggregate and an average; it says nothing about how output is shared. Ghana's Gini coefficient sits around 43–44, indicating substantial inequality, so a rising average can mask stagnant or falling incomes for a large share of the population. Ghana's own Inequality-adjusted HDI (IHDI) is about 0.399 against a headline HDI of 0.628 — a loss of roughly 36% of potential human development once inequality is factored in.</w:t>
      </w:r>
    </w:p>
    <w:p>
      <w:pPr/>
      <w:r>
        <w:rPr>
          <w:b/>
        </w:rPr>
        <w:t xml:space="preserve">Cost of living and purchasing power.</w:t>
      </w:r>
      <w:r>
        <w:t xml:space="preserve"> GDP growth in current prices can coexist with falling real wages if inflation erodes purchasing power faster than nominal pay rises. This is precisely the mechanism commentators have pointed to in Ghana's 2025–2026 experience: growth strong, but wages not rising proportionately to living costs.</w:t>
      </w:r>
    </w:p>
    <w:p>
      <w:pPr/>
      <w:r>
        <w:rPr>
          <w:b/>
        </w:rPr>
        <w:t xml:space="preserve">Unpaid and informal work.</w:t>
      </w:r>
      <w:r>
        <w:t xml:space="preserve"> Subsistence farming, informal trading, and household/caregiving labour — all central to the lived Ghanaian economy — are poorly captured or entirely excluded from formal GDP accounting, even though they represent real production and welfare.</w:t>
      </w:r>
    </w:p>
    <w:p>
      <w:pPr/>
      <w:r>
        <w:rPr>
          <w:b/>
        </w:rPr>
        <w:t xml:space="preserve">Employment quality.</w:t>
      </w:r>
      <w:r>
        <w:t xml:space="preserve"> GDP can rise through capital-intensive sectors (oil, mining) that create relatively few jobs, while the broader labour market sees weak formal job creation — exactly the pattern the World Bank flagged for Ghana.</w:t>
      </w:r>
    </w:p>
    <w:p>
      <w:pPr/>
      <w:r>
        <w:rPr>
          <w:b/>
        </w:rPr>
        <w:t xml:space="preserve">Health, education and capability.</w:t>
      </w:r>
      <w:r>
        <w:t xml:space="preserve"> GDP captures spending on healthcare and schooling as output, but not outcomes — not life expectancy, literacy, or learning quality.</w:t>
      </w:r>
    </w:p>
    <w:p>
      <w:pPr/>
      <w:r>
        <w:rPr>
          <w:b/>
        </w:rPr>
        <w:t xml:space="preserve">Environmental and resource depletion.</w:t>
      </w:r>
      <w:r>
        <w:t xml:space="preserve"> Extracting gold, oil, or timber adds to GDP whether or not it is done sustainably; the depletion of natural capital is not subtracted.</w:t>
      </w:r>
    </w:p>
    <w:p>
      <w:pPr/>
      <w:r>
        <w:rPr>
          <w:b/>
        </w:rPr>
        <w:t xml:space="preserve">Non-market wellbeing.</w:t>
      </w:r>
      <w:r>
        <w:t xml:space="preserve"> Safety, trust, leisure, social cohesion, and subjective happiness have no place in a monetary production measure.</w:t>
      </w:r>
    </w:p>
    <w:p>
      <w:pPr/>
      <w:r>
        <w:rPr>
          <w:b/>
        </w:rPr>
        <w:t xml:space="preserve">Debt-financed consumption.</w:t>
      </w:r>
      <w:r>
        <w:t xml:space="preserve"> GDP cannot distinguish growth funded by productive investment from growth funded by unsustainable borrowing.</w:t>
      </w:r>
    </w:p>
    <w:p>
      <w:pPr/>
      <w:r>
        <w:t xml:space="preserve">The practical result for Ghana: multidimensional poverty has reportedly fallen (from about 24.9% in Q3 2024 to 21.9% in Q3 2025, government figures suggest), yet the World Bank separately projects the (monetary) poverty rate peaking near 31.5% in 2025 before only slightly easing — two credible but divergent pictures, both of which GDP alone would never reveal.</w:t>
      </w:r>
    </w:p>
    <w:p>
      <w:pPr>
        <w:pStyle w:val="Heading2"/>
      </w:pPr>
      <w:r>
        <w:t xml:space="preserve">5. Ghana's Growth–Welfare Gap, in Numbers</w:t>
      </w:r>
    </w:p>
    <w:tbl>
      <w:tblPr>
        <w:tblStyle w:val="TableGrid"/>
        <w:tblW w:w="0" w:type="auto"/>
        <w:tblLayout w:type="fixed"/>
        <w:tblLook w:val="04A0" w:firstRow="1" w:lastRow="0" w:firstColumn="0" w:lastColumn="0" w:noHBand="0" w:noVBand="1"/>
      </w:tblPr>
      <w:tblGrid>
        <w:gridCol w:w="2903"/>
        <w:gridCol w:w="3798"/>
        <w:gridCol w:w="2658"/>
      </w:tblGrid>
      <w:tr>
        <w:trPr>
          <w:tblHeader/>
        </w:trPr>
        <w:tc>
          <w:tcPr>
            <w:tcW w:w="2903" w:type="dxa"/>
            <w:shd w:val="clear" w:color="auto" w:fill="F2F2F2"/>
          </w:tcPr>
          <w:p>
            <w:pPr/>
            <w:r>
              <w:t xml:space="preserve">Indicator</w:t>
            </w:r>
          </w:p>
        </w:tc>
        <w:tc>
          <w:tcPr>
            <w:tcW w:w="3798" w:type="dxa"/>
            <w:shd w:val="clear" w:color="auto" w:fill="F2F2F2"/>
          </w:tcPr>
          <w:p>
            <w:pPr/>
            <w:r>
              <w:t xml:space="preserve">Figure</w:t>
            </w:r>
          </w:p>
        </w:tc>
        <w:tc>
          <w:tcPr>
            <w:tcW w:w="2658" w:type="dxa"/>
            <w:shd w:val="clear" w:color="auto" w:fill="F2F2F2"/>
          </w:tcPr>
          <w:p>
            <w:pPr/>
            <w:r>
              <w:t xml:space="preserve">Source/Year</w:t>
            </w:r>
          </w:p>
        </w:tc>
      </w:tr>
      <w:tr>
        <w:tc>
          <w:tcPr>
            <w:tcW w:w="2903" w:type="dxa"/>
          </w:tcPr>
          <w:p>
            <w:pPr/>
            <w:r>
              <w:t xml:space="preserve">Real GDP growth</w:t>
            </w:r>
          </w:p>
        </w:tc>
        <w:tc>
          <w:tcPr>
            <w:tcW w:w="3798" w:type="dxa"/>
          </w:tcPr>
          <w:p>
            <w:pPr/>
            <w:r>
              <w:t xml:space="preserve">~6.0% (2025), ~6.4% (H1 2026)</w:t>
            </w:r>
          </w:p>
        </w:tc>
        <w:tc>
          <w:tcPr>
            <w:tcW w:w="2658" w:type="dxa"/>
          </w:tcPr>
          <w:p>
            <w:pPr/>
            <w:r>
              <w:t xml:space="preserve">Finance Ministry / World Bank</w:t>
            </w:r>
          </w:p>
        </w:tc>
      </w:tr>
      <w:tr>
        <w:tc>
          <w:tcPr>
            <w:tcW w:w="2903" w:type="dxa"/>
          </w:tcPr>
          <w:p>
            <w:pPr/>
            <w:r>
              <w:t xml:space="preserve">Non-oil GDP growth</w:t>
            </w:r>
          </w:p>
        </w:tc>
        <w:tc>
          <w:tcPr>
            <w:tcW w:w="3798" w:type="dxa"/>
          </w:tcPr>
          <w:p>
            <w:pPr/>
            <w:r>
              <w:t xml:space="preserve">7.6% (2025)</w:t>
            </w:r>
          </w:p>
        </w:tc>
        <w:tc>
          <w:tcPr>
            <w:tcW w:w="2658" w:type="dxa"/>
          </w:tcPr>
          <w:p>
            <w:pPr/>
            <w:r>
              <w:t xml:space="preserve">Finance Ministry</w:t>
            </w:r>
          </w:p>
        </w:tc>
      </w:tr>
      <w:tr>
        <w:tc>
          <w:tcPr>
            <w:tcW w:w="2903" w:type="dxa"/>
          </w:tcPr>
          <w:p>
            <w:pPr/>
            <w:r>
              <w:t xml:space="preserve">GDP size</w:t>
            </w:r>
          </w:p>
        </w:tc>
        <w:tc>
          <w:tcPr>
            <w:tcW w:w="3798" w:type="dxa"/>
          </w:tcPr>
          <w:p>
            <w:pPr/>
            <w:r>
              <w:t xml:space="preserve">Crossed $100bn (2026)</w:t>
            </w:r>
          </w:p>
        </w:tc>
        <w:tc>
          <w:tcPr>
            <w:tcW w:w="2658" w:type="dxa"/>
          </w:tcPr>
          <w:p>
            <w:pPr/>
            <w:r>
              <w:t xml:space="preserve">Finance Ministry</w:t>
            </w:r>
          </w:p>
        </w:tc>
      </w:tr>
      <w:tr>
        <w:tc>
          <w:tcPr>
            <w:tcW w:w="2903" w:type="dxa"/>
          </w:tcPr>
          <w:p>
            <w:pPr/>
            <w:r>
              <w:t xml:space="preserve">GDP per capita (PPP)</w:t>
            </w:r>
          </w:p>
        </w:tc>
        <w:tc>
          <w:tcPr>
            <w:tcW w:w="3798" w:type="dxa"/>
          </w:tcPr>
          <w:p>
            <w:pPr/>
            <w:r>
              <w:t xml:space="preserve">~$7,360 (2025), up from ~$1,850 (1990)</w:t>
            </w:r>
          </w:p>
        </w:tc>
        <w:tc>
          <w:tcPr>
            <w:tcW w:w="2658" w:type="dxa"/>
          </w:tcPr>
          <w:p>
            <w:pPr/>
            <w:r>
              <w:t xml:space="preserve">Our World in Data</w:t>
            </w:r>
          </w:p>
        </w:tc>
      </w:tr>
      <w:tr>
        <w:tc>
          <w:tcPr>
            <w:tcW w:w="2903" w:type="dxa"/>
          </w:tcPr>
          <w:p>
            <w:pPr/>
            <w:r>
              <w:t xml:space="preserve">HDI</w:t>
            </w:r>
          </w:p>
        </w:tc>
        <w:tc>
          <w:tcPr>
            <w:tcW w:w="3798" w:type="dxa"/>
          </w:tcPr>
          <w:p>
            <w:pPr/>
            <w:r>
              <w:t xml:space="preserve">0.628 (2023), up from 0.594 (2017)</w:t>
            </w:r>
          </w:p>
        </w:tc>
        <w:tc>
          <w:tcPr>
            <w:tcW w:w="2658" w:type="dxa"/>
          </w:tcPr>
          <w:p>
            <w:pPr/>
            <w:r>
              <w:t xml:space="preserve">UNDP 2025 Human Development Report</w:t>
            </w:r>
          </w:p>
        </w:tc>
      </w:tr>
      <w:tr>
        <w:tc>
          <w:tcPr>
            <w:tcW w:w="2903" w:type="dxa"/>
          </w:tcPr>
          <w:p>
            <w:pPr/>
            <w:r>
              <w:t xml:space="preserve">Inequality-adjusted HDI</w:t>
            </w:r>
          </w:p>
        </w:tc>
        <w:tc>
          <w:tcPr>
            <w:tcW w:w="3798" w:type="dxa"/>
          </w:tcPr>
          <w:p>
            <w:pPr/>
            <w:r>
              <w:t xml:space="preserve">0.399 (≈36% loss to inequality)</w:t>
            </w:r>
          </w:p>
        </w:tc>
        <w:tc>
          <w:tcPr>
            <w:tcW w:w="2658" w:type="dxa"/>
          </w:tcPr>
          <w:p>
            <w:pPr/>
            <w:r>
              <w:t xml:space="preserve">UNDP 2025 HDR</w:t>
            </w:r>
          </w:p>
        </w:tc>
      </w:tr>
      <w:tr>
        <w:tc>
          <w:tcPr>
            <w:tcW w:w="2903" w:type="dxa"/>
          </w:tcPr>
          <w:p>
            <w:pPr/>
            <w:r>
              <w:t xml:space="preserve">Monetary poverty rate</w:t>
            </w:r>
          </w:p>
        </w:tc>
        <w:tc>
          <w:tcPr>
            <w:tcW w:w="3798" w:type="dxa"/>
          </w:tcPr>
          <w:p>
            <w:pPr/>
            <w:r>
              <w:t xml:space="preserve">Projected to peak ~31.5% (2025) before easing to ~30.6%</w:t>
            </w:r>
          </w:p>
        </w:tc>
        <w:tc>
          <w:tcPr>
            <w:tcW w:w="2658" w:type="dxa"/>
          </w:tcPr>
          <w:p>
            <w:pPr/>
            <w:r>
              <w:t xml:space="preserve">World Bank</w:t>
            </w:r>
          </w:p>
        </w:tc>
      </w:tr>
      <w:tr>
        <w:tc>
          <w:tcPr>
            <w:tcW w:w="2903" w:type="dxa"/>
          </w:tcPr>
          <w:p>
            <w:pPr/>
            <w:r>
              <w:t xml:space="preserve">Multidimensional poverty</w:t>
            </w:r>
          </w:p>
        </w:tc>
        <w:tc>
          <w:tcPr>
            <w:tcW w:w="3798" w:type="dxa"/>
          </w:tcPr>
          <w:p>
            <w:pPr/>
            <w:r>
              <w:t xml:space="preserve">21.9% (Q3 2025), down from 24.9% (Q3 2024)</w:t>
            </w:r>
          </w:p>
        </w:tc>
        <w:tc>
          <w:tcPr>
            <w:tcW w:w="2658" w:type="dxa"/>
          </w:tcPr>
          <w:p>
            <w:pPr/>
            <w:r>
              <w:t xml:space="preserve">Government figures</w:t>
            </w:r>
          </w:p>
        </w:tc>
      </w:tr>
      <w:tr>
        <w:tc>
          <w:tcPr>
            <w:tcW w:w="2903" w:type="dxa"/>
          </w:tcPr>
          <w:p>
            <w:pPr/>
            <w:r>
              <w:t xml:space="preserve">Gini coefficient</w:t>
            </w:r>
          </w:p>
        </w:tc>
        <w:tc>
          <w:tcPr>
            <w:tcW w:w="3798" w:type="dxa"/>
          </w:tcPr>
          <w:p>
            <w:pPr/>
            <w:r>
              <w:t xml:space="preserve">~43–44</w:t>
            </w:r>
          </w:p>
        </w:tc>
        <w:tc>
          <w:tcPr>
            <w:tcW w:w="2658" w:type="dxa"/>
          </w:tcPr>
          <w:p>
            <w:pPr/>
            <w:r>
              <w:t xml:space="preserve">World Bank</w:t>
            </w:r>
          </w:p>
        </w:tc>
      </w:tr>
    </w:tbl>
    <w:p>
      <w:pPr/>
      <w:r>
        <w:t xml:space="preserve">The pattern is consistent across sources: aggregate output and average income are climbing, inequality-adjusted and distributional measures are climbing far more slowly or stagnating, and the lived cost-of-living experience of many households continues to deteriorate even amid record headline growth.</w:t>
      </w:r>
    </w:p>
    <w:p>
      <w:pPr>
        <w:pStyle w:val="Heading2"/>
      </w:pPr>
      <w:r>
        <w:t xml:space="preserve">6. Existing Alternatives to GDP</w:t>
      </w:r>
    </w:p>
    <w:p>
      <w:pPr/>
      <w:r>
        <w:t xml:space="preserve">A range of indices already attempt to correct for GDP's blind spots. None has displaced GDP, but each adds a dimension worth borrowing from:</w:t>
      </w:r>
    </w:p>
    <w:p>
      <w:pPr/>
      <w:r>
        <w:rPr>
          <w:b/>
        </w:rPr>
        <w:t xml:space="preserve">Human Development Index (HDI)</w:t>
      </w:r>
      <w:r>
        <w:t xml:space="preserve"> — UNDP's composite of life expectancy, expected/mean years of schooling, and GNI per capita (log-transformed), combined as a geometric mean. Strength: globally comparable, captures health and education. Weakness: still uses income as its material-living-standard component, and ignores inequality and the environment (addressed partially by the Inequality-adjusted HDI and Gender Development Index).</w:t>
      </w:r>
    </w:p>
    <w:p>
      <w:pPr/>
      <w:r>
        <w:rPr>
          <w:b/>
        </w:rPr>
        <w:t xml:space="preserve">Multidimensional Poverty Index (MPI)</w:t>
      </w:r>
      <w:r>
        <w:t xml:space="preserve"> — developed by UNDP and the Oxford Poverty and Human Development Initiative, it measures overlapping deprivations across health, education, and living standards (10 weighted indicators) rather than income alone. Strength: captures deprivation directly; customizable to national context. Weakness: not a single national "headline" number comparable to GDP growth.</w:t>
      </w:r>
    </w:p>
    <w:p>
      <w:pPr/>
      <w:r>
        <w:rPr>
          <w:b/>
        </w:rPr>
        <w:t xml:space="preserve">Genuine Progress Indicator (GPI)</w:t>
      </w:r>
      <w:r>
        <w:t xml:space="preserve"> — starts from personal consumption expenditure (as in GDP) and adjusts it for roughly 25 factors, adding things like volunteer and household work and subtracting costs such as crime, pollution, resource depletion, and commuting. Strength: directly comparable in form to GDP, so divergence between GDP and GPI is visually and analytically striking. Weakness: data-hungry and the weighting of adjustments is contestable.</w:t>
      </w:r>
    </w:p>
    <w:p>
      <w:pPr/>
      <w:r>
        <w:rPr>
          <w:b/>
        </w:rPr>
        <w:t xml:space="preserve">Inclusive Wealth / Green GDP</w:t>
      </w:r>
      <w:r>
        <w:t xml:space="preserve"> — adjusts output for the depletion of natural, human and produced capital. Strength: captures sustainability. Weakness: valuing natural capital is methodologically difficult and rarely updated in real time.</w:t>
      </w:r>
    </w:p>
    <w:p>
      <w:pPr/>
      <w:r>
        <w:rPr>
          <w:b/>
        </w:rPr>
        <w:t xml:space="preserve">OECD Better Life Index / Gross National Happiness</w:t>
      </w:r>
      <w:r>
        <w:t xml:space="preserve"> — survey-based composites of material and subjective wellbeing domains (housing, income, jobs, community, environment, civic engagement, health, life satisfaction, safety, work-life balance). Strength: genuinely multidimensional and people-centred. Weakness: subjective components vary across cultures and are hard to compare internationally.</w:t>
      </w:r>
    </w:p>
    <w:p>
      <w:pPr/>
      <w:r>
        <w:t xml:space="preserve">The consistent lesson from this literature is that there is no single, universally agreed replacement for GDP — the live debate, as reflected in SDG Target 17.19, is whether GDP should be replaced or simply complemented by a dashboard of indicators suited to each country's priorities, as New Zealand's Living Standards Framework and Oxford's MPI dashboard approach both do.</w:t>
      </w:r>
    </w:p>
    <w:p>
      <w:pPr>
        <w:pStyle w:val="Heading2"/>
      </w:pPr>
      <w:r>
        <w:t xml:space="preserve">7. A Proposed Standard of Living Index for Ghana (SLI-GH)</w:t>
      </w:r>
    </w:p>
    <w:p>
      <w:pPr/>
      <w:r>
        <w:t xml:space="preserve">Building on this literature, and tailored to indicators Ghana's own statistical and development institutions already track, this paper proposes a composite </w:t>
      </w:r>
      <w:r>
        <w:rPr>
          <w:b/>
        </w:rPr>
        <w:t xml:space="preserve">Standard of Living Index (SLI-GH)</w:t>
      </w:r>
      <w:r>
        <w:t xml:space="preserve"> combining five weighted components, each normalized to a 0–1 scale:</w:t>
      </w:r>
    </w:p>
    <w:p>
      <w:pPr/>
      <w:r>
        <w:rPr>
          <w:b/>
        </w:rPr>
        <w:t xml:space="preserve">SLI-GH = w₁(RPC) + w₂(DI) + w₃(HCI) + w₄(EQ) + w₅(SUS)</w:t>
      </w:r>
    </w:p>
    <w:p>
      <w:pPr/>
      <w:r>
        <w:t xml:space="preserve">Where:</w:t>
      </w:r>
    </w:p>
    <w:p>
      <w:pPr>
        <w:pStyle w:val="ListParagraph"/>
        <w:numPr>
          <w:ilvl w:val="0"/>
          <w:numId w:val="4"/>
        </w:numPr>
      </w:pPr>
      <w:r>
        <w:rPr>
          <w:b/>
        </w:rPr>
        <w:t xml:space="preserve">RPC — Real Purchasing Power Component.</w:t>
      </w:r>
      <w:r>
        <w:t xml:space="preserve"> GDP per capita adjusted for a household-relevant cost-of-living index (food, transport, rent, utilities), not just the general CPI basket. This corrects for the wage-versus-prices gap that headline GDP hides.</w:t>
      </w:r>
    </w:p>
    <w:p>
      <w:pPr>
        <w:pStyle w:val="ListParagraph"/>
        <w:numPr>
          <w:ilvl w:val="0"/>
          <w:numId w:val="4"/>
        </w:numPr>
      </w:pPr>
      <w:r>
        <w:rPr>
          <w:b/>
        </w:rPr>
        <w:t xml:space="preserve">DI — Distribution Index.</w:t>
      </w:r>
      <w:r>
        <w:t xml:space="preserve"> 1 minus the normalized Gini coefficient, so rising inequality pulls the index down even if average income rises. This directly addresses the point that a rising mean can mask a stagnant or falling median.</w:t>
      </w:r>
    </w:p>
    <w:p>
      <w:pPr>
        <w:pStyle w:val="ListParagraph"/>
        <w:numPr>
          <w:ilvl w:val="0"/>
          <w:numId w:val="4"/>
        </w:numPr>
      </w:pPr>
      <w:r>
        <w:rPr>
          <w:b/>
        </w:rPr>
        <w:t xml:space="preserve">HCI — Human Capability Index.</w:t>
      </w:r>
      <w:r>
        <w:t xml:space="preserve"> Drawn from HDI-style components — life expectancy, expected years of schooling, and literacy — reflecting health and education outcomes rather than spending.</w:t>
      </w:r>
    </w:p>
    <w:p>
      <w:pPr>
        <w:pStyle w:val="ListParagraph"/>
        <w:numPr>
          <w:ilvl w:val="0"/>
          <w:numId w:val="4"/>
        </w:numPr>
      </w:pPr>
      <w:r>
        <w:rPr>
          <w:b/>
        </w:rPr>
        <w:t xml:space="preserve">EQ — Employment Quality Index.</w:t>
      </w:r>
      <w:r>
        <w:t xml:space="preserve"> A composite of formal employment share, youth unemployment/underemployment rate, and informal-sector earnings volatility, capturing whether growth is producing decent jobs, not just output.</w:t>
      </w:r>
    </w:p>
    <w:p>
      <w:pPr>
        <w:pStyle w:val="ListParagraph"/>
        <w:numPr>
          <w:ilvl w:val="0"/>
          <w:numId w:val="4"/>
        </w:numPr>
      </w:pPr>
      <w:r>
        <w:rPr>
          <w:b/>
        </w:rPr>
        <w:t xml:space="preserve">SUS — Sustainability Adjustment.</w:t>
      </w:r>
      <w:r>
        <w:t xml:space="preserve"> A penalty term subtracting a normalized measure of natural-resource depletion and environmental degradation (e.g., forest cover loss, illegal mining/galamsey impact on water bodies) from otherwise resource-driven growth.</w:t>
      </w:r>
    </w:p>
    <w:p>
      <w:pPr/>
      <w:r>
        <w:t xml:space="preserve">Suggested starting weights, pending sensitivity testing: w₁ = 0.30, w₂ = 0.20, w₃ = 0.25, w₄ = 0.15, w₅ = 0.10 — weighting material living standards and capability most heavily while still penalizing inequality and unsustainable extraction.</w:t>
      </w:r>
    </w:p>
    <w:p>
      <w:pPr/>
      <w:r>
        <w:rPr>
          <w:b/>
        </w:rPr>
        <w:t xml:space="preserve">Why this design fits Ghana specifically:</w:t>
      </w:r>
      <w:r>
        <w:t xml:space="preserve"> it keeps GDP per capita as an input (so it remains comparable to existing data and policy targets) rather than discarding it outright; it explicitly folds in the two things Ghanaian commentary keeps returning to — inequality/cost-of-living pass-through, and jobs — rather than treating them as footnotes; and it penalizes growth that comes from resource depletion (relevant given Ghana's gold, oil, and illegal small-scale mining dynamics), which a pure GDP or even HDI figure would reward uncritically. Tracked quarterly alongside GDP, a rising GDP with a flat or falling SLI-GH would make visible, in a single headline number, exactly the disconnect this paper opened with — rather than requiring a reader to separately reconcile IMF growth figures, UNDP's HDI, World Bank poverty projections and Ghana Statistical Service inequality data.</w:t>
      </w:r>
    </w:p>
    <w:p>
      <w:pPr>
        <w:pStyle w:val="Heading2"/>
      </w:pPr>
      <w:r>
        <w:t xml:space="preserve">8. Conclusion</w:t>
      </w:r>
    </w:p>
    <w:p>
      <w:pPr/>
      <w:r>
        <w:t xml:space="preserve">Ghana's GDP growth is real and significant — among the strongest in Africa in 2026 — and it matters: it funds debt reduction, attracts investment, and expands the tax base available for public services. But GDP was designed as a production ledger, not a welfare ledger, and it was never meant to answer the question Ghanaians are actually asking: are our lives better this year than last year? Closing that gap requires neither abandoning GDP nor treating it as sufficient on its own, but supplementing it with a measure built to track distribution, purchasing power, capability, employment quality, and sustainability together. The SLI-GH proposed here is one attempt at that synthesis, built from indicators Ghana already collects, designed to make the growth-without-comfort story visible in the headline number itself rather than buried across five different reports.</w:t>
      </w:r>
    </w:p>
    <w:p>
      <w:pPr>
        <w:pStyle w:val="Heading2"/>
      </w:pPr>
      <w:r>
        <w:t xml:space="preserve">Sources</w:t>
      </w:r>
    </w:p>
    <w:p>
      <w:pPr>
        <w:pStyle w:val="ListParagraph"/>
        <w:numPr>
          <w:ilvl w:val="0"/>
          <w:numId w:val="5"/>
        </w:numPr>
      </w:pPr>
      <w:r>
        <w:t xml:space="preserve">Ghana Ministry of Finance, 2026 Mid-Year Budget Review (July 2026)</w:t>
      </w:r>
    </w:p>
    <w:p>
      <w:pPr>
        <w:pStyle w:val="ListParagraph"/>
        <w:numPr>
          <w:ilvl w:val="0"/>
          <w:numId w:val="5"/>
        </w:numPr>
      </w:pPr>
      <w:r>
        <w:t xml:space="preserve">World Bank, Tenth Ghana Economic Update (August 2026) and Global Economic Prospects (June 2026)</w:t>
      </w:r>
    </w:p>
    <w:p>
      <w:pPr>
        <w:pStyle w:val="ListParagraph"/>
        <w:numPr>
          <w:ilvl w:val="0"/>
          <w:numId w:val="5"/>
        </w:numPr>
      </w:pPr>
      <w:r>
        <w:t xml:space="preserve">UNDP, 2025 Human Development Report, "A Matter of Choice: People and Possibilities in the Age of AI"</w:t>
      </w:r>
    </w:p>
    <w:p>
      <w:pPr>
        <w:pStyle w:val="ListParagraph"/>
        <w:numPr>
          <w:ilvl w:val="0"/>
          <w:numId w:val="5"/>
        </w:numPr>
      </w:pPr>
      <w:r>
        <w:t xml:space="preserve">Our World in Data, GDP per capita series (2025)</w:t>
      </w:r>
    </w:p>
    <w:p>
      <w:pPr>
        <w:pStyle w:val="ListParagraph"/>
        <w:numPr>
          <w:ilvl w:val="0"/>
          <w:numId w:val="5"/>
        </w:numPr>
      </w:pPr>
      <w:r>
        <w:t xml:space="preserve">Ghanaian Times reporting on the 2025 HDR launch and inequality analysis</w:t>
      </w:r>
    </w:p>
    <w:p>
      <w:pPr>
        <w:pStyle w:val="ListParagraph"/>
        <w:numPr>
          <w:ilvl w:val="0"/>
          <w:numId w:val="5"/>
        </w:numPr>
      </w:pPr>
      <w:r>
        <w:t xml:space="preserve">Citinewsroom, coverage of the 2026 Mid-Year Budget Review</w:t>
      </w:r>
    </w:p>
    <w:p>
      <w:pPr>
        <w:pStyle w:val="ListParagraph"/>
        <w:numPr>
          <w:ilvl w:val="0"/>
          <w:numId w:val="5"/>
        </w:numPr>
      </w:pPr>
      <w:r>
        <w:t xml:space="preserve">UNU-IIGH / Spark Street Advisors, "Measuring What Really Matters: Beyond GDP and GNI" (2024)</w:t>
      </w:r>
    </w:p>
    <w:p>
      <w:pPr>
        <w:pStyle w:val="ListParagraph"/>
        <w:numPr>
          <w:ilvl w:val="0"/>
          <w:numId w:val="5"/>
        </w:numPr>
      </w:pPr>
      <w:r>
        <w:t xml:space="preserve">St. Louis Fed, "Three Other Ways to Measure Economic Health Beyond GDP"</w:t>
      </w:r>
    </w:p>
    <w:p>
      <w:pPr>
        <w:pStyle w:val="ListParagraph"/>
        <w:numPr>
          <w:ilvl w:val="0"/>
          <w:numId w:val="5"/>
        </w:numPr>
      </w:pPr>
      <w:r>
        <w:t xml:space="preserve">IMF Finance &amp; Development, "The Search Continues for a Better Gauge of Prosperity than GDP Alone"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Beyond GDP Measuring Ghana's Standard of Living</dc:title>
  <dc:description>Claude Docs node/5ce0f8c5-7d50@1 docx-w7</dc:description>
  <cp:revision>1</cp:revision>
</cp:coreProperties>
</file>