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Commodity Market Manipulation and Speculative Distortion: Transmission Effects on Ghana's Cocoa, Gold, and Oil Economy</w:t>
      </w:r>
    </w:p>
    <w:p>
      <w:pPr/>
      <w:r>
        <w:t xml:space="preserve">Oct 13, 2026</w:t>
      </w:r>
      <w:r>
        <w:t xml:space="preserve"> · </w:t>
      </w:r>
      <w:r>
        <w:t xml:space="preserve">@Nana Owusu Achiaw Prempeh</w:t>
      </w:r>
    </w:p>
    <w:p>
      <w:pPr>
        <w:pStyle w:val="Heading2"/>
      </w:pPr>
      <w:r>
        <w:t xml:space="preserve">Abstract</w:t>
      </w:r>
    </w:p>
    <w:p>
      <w:pPr/>
      <w:r>
        <w:t xml:space="preserve">Global commodity benchmark prices for cocoa, gold, and crude oil are set almost entirely on US and UK exchanges, yet their downstream effects fall heavily on commodity-dependent exporters such as Ghana. A parallel but distinct vulnerability runs through Ghana's bauxite, aluminium, cashew, and shea trade, where the binding constraint is less price transmission than value-chain leakage from exporting raw, unprocessed inputs. Drawing on market microstructure theory and CFTC Commitments of Traders positioning data, the paper develops a diagnostic that separates outright manipulation (spoofing, wash trading, cornering) from ordinary but distortive speculative positioning, and applies it to the global cocoa and gold markets, with the oil market treated more briefly. It argues that, independent of which mechanism dominates in a given episode, Ghana transmits both forms of price distortion into its domestic economy through a structural maker-taker asymmetry: Ghana consistently occupies the taker side of global price discovery while lacking the domestic hedging infrastructure to buffer the resulting volatility. Using the 2023/24 cocoa crisis, in which the Ghana Cocoa Board (COCOBOD) incurred an estimated $1.3 billion in rollover losses despite record international prices, as a central case, the paper identifies five structural vulnerabilities in Ghanaian commodity trading: price-taker dependency, absent domestic derivatives markets, information asymmetry, monopsonistic market concentration, and undercapitalized speculative exposure. Positioning evidence for the 2023/24 episode — rising prices alongside falling open interest — is more consistent with a liquidity-constrained fundamentals shock than a speculation-driven bubble, which sharpens rather than weakens the policy implication: the losses were substantially preventable through better domestic risk management. The paper argues that Ghana's structural vulnerabilities compound the effects of upstream price distortion, whatever its source, into currency instability, fiscal strain, and smallholder farmer impoverishment, and proposes policy responses centred on hedging capacity, production-forecast discipline, and regional market development.</w:t>
      </w:r>
    </w:p>
    <w:p>
      <w:pPr>
        <w:pStyle w:val="Heading2"/>
      </w:pPr>
      <w:r>
        <w:t xml:space="preserve">1. Introduction</w:t>
      </w:r>
    </w:p>
    <w:p>
      <w:pPr/>
      <w:r>
        <w:t xml:space="preserve">Ghana is one of the world's most commodity-dependent economies: cocoa, gold, and oil together account for the large majority of export earnings and a significant share of government revenue. None of these commodities, however, are priced in Ghana. Cocoa is benchmarked against ICE Futures US and ICE Futures Europe contracts traded in New York and London; gold against COMEX futures and the LBMA price set in London; and crude oil against NYMEX and ICE Brent contracts. Ghana therefore enters global commodity markets as a price-taker in the strict market-microstructure sense — a participant who accepts prices formed by others' order flow rather than one who supplies liquidity and influences price formation. Beyond these three exchange-traded commodities, Ghana's bauxite and non-traditional agricultural exports (cashew, shea, bananas) — together worth over $700 million in 2025 and growing — expose the country to a related but distinct problem: most of these inputs are exported raw, so Ghana forfeits downstream processing margin regardless of the benchmark price, a value-chain vulnerability examined alongside price transmission in Section 5.</w:t>
      </w:r>
    </w:p>
    <w:p>
      <w:pPr/>
      <w:r>
        <w:t xml:space="preserve">This asymmetry matters because futures markets are not immune to manipulation. Regulators such as the US Commodity Futures Trading Commission (CFTC) have brought a steady stream of enforcement actions against spoofing, layering, and wash-trading schemes across metals, energy, and agricultural futures, including gold and silver contracts on COMEX </w:t>
      </w:r>
      <w:hyperlink r:id="rId3" w:history="1">
        <w:r>
          <w:rPr>
            <w:rStyle w:val="Hyperlink"/>
          </w:rPr>
          <w:t xml:space="preserve">(CFTC, 2015)</w:t>
        </w:r>
      </w:hyperlink>
      <w:r>
        <w:t xml:space="preserve">. Even where conduct falls short of actionable manipulation, concentrated speculative positioning by large trading houses and funds can move prices far from fundamentals, as seen in cocoa's unprecedented rally to over $11,000 per tonne in 2024 amid thin, low-open-interest trading conditions </w:t>
      </w:r>
      <w:hyperlink r:id="rId4" w:history="1">
        <w:r>
          <w:rPr>
            <w:rStyle w:val="Hyperlink"/>
          </w:rPr>
          <w:t xml:space="preserve">(Barchart, 2024)</w:t>
        </w:r>
      </w:hyperlink>
      <w:r>
        <w:t xml:space="preserve">.</w:t>
      </w:r>
    </w:p>
    <w:p>
      <w:pPr/>
      <w:r>
        <w:t xml:space="preserve">This paper asks two related questions. First, through what mechanisms does price distortion on US and UK commodity exchanges transmit into the Ghanaian economy? Second, what specific features of how Ghanaian institutions and traders participate in these markets — their practices on the 'maker' and 'taker' sides of the book — amplify or dampen that transmission? The paper argues that Ghana's exposure is not simply a function of being a small, price-taking economy; it is compounded by specific, correctable weaknesses in how the country's largest commodity institution, COCOBOD, manages forward commitments and price risk. The 2023/24 cocoa season, in which COCOBOD recorded an estimated $1.3 billion in losses from rolled-over forward contracts even as world prices hit record highs, is used throughout as an illustrative case </w:t>
      </w:r>
      <w:hyperlink r:id="rId5" w:history="1">
        <w:r>
          <w:rPr>
            <w:rStyle w:val="Hyperlink"/>
          </w:rPr>
          <w:t xml:space="preserve">(Graphic Online, 2025)</w:t>
        </w:r>
      </w:hyperlink>
      <w:r>
        <w:t xml:space="preserve">.</w:t>
      </w:r>
    </w:p>
    <w:p>
      <w:pPr/>
      <w:r>
        <w:t xml:space="preserve">The remainder of the paper is organised as follows. Section 2 reviews the literature on commodity market manipulation and maker-taker microstructure. Section 3 sets out the methodology and data used, including the positioning-based approach to distinguishing speculative distortion from fundamentals. Section 4 sets out the transmission mechanisms linking global price formation to Ghana's producer prices, fiscal position, and currency. Section 5 presents the cocoa, gold, and oil cases. Section 6 analyses the structural vulnerabilities in Ghanaian commodity trading practice. Section 7 assesses the resulting economic and social impacts. Section 8 proposes policy responses, and Section 9 concludes.</w:t>
      </w:r>
    </w:p>
    <w:p>
      <w:pPr>
        <w:pStyle w:val="Heading2"/>
      </w:pPr>
      <w:r>
        <w:t xml:space="preserve">2. Literature Review and Theoretical Framework</w:t>
      </w:r>
    </w:p>
    <w:p>
      <w:pPr/>
      <w:r>
        <w:rPr>
          <w:b/>
        </w:rPr>
        <w:t xml:space="preserve">2.1 Typologies of commodity market manipulation.</w:t>
      </w:r>
      <w:r>
        <w:t xml:space="preserve"> The academic and regulatory literature distinguishes several manipulation types relevant to commodity futures. </w:t>
      </w:r>
      <w:r>
        <w:rPr>
          <w:i/>
        </w:rPr>
        <w:t xml:space="preserve">Spoofing</w:t>
      </w:r>
      <w:r>
        <w:t xml:space="preserve"> involves placing bids or offers with intent to cancel before execution, creating a false impression of market depth that other participants trade against; US enforcement actions have documented thousands of discrete spoofing instances by individual traders across metals, energy, and index futures </w:t>
      </w:r>
      <w:hyperlink r:id="rId6" w:history="1">
        <w:r>
          <w:rPr>
            <w:rStyle w:val="Hyperlink"/>
          </w:rPr>
          <w:t xml:space="preserve">(CFTC Release 7687-18, 2018)</w:t>
        </w:r>
      </w:hyperlink>
      <w:r>
        <w:t xml:space="preserve">; </w:t>
      </w:r>
      <w:hyperlink r:id="rId7" w:history="1">
        <w:r>
          <w:rPr>
            <w:rStyle w:val="Hyperlink"/>
          </w:rPr>
          <w:t xml:space="preserve">(CFTC Release 7688-18, 2018)</w:t>
        </w:r>
      </w:hyperlink>
      <w:r>
        <w:t xml:space="preserve">. </w:t>
      </w:r>
      <w:r>
        <w:rPr>
          <w:i/>
        </w:rPr>
        <w:t xml:space="preserve">Wash trading</w:t>
      </w:r>
      <w:r>
        <w:t xml:space="preserve"> involves offsetting buy and sell orders that create artificial volume without genuine risk transfer, historically used to influence settlement prices around contract rollovers. </w:t>
      </w:r>
      <w:r>
        <w:rPr>
          <w:i/>
        </w:rPr>
        <w:t xml:space="preserve">Cornering</w:t>
      </w:r>
      <w:r>
        <w:t xml:space="preserve"> and </w:t>
      </w:r>
      <w:r>
        <w:rPr>
          <w:i/>
        </w:rPr>
        <w:t xml:space="preserve">squeezing</w:t>
      </w:r>
      <w:r>
        <w:t xml:space="preserve"> involve accumulating a dominant position in a futures contract or its deliverable supply to force counterparties to transact at distorted prices, a risk particularly acute in thinly traded markets with low open interest — a condition cocoa futures exhibited during the 2023/24 rally, when aggregate open interest fell to levels last seen in 2010 even as prices tripled </w:t>
      </w:r>
      <w:hyperlink r:id="rId8" w:history="1">
        <w:r>
          <w:rPr>
            <w:rStyle w:val="Hyperlink"/>
          </w:rPr>
          <w:t xml:space="preserve">(Barchart, 2024)</w:t>
        </w:r>
      </w:hyperlink>
      <w:r>
        <w:t xml:space="preserve">.</w:t>
      </w:r>
    </w:p>
    <w:p>
      <w:pPr/>
      <w:r>
        <w:rPr>
          <w:b/>
        </w:rPr>
        <w:t xml:space="preserve">2.2 Maker-taker market microstructure.</w:t>
      </w:r>
      <w:r>
        <w:t xml:space="preserve"> In market microstructure theory, </w:t>
      </w:r>
      <w:r>
        <w:rPr>
          <w:i/>
        </w:rPr>
        <w:t xml:space="preserve">makers</w:t>
      </w:r>
      <w:r>
        <w:t xml:space="preserve"> supply liquidity by posting resting limit orders that set the prevailing bid and ask, bearing adverse-selection risk in exchange for (on many exchanges) a rebate; </w:t>
      </w:r>
      <w:r>
        <w:rPr>
          <w:i/>
        </w:rPr>
        <w:t xml:space="preserve">takers</w:t>
      </w:r>
      <w:r>
        <w:t xml:space="preserve"> consume that liquidity with market orders and pay the spread. Makers are, by construction, closer to price formation: their quoting behaviour and inventory management directly shape where a contract trades. Takers are price acceptors. This distinction, developed primarily to describe high-frequency trading and exchange fee structures in equity and derivatives markets, generalises usefully to the relationship between global commodity exchanges and commodity-dependent producing economies: the exchanges, and the large trading houses, banks, and funds active on them, are structurally makers of price; producing countries that sell forward or react to posted futures prices are, in aggregate, takers.</w:t>
      </w:r>
    </w:p>
    <w:p>
      <w:pPr/>
      <w:r>
        <w:rPr>
          <w:b/>
        </w:rPr>
        <w:t xml:space="preserve">2.3 Price transmission in commodity-dependent economies.</w:t>
      </w:r>
      <w:r>
        <w:t xml:space="preserve"> A separate literature examines how global commodity price volatility transmits into producing-country macroeconomic outcomes — export revenue, exchange rates, and fiscal balances — typically finding that transmission is faster and more damaging where (a) the producing country lacks derivative instruments to hedge forward exposure, (b) marketing of the commodity is concentrated in a single state entity rather than distributed across diversified private hedgers, and (c) the country is a price-taker with no influence over the benchmark. Ghana's cocoa sector exhibits all three conditions simultaneously, which motivates the structural analysis in Section 5.</w:t>
      </w:r>
    </w:p>
    <w:p>
      <w:pPr/>
      <w:r>
        <w:t xml:space="preserve">Taken together, this literature suggests that the </w:t>
      </w:r>
      <w:r>
        <w:rPr>
          <w:i/>
        </w:rPr>
        <w:t xml:space="preserve">transmission</w:t>
      </w:r>
      <w:r>
        <w:t xml:space="preserve"> question (Section 3) and the </w:t>
      </w:r>
      <w:r>
        <w:rPr>
          <w:i/>
        </w:rPr>
        <w:t xml:space="preserve">domestic practice</w:t>
      </w:r>
      <w:r>
        <w:t xml:space="preserve"> question (Section 5) are analytically separate but empirically compounding: manipulation or distortion upstream sets the price Ghana receives, while Ghana's own maker-taker positioning determines how much of that distortion is absorbed, hedged, or passed through to farmers and the fiscus.</w:t>
      </w:r>
    </w:p>
    <w:p>
      <w:pPr/>
      <w:r>
        <w:rPr>
          <w:b/>
        </w:rPr>
        <w:t xml:space="preserve">2.4 Foundational microstructure theory.</w:t>
      </w:r>
      <w:r>
        <w:t xml:space="preserve"> The maker-taker distinction used throughout this paper rests on canonical market microstructure models: Glosten and Milgrom (1985) show that market-makers set bid-ask spreads to compensate for adverse selection against better-informed counterparties, while Kyle (1985) models how an informed trader's orders move prices even absent any intent to manipulate, simply because the market cannot distinguish informed from uninformed order flow. Applied to a producing country entering futures markets purely to hedge forward production, these models imply that the country bears a structural informational disadvantage relative to makers and informed speculators, independent of whether any single actor behaves unlawfully — reinforcing the paper's distinction (Section 3) between manipulation proper and ordinary structural distortion.</w:t>
      </w:r>
    </w:p>
    <w:p>
      <w:pPr/>
      <w:r>
        <w:rPr>
          <w:b/>
        </w:rPr>
        <w:t xml:space="preserve">2.5 Evidence on speculative influence over commodity prices.</w:t>
      </w:r>
      <w:r>
        <w:t xml:space="preserve"> A substantial empirical literature examines whether financial speculation and index-based investment move commodity futures prices away from fundamentals. Gilbert's (2010) UNCTAD-commissioned study of 2006–2008 commodity prices found significant evidence of explosive speculative bubble behaviour in some metals markets and estimated that index-based investment may have raised oil and metals prices by on the order of 15 per cent above fundamentals, with weaker evidence for grains. UNCTAD's own </w:t>
      </w:r>
      <w:r>
        <w:rPr>
          <w:i/>
        </w:rPr>
        <w:t xml:space="preserve">Trade and Development Report 2009</w:t>
      </w:r>
      <w:r>
        <w:t xml:space="preserve"> documented the broader 'financialization' of commodity markets — a sustained increase in the presence of financial investors with no commercial interest in physical delivery — as a structural feature of post-2000 commodity futures markets. This literature establishes that price distortion from speculative flow, distinct from outright manipulation, is an empirically documented phenomenon in precisely the asset classes (metals, energy, and to a lesser extent agriculturals) most relevant to Ghana's export basket, which motivates the positioning-based diagnostic developed in Section 3.</w:t>
      </w:r>
    </w:p>
    <w:p>
      <w:pPr>
        <w:pStyle w:val="Heading2"/>
      </w:pPr>
      <w:r>
        <w:t xml:space="preserve">3. Methodology and Data</w:t>
      </w:r>
    </w:p>
    <w:p>
      <w:pPr/>
      <w:r>
        <w:t xml:space="preserve">This paper uses a mixed-method, single-country case-study design, combining institutional/documentary analysis of COCOBOD's forward-selling behaviour with a quantitative positioning check intended to separate fundamentals-driven price movement from distortive speculative activity — the central methodological gap identified in earlier drafts of this analysis.</w:t>
      </w:r>
    </w:p>
    <w:p>
      <w:pPr/>
      <w:r>
        <w:rPr>
          <w:b/>
        </w:rPr>
        <w:t xml:space="preserve">Documentary sources.</w:t>
      </w:r>
      <w:r>
        <w:t xml:space="preserve"> COCOBOD annual reports and press disclosures, Bank of Ghana's Summary of Economic and Financial Data and Database Portal (export receipts, reserves, exchange-rate series), the International Cocoa Organization's (ICCO) Quarterly Bulletin of Cocoa Statistics (production, grindings, stocks, and ICE futures settlement prices by season, available from 1960), Minerals Commission and Ghana Gold Board (GoldBod) gold production and export disclosures, and GNPC annual reports for oil lifting volumes and revenue.</w:t>
      </w:r>
    </w:p>
    <w:p>
      <w:pPr/>
      <w:r>
        <w:rPr>
          <w:b/>
        </w:rPr>
        <w:t xml:space="preserve">Positioning data.</w:t>
      </w:r>
      <w:r>
        <w:t xml:space="preserve"> To test whether the 2023/24 cocoa price surge reflected fundamentals (a genuine supply deficit) or was amplified by speculative positioning beyond what the deficit justified, the paper draws on the US Commodity Futures Trading Commission's (CFTC) weekly Commitments of Traders (COT) reports for ICE cocoa futures, which disaggregate open interest into commercial (hedging) and non-commercial/managed-money (speculative) categories and are available free of charge back to 1986. The diagnostic logic is straightforward: if managed-money net-long positioning grew materially faster than the ICCO's own deficit revisions over the same weeks, that gap is evidence of positioning running ahead of fundamentals; if the two move together, the price move is better characterised as a fundamentals-driven supply shock amplified by thin liquidity (itself a distinct, and separately important, source of Ghana's exposure, since low open interest means a given trade size moves price further). The same comparison is applied, with COMEX gold COT data, to the 2024/25 gold price surge referenced in Section 5.2.</w:t>
      </w:r>
    </w:p>
    <w:p>
      <w:pPr/>
      <w:r>
        <w:rPr>
          <w:b/>
        </w:rPr>
        <w:t xml:space="preserve">Limitations.</w:t>
      </w:r>
      <w:r>
        <w:t xml:space="preserve"> COT data report position size and type but not intent, so they cannot by themselves establish manipulation in the legal sense (spoofing, cornering); they can only establish whether speculative positioning was unusually large or fast-growing relative to historical norms and relative to the fundamental deficit — a distortion test rather than a manipulation test. This paper is explicit about that distinction throughout, in place of looser uses of the term 'manipulation' that conflate it with ordinary speculative distortion. Gold and oil receive comparatively lighter empirical treatment than cocoa because Ghana-specific institutional disclosure (royalty data, hedge ratios) is less complete for those sectors, a gap noted as a direction for future research in Section 9.</w:t>
      </w:r>
    </w:p>
    <w:p>
      <w:pPr>
        <w:pStyle w:val="Heading2"/>
      </w:pPr>
      <w:r>
        <w:t xml:space="preserve">4. Transmission Mechanisms</w:t>
      </w:r>
    </w:p>
    <w:p>
      <w:pPr/>
      <w:r>
        <w:t xml:space="preserve">Three channels carry price distortion from US and UK exchanges into the Ghanaian economy.</w:t>
      </w:r>
    </w:p>
    <w:p>
      <w:pPr/>
      <w:r>
        <w:rPr>
          <w:b/>
        </w:rPr>
        <w:t xml:space="preserve">Producer-price channel.</w:t>
      </w:r>
      <w:r>
        <w:t xml:space="preserve"> COCOBOD sets Ghana's farmgate cocoa price, and its own forward-selling, relative to a benchmark Free-on-Board (FOB) price that is itself derived from ICE futures. When futures prices move sharply — whether from fundamentals, speculative flow, or manipulative conduct — the FOB benchmark moves with them, and COCOBOD's realised revenue on already-sold forward contracts diverges from the prevailing market price. In 2023/24, COCOBOD had committed 786,672 tonnes in forward contracts against a projected 800,000-tonne harvest; when production collapsed to roughly 425,000–530,000 tonnes and world futures prices simultaneously surged past $11,000 per tonne, COCOBOD was forced to roll over undelivered contracts at the original, far lower locked-in prices, crystallising billions of dollars in opportunity losses even as the world price boomed </w:t>
      </w:r>
      <w:hyperlink r:id="rId9" w:history="1">
        <w:r>
          <w:rPr>
            <w:rStyle w:val="Hyperlink"/>
          </w:rPr>
          <w:t xml:space="preserve">(Graphic Online, 2025)</w:t>
        </w:r>
      </w:hyperlink>
      <w:r>
        <w:t xml:space="preserve">.</w:t>
      </w:r>
    </w:p>
    <w:p>
      <w:pPr/>
      <w:r>
        <w:rPr>
          <w:b/>
        </w:rPr>
        <w:t xml:space="preserve">Foreign-exchange channel.</w:t>
      </w:r>
      <w:r>
        <w:t xml:space="preserve"> Cocoa, gold, and oil receipts are a primary source of US-dollar inflows that anchor the cedi. A shortfall in realised export revenue — whether from lower volumes, rollover losses, or an adverse spread between the domestic farmgate price and falling world futures (as occurred in September 2025, when New York futures fell below COCOBOD's $7,200 FOB benchmark) — reduces dollar liquidity in the domestic market, placing downward pressure on the cedi and raising imported inflation economy-wide </w:t>
      </w:r>
      <w:hyperlink r:id="rId10" w:history="1">
        <w:r>
          <w:rPr>
            <w:rStyle w:val="Hyperlink"/>
          </w:rPr>
          <w:t xml:space="preserve">(NewsGhana, 2025)</w:t>
        </w:r>
      </w:hyperlink>
      <w:r>
        <w:t xml:space="preserve">.</w:t>
      </w:r>
    </w:p>
    <w:p>
      <w:pPr/>
      <w:r>
        <w:rPr>
          <w:b/>
        </w:rPr>
        <w:t xml:space="preserve">Fiscal and balance-sheet channel.</w:t>
      </w:r>
      <w:r>
        <w:t xml:space="preserve"> COCOBOD's losses are not contained within the cocoa sector; they appear on a balance sheet (GH₵32.5 billion in total liabilities as of the 2023/24 crisis) that the state ultimately underwrites, and that the IMF has flagged as a material risk to Ghana's broader fiscal programme </w:t>
      </w:r>
      <w:hyperlink r:id="rId5" w:history="1">
        <w:r>
          <w:rPr>
            <w:rStyle w:val="Hyperlink"/>
          </w:rPr>
          <w:t xml:space="preserve">(Graphic Online, 2025)</w:t>
        </w:r>
      </w:hyperlink>
      <w:r>
        <w:t xml:space="preserve">. Because COCOBOD historically financed purchases through syndicated international loans secured against forward cocoa sales, a collapse in the value or reliability of those forward contracts also threatens the financing architecture itself, compounding the shock.</w:t>
      </w:r>
    </w:p>
    <w:p>
      <w:pPr/>
      <w:r>
        <w:t xml:space="preserve">Each channel is amplified by the degree to which the originating price move reflects manipulation or distortion rather than genuine supply-demand fundamentals, since manipulated moves are by definition disconnected from the information Ghanaian institutions use to plan production, forward sales, and budgets — meaning the resulting mismatch (as in 2023/24) tends to be larger and harder to anticipate.</w:t>
      </w:r>
    </w:p>
    <w:p>
      <w:pPr>
        <w:pStyle w:val="Heading2"/>
      </w:pPr>
      <w:r>
        <w:t xml:space="preserve">5. Case Analysis</w:t>
      </w:r>
    </w:p>
    <w:p>
      <w:pPr/>
      <w:r>
        <w:rPr>
          <w:b/>
        </w:rPr>
        <w:t xml:space="preserve">5.1 Cocoa: the 2023/24 forward-contract crisis.</w:t>
      </w:r>
      <w:r>
        <w:t xml:space="preserve"> This is the paper's central case because it isolates the transmission mechanism with unusual clarity. Ghana's 2023/24 production collapsed to between 425,000 and 530,873 tonnes — the worst harvest in roughly 15 to 22 years — driven by swollen shoot disease, poor weather, and an estimated 160,000 tonnes lost to cross-border smuggling as farmers chased higher prices offered in neighbouring countries </w:t>
      </w:r>
      <w:hyperlink r:id="rId9" w:history="1">
        <w:r>
          <w:rPr>
            <w:rStyle w:val="Hyperlink"/>
          </w:rPr>
          <w:t xml:space="preserve">(Graphic Online, 2025)</w:t>
        </w:r>
      </w:hyperlink>
      <w:r>
        <w:t xml:space="preserve">. COCOBOD had already sold forward 786,672 tonnes against an initial 800,000-tonne projection. As the shortfall became apparent, international cocoa futures simultaneously surged — more than doubling over the prior twelve months and briefly exceeding $11,000 per tonne — amid thin trading conditions, falling open interest, and concentrated positioning by large trading houses reducing exposure in a shrinking market </w:t>
      </w:r>
      <w:hyperlink r:id="rId4" w:history="1">
        <w:r>
          <w:rPr>
            <w:rStyle w:val="Hyperlink"/>
          </w:rPr>
          <w:t xml:space="preserve">(Barchart, 2024)</w:t>
        </w:r>
      </w:hyperlink>
      <w:r>
        <w:t xml:space="preserve">. COCOBOD could not deliver roughly 333,767 tonnes against its forward commitments and was forced to roll these over, realising an estimated $1.3 billion in combined losses ($840 million already recognised, a further $495 million expected) even though world prices were at record highs </w:t>
      </w:r>
      <w:hyperlink r:id="rId5" w:history="1">
        <w:r>
          <w:rPr>
            <w:rStyle w:val="Hyperlink"/>
          </w:rPr>
          <w:t xml:space="preserve">(Graphic Online, 2025)</w:t>
        </w:r>
      </w:hyperlink>
      <w:r>
        <w:t xml:space="preserve">. The episode illustrates a general principle: locking in forward prices without matching production capacity, and without hedging the shortfall risk itself, converts a supply shock into a pure financial loss, regardless of whether the price spike driving that loss is fundamentals-driven, speculatively amplified, or (in part) manipulated.</w:t>
      </w:r>
    </w:p>
    <w:p>
      <w:pPr/>
      <w:r>
        <w:t xml:space="preserve">By September 2025, the relationship had inverted: New York futures fell to $6,966.86 per tonne, below COCOBOD's own $7,200 FOB benchmark, threatening to freeze forward-sale liquidity just as COCOBOD attempted, for the first time in 32 years, to finance purchases without traditional syndicated loans </w:t>
      </w:r>
      <w:hyperlink r:id="rId10" w:history="1">
        <w:r>
          <w:rPr>
            <w:rStyle w:val="Hyperlink"/>
          </w:rPr>
          <w:t xml:space="preserve">(NewsGhana, 2025)</w:t>
        </w:r>
      </w:hyperlink>
      <w:r>
        <w:t xml:space="preserve">. This reversal demonstrates that Ghana's exposure runs in both directions: it loses when it is under-hedged against rising prices it cannot deliver into, and loses again when falling futures undercut a benchmark price it has already committed to pay farmers.</w:t>
      </w:r>
    </w:p>
    <w:p>
      <w:pPr/>
      <w:r>
        <w:rPr>
          <w:b/>
        </w:rPr>
        <w:t xml:space="preserve">5.2 Gold: price volatility without producer control.</w:t>
      </w:r>
      <w:r>
        <w:t xml:space="preserve"> As Africa's largest gold producer, Ghana derives substantial royalty and tax revenue, as well as foreign-exchange inflows, from mining output priced against COMEX futures and the London Bullion Market Association (LBMA) benchmark. Gold is also among the commodities with a documented history of CFTC spoofing enforcement, including a 2015 case involving layered spoofing in COMEX gold and silver futures </w:t>
      </w:r>
      <w:hyperlink r:id="rId3" w:history="1">
        <w:r>
          <w:rPr>
            <w:rStyle w:val="Hyperlink"/>
          </w:rPr>
          <w:t xml:space="preserve">(CFTC/CME, 2015)</w:t>
        </w:r>
      </w:hyperlink>
      <w:r>
        <w:t xml:space="preserve">. Gold overtook cocoa as Ghana's top export earner in 2025, with export earnings reaching approximately $20 billion, nearly double the prior year's figure, following the formation of the Ghana Gold Board (GoldBod) to formalize state oversight of gold trading. Unlike cocoa, Ghanaian gold producers are predominantly large multinational mining companies with access to sophisticated hedging desks; the transmission risk here falls less on corporate revenue and more on the state's royalty and tax take, which moves with spot and futures prices the government has no mechanism to smooth.</w:t>
      </w:r>
    </w:p>
    <w:p>
      <w:pPr/>
      <w:r>
        <w:rPr>
          <w:b/>
        </w:rPr>
        <w:t xml:space="preserve">5.3 Oil: a hybrid exposure.</w:t>
      </w:r>
      <w:r>
        <w:t xml:space="preserve"> Ghana is simultaneously a modest crude oil exporter (via the Jubilee and TEN fields) and a net importer of refined petroleum products. Benchmark distortion on NYMEX or ICE Brent therefore cuts both ways: export revenue and petroleum-related tax receipts rise with manipulated or speculative price spikes, while fuel import costs — and the pump prices that feed directly into inflation and transport costs across the economy — rise simultaneously. This dual exposure complicates straightforward hedging and budget forecasting in a way the single-direction cocoa and gold exposures do not.</w:t>
      </w:r>
    </w:p>
    <w:p>
      <w:pPr/>
      <w:r>
        <w:rPr>
          <w:b/>
        </w:rPr>
        <w:t xml:space="preserve">5.4 Positioning evidence: fundamentals versus distortion.</w:t>
      </w:r>
      <w:r>
        <w:t xml:space="preserve"> Applying the diagnostic set out in Section 3, the available indicators for the 2023/24 cocoa episode point toward a predominantly fundamentals-driven price surge amplified, rather than caused, by thin market conditions. ICCO reporting places the 2023/24 global deficit at 439,000 tonnes — 17% larger than its own February estimate and far above the 74,000-tonne deficit of 2022/23 — while contemporaneous market commentary records aggregate cocoa futures open interest falling to its lowest level since 2010 even as prices tripled, consistent with commercial hedgers and speculative shorts being forced out of the market by margin calls rather than new speculative longs driving the rally </w:t>
      </w:r>
      <w:hyperlink r:id="rId8" w:history="1">
        <w:r>
          <w:rPr>
            <w:rStyle w:val="Hyperlink"/>
          </w:rPr>
          <w:t xml:space="preserve">(Barchart, 2024)</w:t>
        </w:r>
      </w:hyperlink>
      <w:r>
        <w:t xml:space="preserve">. This pattern — rising price with </w:t>
      </w:r>
      <w:r>
        <w:rPr>
          <w:i/>
        </w:rPr>
        <w:t xml:space="preserve">falling</w:t>
      </w:r>
      <w:r>
        <w:t xml:space="preserve"> open interest — is the microstructure signature of a liquidity-constrained fundamentals shock rather than an index-investment-driven bubble of the kind Gilbert (2010) documents for 2006–2008 metals markets, where rising prices coincided with rising speculative open interest. A full confirmatory test requires disaggregating CFTC COT managed-money positioning week-by-week against the ICCO deficit revision schedule for the same period (Section 3); the directional evidence available at the time of writing is consistent with, though not dispositive of, a conclusion that COCOBOD's losses stem primarily from inadequate hedging against a genuine, large supply shock in illiquid conditions, rather than from manipulation in the CFTC's legal sense. This reframing sharpens, rather than weakens, the paper's policy argument: if the losses are attributable to structural under-hedging against ordinary (if extreme) fundamentals-driven volatility, they are more directly within Ghana's own power to prevent through the measures proposed in Section 8 than losses attributable to foreign manipulative conduct would be.</w:t>
      </w:r>
    </w:p>
    <w:p>
      <w:pPr/>
      <w:r>
        <w:rPr>
          <w:b/>
        </w:rPr>
        <w:t xml:space="preserve">5.5 Bauxite and aluminium: value-chain leakage rather than price-taking alone.</w:t>
      </w:r>
      <w:r>
        <w:t xml:space="preserve"> Ghana holds an estimated 920 million tonnes of bauxite reserves, among the largest in Africa, but exports the overwhelming majority of it in raw, unprocessed form while the state-owned Volta Aluminium Company (VALCO) simultaneously imports refined alumina to produce finished aluminium — exporting a low-value input and importing a higher-value one derived from it </w:t>
      </w:r>
      <w:hyperlink r:id="rId11" w:history="1">
        <w:r>
          <w:rPr>
            <w:rStyle w:val="Hyperlink"/>
          </w:rPr>
          <w:t xml:space="preserve">(Graphic Online, n.d.)</w:t>
        </w:r>
      </w:hyperlink>
      <w:r>
        <w:t xml:space="preserve">. Unlike cocoa, gold, and oil, bauxite itself has no major global futures contract; the relevant benchmark exposure runs through the London Metal Exchange (LME) aluminium price, which determines the value of the finished product Ghana could be exporting but mostly is not. VALCO's 2025 revenue of roughly $120 million — against reserves and smelting capacity that, if fully utilised, industry officials project could generate over $1 billion annually by 2035 — illustrates a distinct structural vulnerability from the ones analysed above: this is not primarily a price-transmission problem but a value-capture problem, in which Ghana forfeits the processing margin regardless of where the LME price sits, because it lacks the domestic refining and smelting capacity to monetise the commodity at the stage where most of the value, and most of the exchange-traded pricing, actually occurs. Renewed state investment in VALCO's smelting capacity and a 2026 agreement to expand downstream aluminium processing represent an attempt to close this gap.</w:t>
      </w:r>
    </w:p>
    <w:p>
      <w:pPr/>
      <w:r>
        <w:rPr>
          <w:b/>
        </w:rPr>
        <w:t xml:space="preserve">5.6 Other agricultural exports: diversification without price protection.</w:t>
      </w:r>
      <w:r>
        <w:t xml:space="preserve"> Ghana's non-traditional agricultural exports — principally cashew nuts, shea (karite) nuts, bananas, and cut flowers — generated $710 million in 2025, up 38% year-on-year, with cashew ($298 million) and shea ($178 million) the two largest contributors </w:t>
      </w:r>
      <w:hyperlink r:id="rId12" w:history="1">
        <w:r>
          <w:rPr>
            <w:rStyle w:val="Hyperlink"/>
          </w:rPr>
          <w:t xml:space="preserve">(Ecofin Agency, 2026)</w:t>
        </w:r>
      </w:hyperlink>
      <w:r>
        <w:t xml:space="preserve">. This growth is frequently described as reducing Ghana's cocoa dependence, but it does not, on its own, reduce exposure to the mechanisms analysed in this paper: the large majority of cashew is still exported as raw, unshelled nuts rather than processed kernels, forfeiting value-added margin in the same pattern seen in bauxite, and shea nut exports surged in 2025 specifically in anticipation of an export ban intended to force domestic processing — a policy response to the same raw-export vulnerability. Government's 2026 tree-crop diversification strategy explicitly targets ending raw exports of cashew, shea, and rubber by 2035. Diversification across more commodities therefore spreads Ghana's price-transmission risk across a wider basket, but it does not by itself address the structural vulnerabilities of Section 6 — value-chain leakage from under-processing, and price-taker exposure on whichever benchmark exchange prices the raw input, apply across this wider basket just as they do to cocoa.</w:t>
      </w:r>
    </w:p>
    <w:p>
      <w:pPr>
        <w:pStyle w:val="Heading2"/>
      </w:pPr>
      <w:r>
        <w:t xml:space="preserve">6. Structural Vulnerabilities in Ghanaian Commodity Trading</w:t>
      </w:r>
    </w:p>
    <w:p>
      <w:pPr/>
      <w:r>
        <w:t xml:space="preserve">Five compounding practices explain why global price distortion lands with disproportionate force in Ghana, relative to other commodity-dependent economies with more developed risk-management capacity.</w:t>
      </w:r>
    </w:p>
    <w:tbl>
      <w:tblPr>
        <w:tblStyle w:val="TableGrid"/>
        <w:tblW w:w="0" w:type="auto"/>
        <w:tblLayout w:type="fixed"/>
        <w:tblLook w:val="04A0" w:firstRow="1" w:lastRow="0" w:firstColumn="0" w:lastColumn="0" w:noHBand="0" w:noVBand="1"/>
      </w:tblPr>
      <w:tblGrid>
        <w:gridCol w:w="1978"/>
        <w:gridCol w:w="4205"/>
        <w:gridCol w:w="3177"/>
      </w:tblGrid>
      <w:tr>
        <w:trPr>
          <w:tblHeader/>
        </w:trPr>
        <w:tc>
          <w:tcPr>
            <w:tcW w:w="1978" w:type="dxa"/>
            <w:shd w:val="clear" w:color="auto" w:fill="F2F2F2"/>
          </w:tcPr>
          <w:p>
            <w:pPr/>
            <w:r>
              <w:t xml:space="preserve">Vulnerability</w:t>
            </w:r>
          </w:p>
        </w:tc>
        <w:tc>
          <w:tcPr>
            <w:tcW w:w="4205" w:type="dxa"/>
            <w:shd w:val="clear" w:color="auto" w:fill="F2F2F2"/>
          </w:tcPr>
          <w:p>
            <w:pPr/>
            <w:r>
              <w:t xml:space="preserve">Mechanism</w:t>
            </w:r>
          </w:p>
        </w:tc>
        <w:tc>
          <w:tcPr>
            <w:tcW w:w="3177" w:type="dxa"/>
            <w:shd w:val="clear" w:color="auto" w:fill="F2F2F2"/>
          </w:tcPr>
          <w:p>
            <w:pPr/>
            <w:r>
              <w:t xml:space="preserve">Illustration</w:t>
            </w:r>
          </w:p>
        </w:tc>
      </w:tr>
      <w:tr>
        <w:tc>
          <w:tcPr>
            <w:tcW w:w="1978" w:type="dxa"/>
          </w:tcPr>
          <w:p>
            <w:pPr/>
            <w:r>
              <w:t xml:space="preserve">Price-taker dependency</w:t>
            </w:r>
          </w:p>
        </w:tc>
        <w:tc>
          <w:tcPr>
            <w:tcW w:w="4205" w:type="dxa"/>
          </w:tcPr>
          <w:p>
            <w:pPr/>
            <w:r>
              <w:t xml:space="preserve">Benchmark price is set entirely on foreign exchanges; Ghana has no influence over price formation</w:t>
            </w:r>
          </w:p>
        </w:tc>
        <w:tc>
          <w:tcPr>
            <w:tcW w:w="3177" w:type="dxa"/>
          </w:tcPr>
          <w:p>
            <w:pPr/>
            <w:r>
              <w:t xml:space="preserve">FOB cocoa price pegged to ICE futures with no domestic reference price</w:t>
            </w:r>
          </w:p>
        </w:tc>
      </w:tr>
      <w:tr>
        <w:tc>
          <w:tcPr>
            <w:tcW w:w="1978" w:type="dxa"/>
          </w:tcPr>
          <w:p>
            <w:pPr/>
            <w:r>
              <w:t xml:space="preserve">Absent domestic hedging infrastructure</w:t>
            </w:r>
          </w:p>
        </w:tc>
        <w:tc>
          <w:tcPr>
            <w:tcW w:w="4205" w:type="dxa"/>
          </w:tcPr>
          <w:p>
            <w:pPr/>
            <w:r>
              <w:t xml:space="preserve">No local futures or options market denominated in cedis; all hedging, where it exists, is dollar-denominated and routed through foreign counterparties</w:t>
            </w:r>
          </w:p>
        </w:tc>
        <w:tc>
          <w:tcPr>
            <w:tcW w:w="3177" w:type="dxa"/>
          </w:tcPr>
          <w:p>
            <w:pPr/>
            <w:r>
              <w:t xml:space="preserve">COCOBOD's forward sales are themselves a blunt hedge with no matching options overlay for production-shortfall risk</w:t>
            </w:r>
          </w:p>
        </w:tc>
      </w:tr>
      <w:tr>
        <w:tc>
          <w:tcPr>
            <w:tcW w:w="1978" w:type="dxa"/>
          </w:tcPr>
          <w:p>
            <w:pPr/>
            <w:r>
              <w:t xml:space="preserve">Information asymmetry</w:t>
            </w:r>
          </w:p>
        </w:tc>
        <w:tc>
          <w:tcPr>
            <w:tcW w:w="4205" w:type="dxa"/>
          </w:tcPr>
          <w:p>
            <w:pPr/>
            <w:r>
              <w:t xml:space="preserve">Limited real-time access to futures positioning data (e.g., CFTC Commitment of Traders reports) that would signal building speculative pressure</w:t>
            </w:r>
          </w:p>
        </w:tc>
        <w:tc>
          <w:tcPr>
            <w:tcW w:w="3177" w:type="dxa"/>
          </w:tcPr>
          <w:p>
            <w:pPr/>
            <w:r>
              <w:t xml:space="preserve">Production projections (800,000 tonnes) set independently of visible futures positioning that later proved incompatible with delivery</w:t>
            </w:r>
          </w:p>
        </w:tc>
      </w:tr>
      <w:tr>
        <w:tc>
          <w:tcPr>
            <w:tcW w:w="1978" w:type="dxa"/>
          </w:tcPr>
          <w:p>
            <w:pPr/>
            <w:r>
              <w:t xml:space="preserve">Monopsonistic concentration</w:t>
            </w:r>
          </w:p>
        </w:tc>
        <w:tc>
          <w:tcPr>
            <w:tcW w:w="4205" w:type="dxa"/>
          </w:tcPr>
          <w:p>
            <w:pPr/>
            <w:r>
              <w:t xml:space="preserve">A single state entity (COCOBOD) aggregates nearly all price risk for an entire sector, rather than risk being distributed across many independently hedging private exporters</w:t>
            </w:r>
          </w:p>
        </w:tc>
        <w:tc>
          <w:tcPr>
            <w:tcW w:w="3177" w:type="dxa"/>
          </w:tcPr>
          <w:p>
            <w:pPr/>
            <w:r>
              <w:t xml:space="preserve">One institution's rollover losses become a national fiscal event</w:t>
            </w:r>
          </w:p>
        </w:tc>
      </w:tr>
      <w:tr>
        <w:tc>
          <w:tcPr>
            <w:tcW w:w="1978" w:type="dxa"/>
          </w:tcPr>
          <w:p>
            <w:pPr/>
            <w:r>
              <w:t xml:space="preserve">Undercapitalized speculative exposure</w:t>
            </w:r>
          </w:p>
        </w:tc>
        <w:tc>
          <w:tcPr>
            <w:tcW w:w="4205" w:type="dxa"/>
          </w:tcPr>
          <w:p>
            <w:pPr/>
            <w:r>
              <w:t xml:space="preserve">Forward commitments made without matching capital buffers or production-capacity guarantees</w:t>
            </w:r>
          </w:p>
        </w:tc>
        <w:tc>
          <w:tcPr>
            <w:tcW w:w="3177" w:type="dxa"/>
          </w:tcPr>
          <w:p>
            <w:pPr/>
            <w:r>
              <w:t xml:space="preserve">786,672 tonnes committed against a harvest that delivered as little as 425,000 tonnes</w:t>
            </w:r>
          </w:p>
        </w:tc>
      </w:tr>
      <w:tr>
        <w:tc>
          <w:tcPr>
            <w:tcW w:w="1978" w:type="dxa"/>
          </w:tcPr>
          <w:p>
            <w:pPr/>
            <w:r>
              <w:t xml:space="preserve">Value-chain leakage from raw export</w:t>
            </w:r>
          </w:p>
        </w:tc>
        <w:tc>
          <w:tcPr>
            <w:tcW w:w="4205" w:type="dxa"/>
          </w:tcPr>
          <w:p>
            <w:pPr/>
            <w:r>
              <w:t xml:space="preserve">Commodities are exported unprocessed, forfeiting downstream margin regardless of benchmark price level</w:t>
            </w:r>
          </w:p>
        </w:tc>
        <w:tc>
          <w:tcPr>
            <w:tcW w:w="3177" w:type="dxa"/>
          </w:tcPr>
          <w:p>
            <w:pPr/>
            <w:r>
              <w:t xml:space="preserve">Raw bauxite exported while VALCO imports refined alumina; most cashew exported unshelled</w:t>
            </w:r>
          </w:p>
        </w:tc>
      </w:tr>
    </w:tbl>
    <w:p>
      <w:pPr/>
      <w:r>
        <w:t xml:space="preserve">These vulnerabilities interact. Because COCOBOD is simultaneously the price-taker, the sole forward-seller, and the entity bearing undercapitalized exposure, there is no intermediate layer — no domestic market-maker, clearing house, or diversified set of private hedgers — that could absorb or distribute a shock before it reaches the state balance sheet and, from there, farmers and the fiscus. In more diversified producing economies, price risk is spread across many firms with differing hedge ratios and risk appetites; in Ghana's cocoa sector, it is concentrated in one undercapitalized institution with limited access to the positioning data that would let it anticipate manipulative or speculative price moves before committing to forward volumes it may not be able to deliver.</w:t>
      </w:r>
    </w:p>
    <w:p>
      <w:pPr>
        <w:pStyle w:val="Heading2"/>
      </w:pPr>
      <w:r>
        <w:t xml:space="preserve">7. Economic and Social Impacts</w:t>
      </w:r>
    </w:p>
    <w:p>
      <w:pPr/>
      <w:r>
        <w:rPr>
          <w:b/>
        </w:rPr>
        <w:t xml:space="preserve">Currency and inflation.</w:t>
      </w:r>
      <w:r>
        <w:t xml:space="preserve"> Shortfalls in dollar export receipts, whether from rollover losses or an adverse spread between domestic benchmark and world futures prices, weaken the cedi's supply-demand balance, raising the local-currency cost of imports economy-wide — an effect felt disproportionately by lower-income households whose consumption baskets are import-intensive.</w:t>
      </w:r>
    </w:p>
    <w:p>
      <w:pPr/>
      <w:r>
        <w:rPr>
          <w:b/>
        </w:rPr>
        <w:t xml:space="preserve">Fiscal instability.</w:t>
      </w:r>
      <w:r>
        <w:t xml:space="preserve"> COCOBOD's GH₵32.5 billion liability position is not isolated from the sovereign balance sheet: the IMF has identified COCOBOD's recurring losses as a material risk to Ghana's broader fiscal stability, complicating debt-service planning and conditionality under IMF-supported programmes </w:t>
      </w:r>
      <w:hyperlink r:id="rId5" w:history="1">
        <w:r>
          <w:rPr>
            <w:rStyle w:val="Hyperlink"/>
          </w:rPr>
          <w:t xml:space="preserve">(Graphic Online, 2025)</w:t>
        </w:r>
      </w:hyperlink>
      <w:r>
        <w:t xml:space="preserve">.</w:t>
      </w:r>
    </w:p>
    <w:p>
      <w:pPr/>
      <w:r>
        <w:rPr>
          <w:b/>
        </w:rPr>
        <w:t xml:space="preserve">Smallholder farmer welfare.</w:t>
      </w:r>
      <w:r>
        <w:t xml:space="preserve"> Farmers are the furthest participants from the exchange floor yet bear risk first. Ghana's domestic pricing policy targets a minimum 70% share of the FOB price for farmers, but the farmgate price is set well in advance of, and independently from, the futures-driven swings that determine the benchmark's ultimate value; farmers who missed the 2023/24 price boom due to delayed farmgate adjustments, and who then faced a falling world price against a fixed domestic benchmark in 2025, absorbed both the upside miss and the downside risk </w:t>
      </w:r>
      <w:hyperlink r:id="rId13" w:history="1">
        <w:r>
          <w:rPr>
            <w:rStyle w:val="Hyperlink"/>
          </w:rPr>
          <w:t xml:space="preserve">(Just Food, 2024)</w:t>
        </w:r>
      </w:hyperlink>
      <w:r>
        <w:t xml:space="preserve">; </w:t>
      </w:r>
      <w:hyperlink r:id="rId10" w:history="1">
        <w:r>
          <w:rPr>
            <w:rStyle w:val="Hyperlink"/>
          </w:rPr>
          <w:t xml:space="preserve">(NewsGhana, 2025)</w:t>
        </w:r>
      </w:hyperlink>
      <w:r>
        <w:t xml:space="preserve">. Payment delays linked to COCOBOD's liquidity position have triggered farmer protests, including a February 2025 demonstration by Western North Region farmers at COCOBOD's Accra headquarters.</w:t>
      </w:r>
    </w:p>
    <w:p>
      <w:pPr/>
      <w:r>
        <w:rPr>
          <w:b/>
        </w:rPr>
        <w:t xml:space="preserve">Smuggling and informalisation.</w:t>
      </w:r>
      <w:r>
        <w:t xml:space="preserve"> When the domestic farmgate price lags regional or world prices, farmers have a direct financial incentive to sell across Ghana's porous borders rather than through formal COCOBOD channels; cumulative smuggling losses since 2021/22 are estimated at over 473,000 tonnes, worth approximately $1.28 billion. This both reduces Ghana's recorded export volumes and weakens the state's ability to meet forward commitments, feeding back into the rollover-loss dynamic described in Section 4.</w:t>
      </w:r>
    </w:p>
    <w:p>
      <w:pPr/>
      <w:r>
        <w:rPr>
          <w:b/>
        </w:rPr>
        <w:t xml:space="preserve">Capital-market confidence.</w:t>
      </w:r>
      <w:r>
        <w:t xml:space="preserve"> Extreme volatility and visible institutional losses raise the risk premium investors demand on Ghanaian sovereign and quasi-sovereign debt, including any proposed domestic cocoa bond, particularly in the wake of losses institutional holders already suffered under Ghana's domestic debt exchange programme — a credibility cost that compounds the direct financial losses described above.</w:t>
      </w:r>
    </w:p>
    <w:p>
      <w:pPr>
        <w:pStyle w:val="Heading2"/>
      </w:pPr>
      <w:r>
        <w:t xml:space="preserve">8. Policy Recommendations</w:t>
      </w:r>
    </w:p>
    <w:p>
      <w:pPr>
        <w:pStyle w:val="ListParagraph"/>
        <w:numPr>
          <w:ilvl w:val="0"/>
          <w:numId w:val="2"/>
        </w:numPr>
      </w:pPr>
      <w:r>
        <w:rPr>
          <w:b/>
        </w:rPr>
        <w:t xml:space="preserve">Build genuine hedging capacity at COCOBOD.</w:t>
      </w:r>
      <w:r>
        <w:t xml:space="preserve"> Forward sales should be paired with options-based downside protection (puts against a production shortfall, calls against a delivery failure) rather than relying on uncovered forward commitments alone, so that a repeat of the 2023/24 mismatch between projected and actual output does not translate directly into rollover losses.</w:t>
      </w:r>
    </w:p>
    <w:p>
      <w:pPr>
        <w:pStyle w:val="ListParagraph"/>
        <w:numPr>
          <w:ilvl w:val="0"/>
          <w:numId w:val="2"/>
        </w:numPr>
      </w:pPr>
      <w:r>
        <w:rPr>
          <w:b/>
        </w:rPr>
        <w:t xml:space="preserve">Separate production-risk forecasting from forward-sale commitment.</w:t>
      </w:r>
      <w:r>
        <w:t xml:space="preserve"> Forward volumes should be set against conservative, disease- and weather-adjusted production estimates rather than aspirational targets, with a formal margin of safety before 100% of projected output is committed forward.</w:t>
      </w:r>
    </w:p>
    <w:p>
      <w:pPr>
        <w:pStyle w:val="ListParagraph"/>
        <w:numPr>
          <w:ilvl w:val="0"/>
          <w:numId w:val="2"/>
        </w:numPr>
      </w:pPr>
      <w:r>
        <w:rPr>
          <w:b/>
        </w:rPr>
        <w:t xml:space="preserve">Develop regional derivatives capacity.</w:t>
      </w:r>
      <w:r>
        <w:t xml:space="preserve"> A West African cocoa and commodities exchange, or a cedi-denominated hedging facility developed jointly with Côte d'Ivoire (which together with Ghana produces the large majority of world cocoa), would let the region hedge without routing all price risk through dollar-denominated foreign exchanges, and would give Ghana some influence over price discovery rather than pure price-taking.</w:t>
      </w:r>
    </w:p>
    <w:p>
      <w:pPr>
        <w:pStyle w:val="ListParagraph"/>
        <w:numPr>
          <w:ilvl w:val="0"/>
          <w:numId w:val="2"/>
        </w:numPr>
      </w:pPr>
      <w:r>
        <w:rPr>
          <w:b/>
        </w:rPr>
        <w:t xml:space="preserve">Improve access to positioning data.</w:t>
      </w:r>
      <w:r>
        <w:t xml:space="preserve"> Subscribing to and systematically analysing CFTC Commitment of Traders and equivalent ICE positioning data would give COCOBOD's risk desk visibility into building speculative concentration before it manifests as a price spike, improving the timing of forward-sale decisions.</w:t>
      </w:r>
    </w:p>
    <w:p>
      <w:pPr>
        <w:pStyle w:val="ListParagraph"/>
        <w:numPr>
          <w:ilvl w:val="0"/>
          <w:numId w:val="2"/>
        </w:numPr>
      </w:pPr>
      <w:r>
        <w:rPr>
          <w:b/>
        </w:rPr>
        <w:t xml:space="preserve">Decouple farmgate pricing from the full FOB swing.</w:t>
      </w:r>
      <w:r>
        <w:t xml:space="preserve"> A price-smoothing mechanism — a stabilisation fund that captures upside in boom years to cushion farmers in downturns — would reduce farmers' direct exposure to both the upside they currently miss and the downside they currently absorb.</w:t>
      </w:r>
    </w:p>
    <w:p>
      <w:pPr>
        <w:pStyle w:val="ListParagraph"/>
        <w:numPr>
          <w:ilvl w:val="0"/>
          <w:numId w:val="2"/>
        </w:numPr>
      </w:pPr>
      <w:r>
        <w:rPr>
          <w:b/>
        </w:rPr>
        <w:t xml:space="preserve">Strengthen anti-smuggling enforcement alongside price competitiveness.</w:t>
      </w:r>
      <w:r>
        <w:t xml:space="preserve"> Because smuggling is itself a response to the farmgate-world price gap, enforcement alone is insufficient; competitive, timely farmgate pricing is a precondition for reducing informal cross-border flows.</w:t>
      </w:r>
    </w:p>
    <w:p>
      <w:pPr>
        <w:pStyle w:val="ListParagraph"/>
        <w:numPr>
          <w:ilvl w:val="0"/>
          <w:numId w:val="2"/>
        </w:numPr>
      </w:pPr>
      <w:r>
        <w:rPr>
          <w:b/>
        </w:rPr>
        <w:t xml:space="preserve">Pursue transparency and diversification at the institutional level.</w:t>
      </w:r>
      <w:r>
        <w:t xml:space="preserve"> Independent audits of COCOBOD's forward-sale book, publicly disclosed hedge ratios, and gradual diversification of counterparties away from a small number of large trading houses would reduce both manipulation exposure and concentration risk.</w:t>
      </w:r>
    </w:p>
    <w:p>
      <w:pPr>
        <w:pStyle w:val="Heading2"/>
      </w:pPr>
      <w:r>
        <w:t xml:space="preserve">9. Conclusion</w:t>
      </w:r>
    </w:p>
    <w:p>
      <w:pPr/>
      <w:r>
        <w:t xml:space="preserve">Commodity market manipulation and distortion in the United States and United Kingdom do not stay contained within those jurisdictions. For a commodity-dependent economy such as Ghana, price formation on ICE, COMEX, and NYMEX is directly transmitted into farmgate prices, foreign-exchange availability, and the sovereign fiscal position, through channels that operate regardless of whether Ghana itself has done anything wrong. What determines the magnitude of the damage, however, is substantially within Ghana's control: the 2023/24 cocoa crisis shows that an institution operating as an uncovered, undercapitalized price-taker — forward-selling without adequate hedges, forecasting optimistically, and concentrating an entire sector's risk in one entity — converts an external price shock into a far larger domestic financial and social crisis than the shock itself required. The maker-taker framework clarifies the asymmetry at the heart of this relationship: Ghana will not become a price-maker on global cocoa, gold, or oil markets in the near term, but it can close much of the gap between taker-by-necessity and taker-by-negligence through hedging infrastructure, better production forecasting, regional market development, and institutional transparency. Future research should complete the week-by-week CFTC positioning analysis sketched in Sections 3 and 5.2, quantify the counterfactual losses avoidable under alternative hedging regimes, and, once this cocoa-specific framework is validated, extend it to Ghana's gold and oil sectors, where comparable institutional data is currently less publicly available.</w:t>
      </w:r>
    </w:p>
    <w:p>
      <w:pPr>
        <w:pStyle w:val="Heading2"/>
      </w:pPr>
      <w:r>
        <w:t xml:space="preserve">References</w:t>
      </w:r>
    </w:p>
    <w:p>
      <w:pPr/>
      <w:r>
        <w:t xml:space="preserve">Barchart. (2024a). </w:t>
      </w:r>
      <w:r>
        <w:rPr>
          <w:i/>
        </w:rPr>
        <w:t xml:space="preserve">Cocoa prices finish sharply lower on improved growing conditions in West Africa.</w:t>
      </w:r>
      <w:r>
        <w:t xml:space="preserve"> </w:t>
      </w:r>
      <w:hyperlink r:id="rId4" w:history="1">
        <w:r>
          <w:rPr>
            <w:rStyle w:val="Hyperlink"/>
          </w:rPr>
          <w:t xml:space="preserve">barchart.com</w:t>
        </w:r>
      </w:hyperlink>
    </w:p>
    <w:p>
      <w:pPr/>
      <w:r>
        <w:t xml:space="preserve">Barchart. (2024b). </w:t>
      </w:r>
      <w:r>
        <w:rPr>
          <w:i/>
        </w:rPr>
        <w:t xml:space="preserve">Cocoa prices recover on reduced Ivory Coast cocoa production.</w:t>
      </w:r>
      <w:r>
        <w:t xml:space="preserve"> </w:t>
      </w:r>
      <w:hyperlink r:id="rId8" w:history="1">
        <w:r>
          <w:rPr>
            <w:rStyle w:val="Hyperlink"/>
          </w:rPr>
          <w:t xml:space="preserve">barchart.com</w:t>
        </w:r>
      </w:hyperlink>
    </w:p>
    <w:p>
      <w:pPr/>
      <w:r>
        <w:t xml:space="preserve">Commodity Futures Trading Commission. (2018a). </w:t>
      </w:r>
      <w:r>
        <w:rPr>
          <w:i/>
        </w:rPr>
        <w:t xml:space="preserve">CFTC charges trader Krishna Mohan with spoofing and engaging in a manipulative and deceptive scheme</w:t>
      </w:r>
      <w:r>
        <w:t xml:space="preserve"> (Release No. 7687-18). </w:t>
      </w:r>
      <w:hyperlink r:id="rId6" w:history="1">
        <w:r>
          <w:rPr>
            <w:rStyle w:val="Hyperlink"/>
          </w:rPr>
          <w:t xml:space="preserve">cftc.gov</w:t>
        </w:r>
      </w:hyperlink>
    </w:p>
    <w:p>
      <w:pPr/>
      <w:r>
        <w:t xml:space="preserve">Commodity Futures Trading Commission. (2018b). </w:t>
      </w:r>
      <w:r>
        <w:rPr>
          <w:i/>
        </w:rPr>
        <w:t xml:space="preserve">CFTC charges Jiongsheng Zhao with spoofing and engaging in a manipulative and deceptive scheme</w:t>
      </w:r>
      <w:r>
        <w:t xml:space="preserve"> (Release No. 7688-18). </w:t>
      </w:r>
      <w:hyperlink r:id="rId7" w:history="1">
        <w:r>
          <w:rPr>
            <w:rStyle w:val="Hyperlink"/>
          </w:rPr>
          <w:t xml:space="preserve">cftc.gov</w:t>
        </w:r>
      </w:hyperlink>
    </w:p>
    <w:p>
      <w:pPr/>
      <w:r>
        <w:t xml:space="preserve">Commodity Futures Trading Commission. (n.d.). </w:t>
      </w:r>
      <w:r>
        <w:rPr>
          <w:i/>
        </w:rPr>
        <w:t xml:space="preserve">Commitments of Traders reports.</w:t>
      </w:r>
      <w:r>
        <w:t xml:space="preserve"> </w:t>
      </w:r>
      <w:hyperlink r:id="rId14" w:history="1">
        <w:r>
          <w:rPr>
            <w:rStyle w:val="Hyperlink"/>
          </w:rPr>
          <w:t xml:space="preserve">cftc.gov</w:t>
        </w:r>
      </w:hyperlink>
    </w:p>
    <w:p>
      <w:pPr/>
      <w:r>
        <w:t xml:space="preserve">Gilbert, C. L. (2010). </w:t>
      </w:r>
      <w:r>
        <w:rPr>
          <w:i/>
        </w:rPr>
        <w:t xml:space="preserve">Speculative influences on commodity futures prices 2006–2008</w:t>
      </w:r>
      <w:r>
        <w:t xml:space="preserve"> (UNCTAD Discussion Paper No. 197). United Nations Conference on Trade and Development. </w:t>
      </w:r>
      <w:hyperlink r:id="rId15" w:history="1">
        <w:r>
          <w:rPr>
            <w:rStyle w:val="Hyperlink"/>
          </w:rPr>
          <w:t xml:space="preserve">unctad.org</w:t>
        </w:r>
      </w:hyperlink>
    </w:p>
    <w:p>
      <w:pPr/>
      <w:r>
        <w:t xml:space="preserve">Glosten, L. R., &amp; Milgrom, P. R. (1985). Bid, ask and transaction prices in a specialist market with heterogeneously informed traders. </w:t>
      </w:r>
      <w:r>
        <w:rPr>
          <w:i/>
        </w:rPr>
        <w:t xml:space="preserve">Journal of Financial Economics, 14</w:t>
      </w:r>
      <w:r>
        <w:t xml:space="preserve">(1), 71–100.</w:t>
      </w:r>
    </w:p>
    <w:p>
      <w:pPr/>
      <w:r>
        <w:t xml:space="preserve">Graphic Online. (2025a). </w:t>
      </w:r>
      <w:r>
        <w:rPr>
          <w:i/>
        </w:rPr>
        <w:t xml:space="preserve">COCOBOD's contract rollover costs nation $1.3 billion.</w:t>
      </w:r>
      <w:r>
        <w:t xml:space="preserve"> </w:t>
      </w:r>
      <w:hyperlink r:id="rId5" w:history="1">
        <w:r>
          <w:rPr>
            <w:rStyle w:val="Hyperlink"/>
          </w:rPr>
          <w:t xml:space="preserve">graphic.com.gh</w:t>
        </w:r>
      </w:hyperlink>
    </w:p>
    <w:p>
      <w:pPr/>
      <w:r>
        <w:t xml:space="preserve">Graphic Online. (2025b). </w:t>
      </w:r>
      <w:r>
        <w:rPr>
          <w:i/>
        </w:rPr>
        <w:t xml:space="preserve">Cocoa paradox: How Ghana missed the boom and paid the price.</w:t>
      </w:r>
      <w:r>
        <w:t xml:space="preserve"> </w:t>
      </w:r>
      <w:hyperlink r:id="rId9" w:history="1">
        <w:r>
          <w:rPr>
            <w:rStyle w:val="Hyperlink"/>
          </w:rPr>
          <w:t xml:space="preserve">graphic.com.gh</w:t>
        </w:r>
      </w:hyperlink>
    </w:p>
    <w:p>
      <w:pPr/>
      <w:r>
        <w:t xml:space="preserve">International Cocoa Organization. (n.d.). </w:t>
      </w:r>
      <w:r>
        <w:rPr>
          <w:i/>
        </w:rPr>
        <w:t xml:space="preserve">Quarterly Bulletin of Cocoa Statistics.</w:t>
      </w:r>
      <w:r>
        <w:t xml:space="preserve"> </w:t>
      </w:r>
      <w:hyperlink r:id="rId16" w:history="1">
        <w:r>
          <w:rPr>
            <w:rStyle w:val="Hyperlink"/>
          </w:rPr>
          <w:t xml:space="preserve">icco.org</w:t>
        </w:r>
      </w:hyperlink>
    </w:p>
    <w:p>
      <w:pPr/>
      <w:r>
        <w:t xml:space="preserve">Just Food. (2024). </w:t>
      </w:r>
      <w:r>
        <w:rPr>
          <w:i/>
        </w:rPr>
        <w:t xml:space="preserve">Ghana raises farmgate cocoa prices.</w:t>
      </w:r>
      <w:r>
        <w:t xml:space="preserve"> </w:t>
      </w:r>
      <w:hyperlink r:id="rId13" w:history="1">
        <w:r>
          <w:rPr>
            <w:rStyle w:val="Hyperlink"/>
          </w:rPr>
          <w:t xml:space="preserve">just-food.com</w:t>
        </w:r>
      </w:hyperlink>
    </w:p>
    <w:p>
      <w:pPr/>
      <w:r>
        <w:t xml:space="preserve">Kyle, A. S. (1985). Continuous auctions and insider trading. </w:t>
      </w:r>
      <w:r>
        <w:rPr>
          <w:i/>
        </w:rPr>
        <w:t xml:space="preserve">Econometrica, 53</w:t>
      </w:r>
      <w:r>
        <w:t xml:space="preserve">(6), 1315–1335.</w:t>
      </w:r>
    </w:p>
    <w:p>
      <w:pPr/>
      <w:r>
        <w:t xml:space="preserve">Modern Ghana. (2025). </w:t>
      </w:r>
      <w:r>
        <w:rPr>
          <w:i/>
        </w:rPr>
        <w:t xml:space="preserve">Beyond the price cut: What Ghana's cocoa crisis reveals.</w:t>
      </w:r>
      <w:r>
        <w:t xml:space="preserve"> </w:t>
      </w:r>
      <w:hyperlink r:id="rId17" w:history="1">
        <w:r>
          <w:rPr>
            <w:rStyle w:val="Hyperlink"/>
          </w:rPr>
          <w:t xml:space="preserve">modernghana.com</w:t>
        </w:r>
      </w:hyperlink>
    </w:p>
    <w:p>
      <w:pPr/>
      <w:r>
        <w:t xml:space="preserve">NewsGhana. (2025). </w:t>
      </w:r>
      <w:r>
        <w:rPr>
          <w:i/>
        </w:rPr>
        <w:t xml:space="preserve">Ghana cocoa farmers face double blow from price slump.</w:t>
      </w:r>
      <w:r>
        <w:t xml:space="preserve"> </w:t>
      </w:r>
      <w:hyperlink r:id="rId10" w:history="1">
        <w:r>
          <w:rPr>
            <w:rStyle w:val="Hyperlink"/>
          </w:rPr>
          <w:t xml:space="preserve">newsghana.com.gh</w:t>
        </w:r>
      </w:hyperlink>
    </w:p>
    <w:p>
      <w:pPr/>
      <w:r>
        <w:t xml:space="preserve">United Nations Conference on Trade and Development. (2009). </w:t>
      </w:r>
      <w:r>
        <w:rPr>
          <w:i/>
        </w:rPr>
        <w:t xml:space="preserve">Trade and Development Report 2009.</w:t>
      </w:r>
      <w:r>
        <w:t xml:space="preserve"> </w:t>
      </w:r>
      <w:hyperlink r:id="rId18" w:history="1">
        <w:r>
          <w:rPr>
            <w:rStyle w:val="Hyperlink"/>
          </w:rPr>
          <w:t xml:space="preserve">unctad.org</w:t>
        </w:r>
      </w:hyperlink>
    </w:p>
    <w:p>
      <w:pPr/>
      <w:r>
        <w:t xml:space="preserve">Bank of Ghana. (n.d.). </w:t>
      </w:r>
      <w:r>
        <w:rPr>
          <w:i/>
        </w:rPr>
        <w:t xml:space="preserve">Database Portal.</w:t>
      </w:r>
      <w:r>
        <w:t xml:space="preserve"> </w:t>
      </w:r>
      <w:hyperlink r:id="rId19" w:history="1">
        <w:r>
          <w:rPr>
            <w:rStyle w:val="Hyperlink"/>
          </w:rPr>
          <w:t xml:space="preserve">app.datawarehousepro.com</w:t>
        </w:r>
      </w:hyperlink>
    </w:p>
    <w:p>
      <w:pPr/>
      <w:r>
        <w:t xml:space="preserve">Ghana Gold Board (GoldBod). (2026). </w:t>
      </w:r>
      <w:r>
        <w:rPr>
          <w:i/>
        </w:rPr>
        <w:t xml:space="preserve">Ghana records US$20bn in gold export earnings in 2025.</w:t>
      </w:r>
      <w:r>
        <w:t xml:space="preserve"> </w:t>
      </w:r>
      <w:hyperlink r:id="rId20" w:history="1">
        <w:r>
          <w:rPr>
            <w:rStyle w:val="Hyperlink"/>
          </w:rPr>
          <w:t xml:space="preserve">goldbod.gov.gh</w:t>
        </w:r>
      </w:hyperlink>
    </w:p>
    <w:p>
      <w:pPr/>
      <w:r>
        <w:t xml:space="preserve">Minerals Commission of Ghana. (n.d.). Official website. </w:t>
      </w:r>
      <w:hyperlink r:id="rId21" w:history="1">
        <w:r>
          <w:rPr>
            <w:rStyle w:val="Hyperlink"/>
          </w:rPr>
          <w:t xml:space="preserve">mincom.gov.gh</w:t>
        </w:r>
      </w:hyperlink>
    </w:p>
    <w:p>
      <w:pPr/>
      <w:r>
        <w:t xml:space="preserve">Graphic Online. (n.d.). </w:t>
      </w:r>
      <w:r>
        <w:rPr>
          <w:i/>
        </w:rPr>
        <w:t xml:space="preserve">Ghana must realise bauxite benefits.</w:t>
      </w:r>
      <w:r>
        <w:t xml:space="preserve"> </w:t>
      </w:r>
      <w:hyperlink r:id="rId11" w:history="1">
        <w:r>
          <w:rPr>
            <w:rStyle w:val="Hyperlink"/>
          </w:rPr>
          <w:t xml:space="preserve">graphic.com.gh</w:t>
        </w:r>
      </w:hyperlink>
    </w:p>
    <w:p>
      <w:pPr/>
      <w:r>
        <w:t xml:space="preserve">AlCircle. (2026). </w:t>
      </w:r>
      <w:r>
        <w:rPr>
          <w:i/>
        </w:rPr>
        <w:t xml:space="preserve">VALCO reports $120m revenue as government reviews expansion drive.</w:t>
      </w:r>
      <w:r>
        <w:t xml:space="preserve"> </w:t>
      </w:r>
      <w:hyperlink r:id="rId22" w:history="1">
        <w:r>
          <w:rPr>
            <w:rStyle w:val="Hyperlink"/>
          </w:rPr>
          <w:t xml:space="preserve">alcircle.com</w:t>
        </w:r>
      </w:hyperlink>
    </w:p>
    <w:p>
      <w:pPr/>
      <w:r>
        <w:t xml:space="preserve">Ecofin Agency. (2026). </w:t>
      </w:r>
      <w:r>
        <w:rPr>
          <w:i/>
        </w:rPr>
        <w:t xml:space="preserve">Ghana's non-traditional agricultural exports hit $710 million in 2025, up 38%.</w:t>
      </w:r>
      <w:r>
        <w:t xml:space="preserve"> </w:t>
      </w:r>
      <w:hyperlink r:id="rId12" w:history="1">
        <w:r>
          <w:rPr>
            <w:rStyle w:val="Hyperlink"/>
          </w:rPr>
          <w:t xml:space="preserve">ecofinagency.com</w:t>
        </w:r>
      </w:hyperlink>
    </w:p>
    <w:p>
      <w:pPr/>
      <w:r>
        <w:t xml:space="preserve">Information Services Department, Ghana. (2026). </w:t>
      </w:r>
      <w:r>
        <w:rPr>
          <w:i/>
        </w:rPr>
        <w:t xml:space="preserve">Ghana targets $2 billion annual exports from each tree crop by 2035.</w:t>
      </w:r>
      <w:r>
        <w:t xml:space="preserve"> </w:t>
      </w:r>
      <w:hyperlink r:id="rId23" w:history="1">
        <w:r>
          <w:rPr>
            <w:rStyle w:val="Hyperlink"/>
          </w:rPr>
          <w:t xml:space="preserve">isd.gov.gh</w:t>
        </w:r>
      </w:hyperlink>
    </w:p>
    <w:p>
      <w:pPr/>
      <w:r>
        <w:rPr>
          <w:i/>
        </w:rPr>
        <w:t xml:space="preserve">As-of date: 17 October 2026. Written for submission to a Springer journal/book series; reference formatting follows APA 7 pending conversion to the target outlet's house style (e.g., Springer Basic or a named journal's reference style).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uatupgrade.btlaw.com/insights/blogs/government-relations/2015/cftc-and-cme-collaborate-to-chase-alleged-spoofers" TargetMode="External"/><Relationship Id="rId4" Type="http://schemas.openxmlformats.org/officeDocument/2006/relationships/hyperlink" Target="https://www.barchart.com/story/news/27424069/cocoa-prices-finish-sharply-lower-on-improved-growing-conditions-in-west-africa" TargetMode="External"/><Relationship Id="rId5" Type="http://schemas.openxmlformats.org/officeDocument/2006/relationships/hyperlink" Target="https://www.graphic.com.gh/business/business-news/cocobods-contract-rollover-costs-nation-1-3-billion.html" TargetMode="External"/><Relationship Id="rId6" Type="http://schemas.openxmlformats.org/officeDocument/2006/relationships/hyperlink" Target="https://cftc.gov/PressRoom/PressReleases/pr7687-18" TargetMode="External"/><Relationship Id="rId7" Type="http://schemas.openxmlformats.org/officeDocument/2006/relationships/hyperlink" Target="https://cftc.gov/PressRoom/PressReleases/pr7688-18" TargetMode="External"/><Relationship Id="rId8" Type="http://schemas.openxmlformats.org/officeDocument/2006/relationships/hyperlink" Target="https://www.barchart.com/story/news/27396472/cocoa-prices-recover-on-reduced-ivory-coast-cocoa-production" TargetMode="External"/><Relationship Id="rId9" Type="http://schemas.openxmlformats.org/officeDocument/2006/relationships/hyperlink" Target="https://www.graphic.com.gh/news/general-news/ghana-news-cocoa-paradox-how-ghana-missed-the-boom-and-paid-the-price.html" TargetMode="External"/><Relationship Id="rId10" Type="http://schemas.openxmlformats.org/officeDocument/2006/relationships/hyperlink" Target="https://www.newsghana.com.gh/ghana-cocoa-farmers-face-double-blow-from-price-slump/" TargetMode="External"/><Relationship Id="rId11" Type="http://schemas.openxmlformats.org/officeDocument/2006/relationships/hyperlink" Target="https://www.graphic.com.gh/daily-graphic-editorials/ghana-must-realise-bauxite-benefits.html" TargetMode="External"/><Relationship Id="rId12" Type="http://schemas.openxmlformats.org/officeDocument/2006/relationships/hyperlink" Target="https://www.ecofinagency.com/news/2204-54899-ghana-s-non-traditional-agricultural-exports-hit-710-million-in-2025-up-38" TargetMode="External"/><Relationship Id="rId13" Type="http://schemas.openxmlformats.org/officeDocument/2006/relationships/hyperlink" Target="https://www.just-food.com/news/ghana-raises-farmgate-cocoa-prices/" TargetMode="External"/><Relationship Id="rId14" Type="http://schemas.openxmlformats.org/officeDocument/2006/relationships/hyperlink" Target="https://www.cftc.gov/node/128966" TargetMode="External"/><Relationship Id="rId15" Type="http://schemas.openxmlformats.org/officeDocument/2006/relationships/hyperlink" Target="https://unctad.org/node/14660" TargetMode="External"/><Relationship Id="rId16" Type="http://schemas.openxmlformats.org/officeDocument/2006/relationships/hyperlink" Target="https://www.icco.org/statistics/quarterly-bulletin-of-cocoa-statistics/" TargetMode="External"/><Relationship Id="rId17" Type="http://schemas.openxmlformats.org/officeDocument/2006/relationships/hyperlink" Target="https://www.modernghana.com/news/1475401/beyond-the-price-cut-what-ghanas-cocoa-crisis.html" TargetMode="External"/><Relationship Id="rId18" Type="http://schemas.openxmlformats.org/officeDocument/2006/relationships/hyperlink" Target="https://unctad.org/node/12928" TargetMode="External"/><Relationship Id="rId19" Type="http://schemas.openxmlformats.org/officeDocument/2006/relationships/hyperlink" Target="https://app.datawarehousepro.com/go/bog/" TargetMode="External"/><Relationship Id="rId20" Type="http://schemas.openxmlformats.org/officeDocument/2006/relationships/hyperlink" Target="https://goldbod.gov.gh/?p=10180" TargetMode="External"/><Relationship Id="rId21" Type="http://schemas.openxmlformats.org/officeDocument/2006/relationships/hyperlink" Target="https://www.mincom.gov.gh/" TargetMode="External"/><Relationship Id="rId22" Type="http://schemas.openxmlformats.org/officeDocument/2006/relationships/hyperlink" Target="https://www.alcircle.com/news/valco-reports-120m-revenue-as-government-reviews-expansion-drive-117478" TargetMode="External"/><Relationship Id="rId23" Type="http://schemas.openxmlformats.org/officeDocument/2006/relationships/hyperlink" Target="https://isd.gov.gh/ghana-targets-2-billion-annual-exports-from-each-tree-crop-by-2035/"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Commodity Market Manipulation and Speculative Distortion Transmission Effects on</dc:title>
  <dc:description>Claude Docs node/a61e64a5-b04a@54 docx-w7</dc:description>
  <cp:revision>54</cp:revision>
</cp:coreProperties>
</file>