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Servants and Shareholders: Financial Primacy, the Loop of Consent, and the Costs to Persons</w:t>
      </w:r>
    </w:p>
    <w:p>
      <w:pPr/>
      <w:r>
        <w:rPr>
          <w:i/>
        </w:rPr>
        <w:t xml:space="preserve">[Author name], [Affiliation]. Working draft with research design: evidence from Ghana and Sub-Saharan Africa.</w:t>
      </w:r>
    </w:p>
    <w:p>
      <w:pPr>
        <w:pStyle w:val="Heading2"/>
      </w:pPr>
      <w:r>
        <w:t xml:space="preserve">Abstract</w:t>
      </w:r>
    </w:p>
    <w:p>
      <w:pPr/>
      <w:r>
        <w:t xml:space="preserve">Research on financialization shows that financial markets, motives and actors have become more central to economic life, and critical work argues that this harms the people who live and work inside financialized institutions. It leaves a puzzle: why do people comply with arrangements that harm them? This paper answers by reframing the </w:t>
      </w:r>
      <w:r>
        <w:rPr>
          <w:i/>
        </w:rPr>
        <w:t xml:space="preserve">chain</w:t>
      </w:r>
      <w:r>
        <w:t xml:space="preserve"> of institutional subordination (persons serve firms, firms serve capital markets) as a </w:t>
      </w:r>
      <w:r>
        <w:rPr>
          <w:i/>
        </w:rPr>
        <w:t xml:space="preserve">loop</w:t>
      </w:r>
      <w:r>
        <w:t xml:space="preserve">. Persons are not only at the bottom of the chain. Through pensions, insurance, savings, mortgages and informal credit they are also among its funders, so the pressures that squeeze them are partly fed by their own money. I identify four channels through which the loop produces consent: material dependence (debt), identity (the investable self), moral obligation (kin and community claims), and stake (partial ownership of financial returns). I argue that sub-Saharan Africa, and Ghana in particular, is a revealing case because financialization is advancing through mobile money, digital credit, microfinance and reformed pension systems </w:t>
      </w:r>
      <w:r>
        <w:rPr>
          <w:i/>
        </w:rPr>
        <w:t xml:space="preserve">without</w:t>
      </w:r>
      <w:r>
        <w:t xml:space="preserve"> full formalization of work, and because kin obligations may either buffer or intensify the loop. The paper states four testable hypotheses and sets out a mixed-methods design combining multi-country survey data with a two-way fixed-effects strategy, a framing experiment and qualitative interviews. I also state the conditions under which the theory would be wrong. The paper contributes a new concept (the financial loop), a sharper question (consent rather than only critique) and an under-studied empirical setting.</w:t>
      </w:r>
    </w:p>
    <w:p>
      <w:pPr/>
      <w:r>
        <w:rPr>
          <w:b/>
        </w:rPr>
        <w:t xml:space="preserve">Keywords:</w:t>
      </w:r>
      <w:r>
        <w:t xml:space="preserve"> financialization; consent; pension capitalism; household debt; informal finance; Ghana; Sub-Saharan Africa; institutional logics</w:t>
      </w:r>
    </w:p>
    <w:p>
      <w:pPr>
        <w:pStyle w:val="Heading2"/>
      </w:pPr>
      <w:r>
        <w:t xml:space="preserve">1. Introduction</w:t>
      </w:r>
    </w:p>
    <w:p>
      <w:pPr/>
      <w:r>
        <w:t xml:space="preserve">A schoolteacher in Accra contributes to a mandatory pension scheme through her employer. The fund invests in government and corporate securities. When those investments come under pressure, the state tightens its budget and firms cut costs, and the teacher's own pay, hours and job security are squeezed. She is also repaying a mobile loan and sends money to relatives. Which party is the teacher in this story: a servant of the system, or one of its owners?</w:t>
      </w:r>
    </w:p>
    <w:p>
      <w:pPr/>
      <w:r>
        <w:t xml:space="preserve">The honest answer is that she is both, and this paper argues that this double position is the key to understanding how financial primacy sustains itself. The literature on financialization has documented the growing role of financial motives, markets and institutions in the operation of economies (Epstein, 2005; Krippner, 2005), the reorientation of firms toward shareholder value (Lazonick &amp; O'Sullivan, 2000; Davis, 2009), and the extension of financial logic into daily life and subjectivity (Martin, 2002; Langley, 2008; Feher, 2018). A critical strand adds that persons pay for this in health, working time, community and security. What this work often leaves unexplained is </w:t>
      </w:r>
      <w:r>
        <w:rPr>
          <w:i/>
        </w:rPr>
        <w:t xml:space="preserve">consent</w:t>
      </w:r>
      <w:r>
        <w:t xml:space="preserve">. If the arrangements are costly to the people who live under them, why do they persist without more resistance?</w:t>
      </w:r>
    </w:p>
    <w:p>
      <w:pPr/>
      <w:r>
        <w:t xml:space="preserve">I make three contributions. First, I recast the chain of subordination as a </w:t>
      </w:r>
      <w:r>
        <w:rPr>
          <w:b/>
        </w:rPr>
        <w:t xml:space="preserve">loop</w:t>
      </w:r>
      <w:r>
        <w:t xml:space="preserve"> in which persons are both the objects and the funders of financial pressure. Second, I specify four </w:t>
      </w:r>
      <w:r>
        <w:rPr>
          <w:b/>
        </w:rPr>
        <w:t xml:space="preserve">channels of consent</w:t>
      </w:r>
      <w:r>
        <w:t xml:space="preserve"> through which the loop secures compliance, each of which yields testable propositions. Third, I take the argument to a setting that the literature has largely neglected: Ghana and wider Sub-Saharan Africa, where financialization proceeds alongside large informal economies and dense kin obligations. The paper is a theory-and-design paper: it develops the argument, derives hypotheses and specifies an empirical strategy. It reports no new results, and Section 6 states what findings would count against it.</w:t>
      </w:r>
    </w:p>
    <w:p>
      <w:pPr>
        <w:pStyle w:val="Heading2"/>
      </w:pPr>
      <w:r>
        <w:t xml:space="preserve">2. Conceptual Framework</w:t>
      </w:r>
    </w:p>
    <w:p>
      <w:pPr>
        <w:pStyle w:val="Heading3"/>
      </w:pPr>
      <w:r>
        <w:t xml:space="preserve">2.1 Financial primacy</w:t>
      </w:r>
    </w:p>
    <w:p>
      <w:pPr/>
      <w:r>
        <w:t xml:space="preserve">Institutional theory holds that societies contain several institutional orders, each with its own logic: the market, the family, the state, the professions (Friedland &amp; Alford, 1991; Thornton &amp; Ocasio, 1999). I define </w:t>
      </w:r>
      <w:r>
        <w:rPr>
          <w:b/>
        </w:rPr>
        <w:t xml:space="preserve">financial primacy</w:t>
      </w:r>
      <w:r>
        <w:t xml:space="preserve"> as the condition in which the financial logic, that is, the principle that activities are to be judged by their contribution to financial return, takes precedence when it conflicts with an institution's other purposes such as care, craft, health or community. The claim concerns priority under conflict, not exclusivity, and it can be tested by examining conflict moments: layoffs versus dividends, care obligations versus performance targets.</w:t>
      </w:r>
    </w:p>
    <w:p>
      <w:pPr/>
      <w:r>
        <w:t xml:space="preserve">Financial primacy also involves a form of commodification. Polanyi (1944) described labor and money as fictitious commodities, treated as if produced for sale though they are not. Under financial primacy persons are treated as costs to be minimized, as capital to be developed (Brown, 2015) or as revenue streams secured through debt (Lazzarato, 2012).</w:t>
      </w:r>
    </w:p>
    <w:p>
      <w:pPr>
        <w:pStyle w:val="Heading3"/>
      </w:pPr>
      <w:r>
        <w:t xml:space="preserve">2.2 From chain to loop</w:t>
      </w:r>
    </w:p>
    <w:p>
      <w:pPr/>
      <w:r>
        <w:t xml:space="preserve">The standard picture is a chain: employees serve firms, firms serve shareholders and creditors, and households serve firms as workers and consumers. The picture is incomplete. Since the mid-twentieth century, pension and insurance arrangements have turned employees into holders of financial claims. Drucker (1976) argued that pension funds made employees the owners of capital in a quasi-socialist sense, and Clark (2000) analyzed how pension funds became powerful institutional investors whose behavior shapes firms and markets. Froud et al. (2006) showed how corporate strategy is oriented to financial-market expectations, and Langley (2008) showed how ordinary saving and borrowing tie households into global finance.</w:t>
      </w:r>
    </w:p>
    <w:p>
      <w:pPr/>
      <w:r>
        <w:t xml:space="preserve">The consequence is a </w:t>
      </w:r>
      <w:r>
        <w:rPr>
          <w:b/>
        </w:rPr>
        <w:t xml:space="preserve">loop</w:t>
      </w:r>
      <w:r>
        <w:t xml:space="preserve">. Workers' retirement savings and insurance premiums supply capital to markets. Markets set return expectations that firms and governments transmit to workers as cost pressure, intensified work and insecurity. Workers experience those pressures while also holding a stake in the returns that justify them. The loop explains why the same person can be a victim of cost-cutting and a beneficiary of the returns it generates, and why her grievance may be muted.</w:t>
      </w:r>
    </w:p>
    <w:p>
      <w:pPr>
        <w:pStyle w:val="Heading3"/>
      </w:pPr>
      <w:r>
        <w:t xml:space="preserve">2.3 Four channels of consent</w:t>
      </w:r>
    </w:p>
    <w:p>
      <w:pPr/>
      <w:r>
        <w:t xml:space="preserve">Theories of power distinguish coercion from forms of compliance that operate through interests, beliefs and routines (Lukes, 1974), and Burawoy (1979) showed how workplace arrangements can manufacture consent by drawing workers into the logic of the game. I propose four channels through which the financial loop generates consent.</w:t>
      </w:r>
    </w:p>
    <w:p>
      <w:pPr/>
      <w:r>
        <w:rPr>
          <w:b/>
        </w:rPr>
        <w:t xml:space="preserve">Material dependence.</w:t>
      </w:r>
      <w:r>
        <w:t xml:space="preserve"> Debt makes continued earning necessary. Indebted households have more to lose from job loss and less room to refuse unfavorable terms (Dwyer, 2018; Lazzarato, 2012).</w:t>
      </w:r>
    </w:p>
    <w:p>
      <w:pPr/>
      <w:r>
        <w:rPr>
          <w:b/>
        </w:rPr>
        <w:t xml:space="preserve">Identity.</w:t>
      </w:r>
      <w:r>
        <w:t xml:space="preserve"> Persons internalize financial rationality and manage themselves as investable assets, through credentials, branding and constant upskilling (Brown, 2015; Feher, 2018). Consent then takes the form of self-discipline.</w:t>
      </w:r>
    </w:p>
    <w:p>
      <w:pPr/>
      <w:r>
        <w:rPr>
          <w:b/>
        </w:rPr>
        <w:t xml:space="preserve">Moral obligation.</w:t>
      </w:r>
      <w:r>
        <w:t xml:space="preserve"> Claims from kin, community and church create duties that can only be met with money income. Anthropological work on southern and western Africa shows that dependence on others is a central part of personhood and obligation (Ferguson, 2013; Guyer, 1995, 2004). Obligations to others can lock a person into income-earning on any terms.</w:t>
      </w:r>
    </w:p>
    <w:p>
      <w:pPr/>
      <w:r>
        <w:rPr>
          <w:b/>
        </w:rPr>
        <w:t xml:space="preserve">Stake.</w:t>
      </w:r>
      <w:r>
        <w:t xml:space="preserve"> Holding financial claims (pension, insurance, savings, shares) gives persons an interest in the returns that the pressure produces, which tempers grievance and aligns their interests with the system's demands.</w:t>
      </w:r>
    </w:p>
    <w:p>
      <w:pPr/>
      <w:r>
        <w:t xml:space="preserve">The four channels yield the following propositions: persons with higher exposure to financial obligations will bear greater costs and will be less able to refuse or exit (P1); a financial stake will weaken opposition to cost-cutting practices that damage others, and perhaps the holder herself (P2); and kin networks will operate in both directions, as buffer and as additional creditor (P3).</w:t>
      </w:r>
    </w:p>
    <w:p>
      <w:pPr>
        <w:pStyle w:val="Heading2"/>
      </w:pPr>
      <w:r>
        <w:t xml:space="preserve">3. Why Ghana and Sub-Saharan Africa</w:t>
      </w:r>
    </w:p>
    <w:p>
      <w:pPr/>
      <w:r>
        <w:t xml:space="preserve">Most research on financialization concerns the United States and Europe, where employment is largely formal and finance is deeply embedded in firm governance. Sub-Saharan Africa differs in ways that make it analytically valuable rather than merely exotic.</w:t>
      </w:r>
    </w:p>
    <w:p>
      <w:pPr/>
      <w:r>
        <w:rPr>
          <w:b/>
        </w:rPr>
        <w:t xml:space="preserve">Financialization without formalization.</w:t>
      </w:r>
      <w:r>
        <w:t xml:space="preserve"> Financial inclusion policy has expanded mobile money, digital lending and microfinance, often ahead of formal employment (Gabor &amp; Brooks, 2017; Gabor, 2021; Mader, 2015; Bateman, 2010). Work in the informal economy has long been central to urban livelihoods in Ghana (Hart, 1973), and informal savings and credit arrangements are widespread (Guyer, 1995; Bähre, 2007). The loop therefore operates where many people lack the standardized employment contracts that typically anchor the debt channel.</w:t>
      </w:r>
    </w:p>
    <w:p>
      <w:pPr/>
      <w:r>
        <w:rPr>
          <w:b/>
        </w:rPr>
        <w:t xml:space="preserve">Reformed pension and public-debt systems.</w:t>
      </w:r>
      <w:r>
        <w:t xml:space="preserve"> Ghana reformed its pensions into a three-tier system that combines a mandatory public tier with mandatory and voluntary privately managed tiers. That arrangement places workers' savings in financial markets, including the market for government securities. The country's recent sovereign debt restructuring, which included a domestic debt exchange that imposed losses on holders of government bonds, including pension funds [citation needed: Ghana Ministry of Finance, regulator and fund reports], is a natural case of the loop at work: public borrowing, workers' savings and fiscal adjustment are connected.</w:t>
      </w:r>
    </w:p>
    <w:p>
      <w:pPr/>
      <w:r>
        <w:rPr>
          <w:b/>
        </w:rPr>
        <w:t xml:space="preserve">Kin obligations as a distinctive channel.</w:t>
      </w:r>
      <w:r>
        <w:t xml:space="preserve"> Where extended families supply insurance, they may buffer persons from market pressures. They may also function as a second layer of creditors, adding claims that intensify the need for income. The relative strength of these two effects is an empirical question, and it is one on which the African case speaks directly to the general theory.</w:t>
      </w:r>
    </w:p>
    <w:p>
      <w:pPr/>
      <w:r>
        <w:t xml:space="preserve">The microfinance crisis in Andhra Pradesh, India, illustrates what may happen when financial inclusion outruns protection: widespread over-indebtedness and severe borrower distress (Taylor, 2011). The question for the present paper is whether similar mechanisms operate, and with what modifications, in the Ghanaian setting.</w:t>
      </w:r>
    </w:p>
    <w:p>
      <w:pPr>
        <w:pStyle w:val="Heading2"/>
      </w:pPr>
      <w:r>
        <w:t xml:space="preserve">4. Research Design</w:t>
      </w:r>
    </w:p>
    <w:p>
      <w:pPr>
        <w:pStyle w:val="Heading3"/>
      </w:pPr>
      <w:r>
        <w:t xml:space="preserve">4.1 Hypotheses</w:t>
      </w:r>
    </w:p>
    <w:tbl>
      <w:tblPr>
        <w:tblStyle w:val="TableGrid"/>
        <w:tblW w:w="0" w:type="auto"/>
        <w:tblLayout w:type="fixed"/>
        <w:tblLook w:val="04A0" w:firstRow="1" w:lastRow="0" w:firstColumn="0" w:lastColumn="0" w:noHBand="0" w:noVBand="1"/>
      </w:tblPr>
      <w:tblGrid>
        <w:gridCol w:w="2737"/>
        <w:gridCol w:w="3188"/>
        <w:gridCol w:w="3435"/>
      </w:tblGrid>
      <w:tr>
        <w:trPr>
          <w:tblHeader/>
        </w:trPr>
        <w:tc>
          <w:tcPr>
            <w:tcW w:w="2737" w:type="dxa"/>
            <w:shd w:val="clear" w:color="auto" w:fill="F2F2F2"/>
          </w:tcPr>
          <w:p>
            <w:pPr/>
            <w:r>
              <w:t xml:space="preserve">Hypothesis</w:t>
            </w:r>
          </w:p>
        </w:tc>
        <w:tc>
          <w:tcPr>
            <w:tcW w:w="3188" w:type="dxa"/>
            <w:shd w:val="clear" w:color="auto" w:fill="F2F2F2"/>
          </w:tcPr>
          <w:p>
            <w:pPr/>
            <w:r>
              <w:t xml:space="preserve">Claim</w:t>
            </w:r>
          </w:p>
        </w:tc>
        <w:tc>
          <w:tcPr>
            <w:tcW w:w="3435" w:type="dxa"/>
            <w:shd w:val="clear" w:color="auto" w:fill="F2F2F2"/>
          </w:tcPr>
          <w:p>
            <w:pPr/>
            <w:r>
              <w:t xml:space="preserve">Data and measures</w:t>
            </w:r>
          </w:p>
        </w:tc>
      </w:tr>
      <w:tr>
        <w:tc>
          <w:tcPr>
            <w:tcW w:w="2737" w:type="dxa"/>
          </w:tcPr>
          <w:p>
            <w:pPr/>
            <w:r>
              <w:t xml:space="preserve">H1 (costs)</w:t>
            </w:r>
          </w:p>
        </w:tc>
        <w:tc>
          <w:tcPr>
            <w:tcW w:w="3188" w:type="dxa"/>
          </w:tcPr>
          <w:p>
            <w:pPr/>
            <w:r>
              <w:t xml:space="preserve">Greater exposure to financial obligations is associated with longer hours, greater economic insecurity and lower wellbeing.</w:t>
            </w:r>
          </w:p>
        </w:tc>
        <w:tc>
          <w:tcPr>
            <w:tcW w:w="3435" w:type="dxa"/>
          </w:tcPr>
          <w:p>
            <w:pPr/>
            <w:r>
              <w:t xml:space="preserve">Afrobarometer (lived poverty, economic conditions); Ghana Living Standards Survey (hours, health, credit); Global Findex (borrowing, financial worry)</w:t>
            </w:r>
          </w:p>
        </w:tc>
      </w:tr>
      <w:tr>
        <w:tc>
          <w:tcPr>
            <w:tcW w:w="2737" w:type="dxa"/>
          </w:tcPr>
          <w:p>
            <w:pPr/>
            <w:r>
              <w:t xml:space="preserve">H2 (constrained exit)</w:t>
            </w:r>
          </w:p>
        </w:tc>
        <w:tc>
          <w:tcPr>
            <w:tcW w:w="3188" w:type="dxa"/>
          </w:tcPr>
          <w:p>
            <w:pPr/>
            <w:r>
              <w:t xml:space="preserve">Higher exposure reduces the ability to refuse or leave poor work.</w:t>
            </w:r>
          </w:p>
        </w:tc>
        <w:tc>
          <w:tcPr>
            <w:tcW w:w="3435" w:type="dxa"/>
          </w:tcPr>
          <w:p>
            <w:pPr/>
            <w:r>
              <w:t xml:space="preserve">Survey proxies where available; interview instrument and survey items on reservation conditions</w:t>
            </w:r>
          </w:p>
        </w:tc>
      </w:tr>
      <w:tr>
        <w:tc>
          <w:tcPr>
            <w:tcW w:w="2737" w:type="dxa"/>
          </w:tcPr>
          <w:p>
            <w:pPr/>
            <w:r>
              <w:t xml:space="preserve">H3 (stake and consent)</w:t>
            </w:r>
          </w:p>
        </w:tc>
        <w:tc>
          <w:tcPr>
            <w:tcW w:w="3188" w:type="dxa"/>
          </w:tcPr>
          <w:p>
            <w:pPr/>
            <w:r>
              <w:t xml:space="preserve">Holding a financial stake weakens opposition to cost-cutting that harms others.</w:t>
            </w:r>
          </w:p>
        </w:tc>
        <w:tc>
          <w:tcPr>
            <w:tcW w:w="3435" w:type="dxa"/>
          </w:tcPr>
          <w:p>
            <w:pPr/>
            <w:r>
              <w:t xml:space="preserve">Framing experiment (see 4.3); interviews</w:t>
            </w:r>
          </w:p>
        </w:tc>
      </w:tr>
      <w:tr>
        <w:tc>
          <w:tcPr>
            <w:tcW w:w="2737" w:type="dxa"/>
          </w:tcPr>
          <w:p>
            <w:pPr/>
            <w:r>
              <w:t xml:space="preserve">H4 (kin, two directions)</w:t>
            </w:r>
          </w:p>
        </w:tc>
        <w:tc>
          <w:tcPr>
            <w:tcW w:w="3188" w:type="dxa"/>
          </w:tcPr>
          <w:p>
            <w:pPr/>
            <w:r>
              <w:t xml:space="preserve">Kin networks buffer costs for receivers of support and add pressure for senders.</w:t>
            </w:r>
          </w:p>
        </w:tc>
        <w:tc>
          <w:tcPr>
            <w:tcW w:w="3435" w:type="dxa"/>
          </w:tcPr>
          <w:p>
            <w:pPr/>
            <w:r>
              <w:t xml:space="preserve">Remittance sending and receiving, household composition (GLSS, Findex)</w:t>
            </w:r>
          </w:p>
        </w:tc>
      </w:tr>
    </w:tbl>
    <w:p>
      <w:pPr>
        <w:pStyle w:val="Heading3"/>
      </w:pPr>
      <w:r>
        <w:t xml:space="preserve">4.2 Multi-country panel strategy</w:t>
      </w:r>
    </w:p>
    <w:p>
      <w:pPr/>
      <w:r>
        <w:t xml:space="preserve">The first component pools repeated cross-sections of Afrobarometer surveys across countries and rounds, linked to country-year indicators of financial exposure (for example, measures of borrowing and digital-finance use from Global Findex; Demirgüç-Kunt et al., 2022). The baseline model is</w:t>
      </w:r>
    </w:p>
    <w:p>
      <w:pPr/>
      <w:r>
        <w:rPr>
          <w:i/>
        </w:rPr>
        <w:t xml:space="preserve">Y(ict) = a(c) + d(t) + b · Exposure(ct) + g ′ X(ict) + e(ict)</w:t>
      </w:r>
    </w:p>
    <w:p>
      <w:pPr/>
      <w:r>
        <w:t xml:space="preserve">where </w:t>
      </w:r>
      <w:r>
        <w:rPr>
          <w:i/>
        </w:rPr>
        <w:t xml:space="preserve">i</w:t>
      </w:r>
      <w:r>
        <w:t xml:space="preserve"> indexes respondents, </w:t>
      </w:r>
      <w:r>
        <w:rPr>
          <w:i/>
        </w:rPr>
        <w:t xml:space="preserve">c</w:t>
      </w:r>
      <w:r>
        <w:t xml:space="preserve"> countries and </w:t>
      </w:r>
      <w:r>
        <w:rPr>
          <w:i/>
        </w:rPr>
        <w:t xml:space="preserve">t</w:t>
      </w:r>
      <w:r>
        <w:t xml:space="preserve"> survey rounds; </w:t>
      </w:r>
      <w:r>
        <w:rPr>
          <w:i/>
        </w:rPr>
        <w:t xml:space="preserve">a(c)</w:t>
      </w:r>
      <w:r>
        <w:t xml:space="preserve"> and </w:t>
      </w:r>
      <w:r>
        <w:rPr>
          <w:i/>
        </w:rPr>
        <w:t xml:space="preserve">d(t)</w:t>
      </w:r>
      <w:r>
        <w:t xml:space="preserve"> are country and round fixed effects; </w:t>
      </w:r>
      <w:r>
        <w:rPr>
          <w:i/>
        </w:rPr>
        <w:t xml:space="preserve">X</w:t>
      </w:r>
      <w:r>
        <w:t xml:space="preserve"> is a vector of individual controls (age, sex, education, urban or rural residence, employment status); and standard errors are clustered by country. Country fixed effects absorb stable national characteristics and round effects absorb common shocks. The coefficient </w:t>
      </w:r>
      <w:r>
        <w:rPr>
          <w:i/>
        </w:rPr>
        <w:t xml:space="preserve">b</w:t>
      </w:r>
      <w:r>
        <w:t xml:space="preserve"> is identified from within-country changes in exposure relative to other countries over time.</w:t>
      </w:r>
    </w:p>
    <w:p>
      <w:pPr/>
      <w:r>
        <w:t xml:space="preserve">Identification threats are substantial and I state them plainly. Financial expansion may follow growth, so exposure could be endogenous; exposure is measured at the country level but outcomes at the individual level, which risks ecological inference problems; and the number of countries is modest for clustered inference. Mitigations include lagged exposure measures, wild-cluster bootstrap inference, placebo outcomes that the theory predicts should not respond, and individual-level replication in single-country data (Ghana Statistical Service, 2019) where household credit and hours are measured directly. Measures in each survey round must be checked against the questionnaires before analysis, because items on credit and financial products vary across rounds and countries.</w:t>
      </w:r>
    </w:p>
    <w:p>
      <w:pPr>
        <w:pStyle w:val="Heading3"/>
      </w:pPr>
      <w:r>
        <w:t xml:space="preserve">4.3 Framing experiment</w:t>
      </w:r>
    </w:p>
    <w:p>
      <w:pPr/>
      <w:r>
        <w:t xml:space="preserve">To test H3 I propose a short survey experiment among a sample of employed Ghanaians. Respondents read a vignette in which a firm cuts jobs to raise returns to investors. In one condition the investors are described neutrally, in another as including workers' pension funds, and in a third as foreign shareholders. The outcome is the respondent's approval of the firm's action. A stake effect would appear as higher approval in the pension-fund condition, with larger differences for respondents who report holding a pension or savings claim. Because stake is not randomly assigned, the design identifies the effect of </w:t>
      </w:r>
      <w:r>
        <w:rPr>
          <w:i/>
        </w:rPr>
        <w:t xml:space="preserve">activating</w:t>
      </w:r>
      <w:r>
        <w:t xml:space="preserve"> the loop frame, and heterogeneity by holding is descriptive.</w:t>
      </w:r>
    </w:p>
    <w:p>
      <w:pPr>
        <w:pStyle w:val="Heading3"/>
      </w:pPr>
      <w:r>
        <w:t xml:space="preserve">4.4 Qualitative component</w:t>
      </w:r>
    </w:p>
    <w:p>
      <w:pPr/>
      <w:r>
        <w:t xml:space="preserve">The mechanisms of consent are best explored through talk. I propose 30 to 40 semi-structured interviews, purposively sampled across four groups: salaried workers with occupational pensions, informal workers using susu or mobile credit, parents managing school fees and remittances, and job seekers. Interviews ask about debt, obligations, reasons for tolerating poor conditions, and understanding of where their money goes. Analysis is thematic and organized around the four channels, with attention to cases that do not fit. The study requires institutional ethics approval and informed consent.</w:t>
      </w:r>
    </w:p>
    <w:p>
      <w:pPr>
        <w:pStyle w:val="Heading2"/>
      </w:pPr>
      <w:r>
        <w:t xml:space="preserve">5. An Illustrative Case: Pensions, Debt and Austerity</w:t>
      </w:r>
    </w:p>
    <w:p>
      <w:pPr/>
      <w:r>
        <w:t xml:space="preserve">The loop can be traced in a stylized sequence. Workers contribute to pension schemes, which hold government securities. The government borrows, and when borrowing becomes unsustainable it restructures its debt and adjusts its budget. Restructuring imposes losses on holders, including pension funds, while adjustment affects public-sector pay, taxes and services. Workers are thus affected twice: as holders of impaired assets and as employees or taxpayers facing adjustment. [Evidence to be added from official and fund reports; figures should be checked against primary sources.] The case also illustrates why grievance can be diffuse: the creditor is partly the worker, and the institution that imposes the cost is partly funded by her savings.</w:t>
      </w:r>
    </w:p>
    <w:p>
      <w:pPr/>
      <w:r>
        <w:t xml:space="preserve">This case is meant to illustrate the concept, not to prove it. The empirical design above is intended to test whether the loop operates systematically.</w:t>
      </w:r>
    </w:p>
    <w:p>
      <w:pPr>
        <w:pStyle w:val="Heading2"/>
      </w:pPr>
      <w:r>
        <w:t xml:space="preserve">6. How the Theory Could Be Wrong</w:t>
      </w:r>
    </w:p>
    <w:p>
      <w:pPr/>
      <w:r>
        <w:t xml:space="preserve">A theory should say what would count against it. I would revise or abandon the argument if the following were observed. If financial exposure were unrelated to hours, insecurity or wellbeing after controls (against H1), the cost claim would fail. If indebted persons were no less willing to refuse poor work than others (against H2), the dependence channel would be unsupported. If holding a stake made no difference to responses to the framing experiment (against H3), the stake channel would lack support, and the loop would remain a descriptive device. If kin networks were uniformly protective, or uniformly burdensome, the two-direction claim in H4 would be false and the simpler account would be preferable. And if non-financial logics, such as state, religion or kinship, systematically outranked finance in conflict situations, the claim of primacy would be limited to particular institutions.</w:t>
      </w:r>
    </w:p>
    <w:p>
      <w:pPr>
        <w:pStyle w:val="Heading2"/>
      </w:pPr>
      <w:r>
        <w:t xml:space="preserve">7. Discussion</w:t>
      </w:r>
    </w:p>
    <w:p>
      <w:pPr/>
      <w:r>
        <w:rPr>
          <w:b/>
        </w:rPr>
        <w:t xml:space="preserve">Implications.</w:t>
      </w:r>
      <w:r>
        <w:t xml:space="preserve"> If consent is produced through the loop, then critique alone will have limited effect, and reform must address the loop's structure. Possible directions include governance in which workers participate in the stewardship of pension capital and in which fiduciary duty includes beneficiaries' welfare as workers and citizens; limits and protections in digital and informal lending; legal protection for working time; and social protection designed with kin obligations in mind, so that it relieves rather than displaces them. These are directions for research, not a program.</w:t>
      </w:r>
    </w:p>
    <w:p>
      <w:pPr/>
      <w:r>
        <w:rPr>
          <w:b/>
        </w:rPr>
        <w:t xml:space="preserve">Anticipated objections.</w:t>
      </w:r>
      <w:r>
        <w:t xml:space="preserve"> </w:t>
      </w:r>
      <w:r>
        <w:rPr>
          <w:i/>
        </w:rPr>
        <w:t xml:space="preserve">Finance also enables:</w:t>
      </w:r>
      <w:r>
        <w:t xml:space="preserve"> credit, insurance and pensions provide security and opportunity, and exclusion is harmful. The argument concerns the scope and priority of financial logic, not its existence. </w:t>
      </w:r>
      <w:r>
        <w:rPr>
          <w:i/>
        </w:rPr>
        <w:t xml:space="preserve">Is this just critique of capitalism?</w:t>
      </w:r>
      <w:r>
        <w:t xml:space="preserve"> The claim concerns a specific configuration in which firms, households and states are tightly coupled to financial markets, and it allows for variation across countries and ownership forms. </w:t>
      </w:r>
      <w:r>
        <w:rPr>
          <w:i/>
        </w:rPr>
        <w:t xml:space="preserve">Persons find meaning in work:</w:t>
      </w:r>
      <w:r>
        <w:t xml:space="preserve"> meaning too can be drawn into the loop when it is exchanged for low pay or long hours.</w:t>
      </w:r>
    </w:p>
    <w:p>
      <w:pPr/>
      <w:r>
        <w:rPr>
          <w:b/>
        </w:rPr>
        <w:t xml:space="preserve">Limitations.</w:t>
      </w:r>
      <w:r>
        <w:t xml:space="preserve"> Survey measures of financial exposure are imperfect, causal identification is difficult, and findings from Ghana may not generalize across a diverse continent. The loop concept also risks overextension if applied to all cases without attention to institutional differences.</w:t>
      </w:r>
    </w:p>
    <w:p>
      <w:pPr>
        <w:pStyle w:val="Heading2"/>
      </w:pPr>
      <w:r>
        <w:t xml:space="preserve">8. Conclusion</w:t>
      </w:r>
    </w:p>
    <w:p>
      <w:pPr/>
      <w:r>
        <w:t xml:space="preserve">This paper has argued that the dominance of finance over institutions is better understood as a loop than as a chain. Persons are subordinated to financial pressure and yet also supply the capital and hold the claims that generate it. Four channels (dependence, identity, obligation and stake) explain how this arrangement secures consent. Sub-Saharan Africa, where financialization advances alongside informal work and strong kin obligations, offers a test of whether the loop operates beyond the wealthy countries where the theory was formed. The design set out here is meant to allow the argument to fail. If it survives, it points to reforms that change who holds financial claims and on what terms, and not only how much finance there is.</w:t>
      </w:r>
    </w:p>
    <w:p>
      <w:pPr>
        <w:pStyle w:val="Heading2"/>
      </w:pPr>
      <w:r>
        <w:t xml:space="preserve">References</w:t>
      </w:r>
    </w:p>
    <w:p>
      <w:pPr/>
      <w:r>
        <w:t xml:space="preserve">Afrobarometer. (n.d.). </w:t>
      </w:r>
      <w:r>
        <w:rPr>
          <w:i/>
        </w:rPr>
        <w:t xml:space="preserve">Afrobarometer data and survey instruments</w:t>
      </w:r>
      <w:r>
        <w:t xml:space="preserve">. https://www.afrobarometer.org</w:t>
      </w:r>
    </w:p>
    <w:p>
      <w:pPr/>
      <w:r>
        <w:t xml:space="preserve">Bähre, E. (2007). </w:t>
      </w:r>
      <w:r>
        <w:rPr>
          <w:i/>
        </w:rPr>
        <w:t xml:space="preserve">Money and violence: Financial self-help groups in a South African township</w:t>
      </w:r>
      <w:r>
        <w:t xml:space="preserve">. Brill.</w:t>
      </w:r>
    </w:p>
    <w:p>
      <w:pPr/>
      <w:r>
        <w:t xml:space="preserve">Bateman, M. (2010). </w:t>
      </w:r>
      <w:r>
        <w:rPr>
          <w:i/>
        </w:rPr>
        <w:t xml:space="preserve">Why doesn't microfinance work? The destructive rise of local neoliberalism</w:t>
      </w:r>
      <w:r>
        <w:t xml:space="preserve">. Zed Books.</w:t>
      </w:r>
    </w:p>
    <w:p>
      <w:pPr/>
      <w:r>
        <w:t xml:space="preserve">Brown, W. (2015). </w:t>
      </w:r>
      <w:r>
        <w:rPr>
          <w:i/>
        </w:rPr>
        <w:t xml:space="preserve">Undoing the demos: Neoliberalism's stealth revolution</w:t>
      </w:r>
      <w:r>
        <w:t xml:space="preserve">. Zone Books.</w:t>
      </w:r>
    </w:p>
    <w:p>
      <w:pPr/>
      <w:r>
        <w:t xml:space="preserve">Burawoy, M. (1979). </w:t>
      </w:r>
      <w:r>
        <w:rPr>
          <w:i/>
        </w:rPr>
        <w:t xml:space="preserve">Manufacturing consent: Changes in the labor process under monopoly capitalism</w:t>
      </w:r>
      <w:r>
        <w:t xml:space="preserve">. University of Chicago Press.</w:t>
      </w:r>
    </w:p>
    <w:p>
      <w:pPr/>
      <w:r>
        <w:t xml:space="preserve">Clark, G. L. (2000). </w:t>
      </w:r>
      <w:r>
        <w:rPr>
          <w:i/>
        </w:rPr>
        <w:t xml:space="preserve">Pension fund capitalism</w:t>
      </w:r>
      <w:r>
        <w:t xml:space="preserve">. Oxford University Press.</w:t>
      </w:r>
    </w:p>
    <w:p>
      <w:pPr/>
      <w:r>
        <w:t xml:space="preserve">Davis, G. F. (2009). </w:t>
      </w:r>
      <w:r>
        <w:rPr>
          <w:i/>
        </w:rPr>
        <w:t xml:space="preserve">Managed by the markets: How finance re-shaped America</w:t>
      </w:r>
      <w:r>
        <w:t xml:space="preserve">. Oxford University Press.</w:t>
      </w:r>
    </w:p>
    <w:p>
      <w:pPr/>
      <w:r>
        <w:t xml:space="preserve">Demirgüç-Kunt, A., Klapper, L., Singer, D., &amp; Ansar, S. (2022). </w:t>
      </w:r>
      <w:r>
        <w:rPr>
          <w:i/>
        </w:rPr>
        <w:t xml:space="preserve">The Global Findex Database 2021: Financial inclusion, digital payments, and resilience in the age of COVID-19</w:t>
      </w:r>
      <w:r>
        <w:t xml:space="preserve">. World Bank.</w:t>
      </w:r>
    </w:p>
    <w:p>
      <w:pPr/>
      <w:r>
        <w:t xml:space="preserve">Drucker, P. F. (1976). </w:t>
      </w:r>
      <w:r>
        <w:rPr>
          <w:i/>
        </w:rPr>
        <w:t xml:space="preserve">The unseen revolution: How pension fund socialism came to America</w:t>
      </w:r>
      <w:r>
        <w:t xml:space="preserve">. Harper &amp; Row.</w:t>
      </w:r>
    </w:p>
    <w:p>
      <w:pPr/>
      <w:r>
        <w:t xml:space="preserve">Dwyer, R. E. (2018). Credit, debt, and inequality. </w:t>
      </w:r>
      <w:r>
        <w:rPr>
          <w:i/>
        </w:rPr>
        <w:t xml:space="preserve">Annual Review of Sociology, 44</w:t>
      </w:r>
      <w:r>
        <w:t xml:space="preserve">, 237–261.</w:t>
      </w:r>
    </w:p>
    <w:p>
      <w:pPr/>
      <w:r>
        <w:t xml:space="preserve">Epstein, G. A. (Ed.). (2005). </w:t>
      </w:r>
      <w:r>
        <w:rPr>
          <w:i/>
        </w:rPr>
        <w:t xml:space="preserve">Financialization and the world economy</w:t>
      </w:r>
      <w:r>
        <w:t xml:space="preserve">. Edward Elgar.</w:t>
      </w:r>
    </w:p>
    <w:p>
      <w:pPr/>
      <w:r>
        <w:t xml:space="preserve">Feher, M. (2018). </w:t>
      </w:r>
      <w:r>
        <w:rPr>
          <w:i/>
        </w:rPr>
        <w:t xml:space="preserve">Rated agency: Investee politics in a speculative age</w:t>
      </w:r>
      <w:r>
        <w:t xml:space="preserve">. Zone Books.</w:t>
      </w:r>
    </w:p>
    <w:p>
      <w:pPr/>
      <w:r>
        <w:t xml:space="preserve">Ferguson, J. (2013). Declarations of dependence: Labour, personhood, and welfare in southern Africa. </w:t>
      </w:r>
      <w:r>
        <w:rPr>
          <w:i/>
        </w:rPr>
        <w:t xml:space="preserve">Journal of the Royal Anthropological Institute, 19</w:t>
      </w:r>
      <w:r>
        <w:t xml:space="preserve">(2), 223–242.</w:t>
      </w:r>
    </w:p>
    <w:p>
      <w:pPr/>
      <w:r>
        <w:t xml:space="preserve">Friedland, R., &amp; Alford, R. R. (1991). Bringing society back in: Symbols, practices, and institutional contradictions. In W. W. Powell &amp; P. J. DiMaggio (Eds.), </w:t>
      </w:r>
      <w:r>
        <w:rPr>
          <w:i/>
        </w:rPr>
        <w:t xml:space="preserve">The new institutionalism in organizational analysis</w:t>
      </w:r>
      <w:r>
        <w:t xml:space="preserve"> (pp. 232–263). University of Chicago Press.</w:t>
      </w:r>
    </w:p>
    <w:p>
      <w:pPr/>
      <w:r>
        <w:t xml:space="preserve">Froud, J., Johal, S., Leaver, A., &amp; Williams, K. (2006). </w:t>
      </w:r>
      <w:r>
        <w:rPr>
          <w:i/>
        </w:rPr>
        <w:t xml:space="preserve">Financialization and strategy: Narrative and numbers</w:t>
      </w:r>
      <w:r>
        <w:t xml:space="preserve">. Routledge.</w:t>
      </w:r>
    </w:p>
    <w:p>
      <w:pPr/>
      <w:r>
        <w:t xml:space="preserve">Gabor, D. (2021). The Wall Street Consensus. </w:t>
      </w:r>
      <w:r>
        <w:rPr>
          <w:i/>
        </w:rPr>
        <w:t xml:space="preserve">Development and Change, 52</w:t>
      </w:r>
      <w:r>
        <w:t xml:space="preserve">(3), 429–459.</w:t>
      </w:r>
    </w:p>
    <w:p>
      <w:pPr/>
      <w:r>
        <w:t xml:space="preserve">Gabor, D., &amp; Brooks, S. (2017). The digital revolution in financial inclusion: International development in the fintech era. </w:t>
      </w:r>
      <w:r>
        <w:rPr>
          <w:i/>
        </w:rPr>
        <w:t xml:space="preserve">New Political Economy, 22</w:t>
      </w:r>
      <w:r>
        <w:t xml:space="preserve">(4), 423–436.</w:t>
      </w:r>
    </w:p>
    <w:p>
      <w:pPr/>
      <w:r>
        <w:t xml:space="preserve">Ghana Statistical Service. (2019). </w:t>
      </w:r>
      <w:r>
        <w:rPr>
          <w:i/>
        </w:rPr>
        <w:t xml:space="preserve">Ghana Living Standards Survey Round 7 (GLSS 7): Main report</w:t>
      </w:r>
      <w:r>
        <w:t xml:space="preserve">. Ghana Statistical Service.</w:t>
      </w:r>
    </w:p>
    <w:p>
      <w:pPr/>
      <w:r>
        <w:t xml:space="preserve">Guyer, J. I. (Ed.). (1995). </w:t>
      </w:r>
      <w:r>
        <w:rPr>
          <w:i/>
        </w:rPr>
        <w:t xml:space="preserve">Money matters: Instability, values and social payments in the modern history of West African communities</w:t>
      </w:r>
      <w:r>
        <w:t xml:space="preserve">. Heinemann.</w:t>
      </w:r>
    </w:p>
    <w:p>
      <w:pPr/>
      <w:r>
        <w:t xml:space="preserve">Guyer, J. I. (2004). </w:t>
      </w:r>
      <w:r>
        <w:rPr>
          <w:i/>
        </w:rPr>
        <w:t xml:space="preserve">Marginal gains: Monetary transactions in Atlantic Africa</w:t>
      </w:r>
      <w:r>
        <w:t xml:space="preserve">. University of Chicago Press.</w:t>
      </w:r>
    </w:p>
    <w:p>
      <w:pPr/>
      <w:r>
        <w:t xml:space="preserve">Hart, K. (1973). Informal income opportunities and urban employment in Ghana. </w:t>
      </w:r>
      <w:r>
        <w:rPr>
          <w:i/>
        </w:rPr>
        <w:t xml:space="preserve">Journal of Modern African Studies, 11</w:t>
      </w:r>
      <w:r>
        <w:t xml:space="preserve">(1), 61–89.</w:t>
      </w:r>
    </w:p>
    <w:p>
      <w:pPr/>
      <w:r>
        <w:t xml:space="preserve">Krippner, G. R. (2005). The financialization of the American economy. </w:t>
      </w:r>
      <w:r>
        <w:rPr>
          <w:i/>
        </w:rPr>
        <w:t xml:space="preserve">Socio-Economic Review, 3</w:t>
      </w:r>
      <w:r>
        <w:t xml:space="preserve">(2), 173–208.</w:t>
      </w:r>
    </w:p>
    <w:p>
      <w:pPr/>
      <w:r>
        <w:t xml:space="preserve">Langley, P. (2008). </w:t>
      </w:r>
      <w:r>
        <w:rPr>
          <w:i/>
        </w:rPr>
        <w:t xml:space="preserve">The everyday life of global finance: Saving and borrowing in Anglo-America</w:t>
      </w:r>
      <w:r>
        <w:t xml:space="preserve">. Oxford University Press.</w:t>
      </w:r>
    </w:p>
    <w:p>
      <w:pPr/>
      <w:r>
        <w:t xml:space="preserve">Lazonick, W., &amp; O'Sullivan, M. (2000). Maximizing shareholder value: A new ideology for corporate governance. </w:t>
      </w:r>
      <w:r>
        <w:rPr>
          <w:i/>
        </w:rPr>
        <w:t xml:space="preserve">Economy and Society, 29</w:t>
      </w:r>
      <w:r>
        <w:t xml:space="preserve">(1), 13–35.</w:t>
      </w:r>
    </w:p>
    <w:p>
      <w:pPr/>
      <w:r>
        <w:t xml:space="preserve">Lazzarato, M. (2012). </w:t>
      </w:r>
      <w:r>
        <w:rPr>
          <w:i/>
        </w:rPr>
        <w:t xml:space="preserve">The making of the indebted man: An essay on the neoliberal condition</w:t>
      </w:r>
      <w:r>
        <w:t xml:space="preserve">. Semiotext(e).</w:t>
      </w:r>
    </w:p>
    <w:p>
      <w:pPr/>
      <w:r>
        <w:t xml:space="preserve">Lukes, S. (1974). </w:t>
      </w:r>
      <w:r>
        <w:rPr>
          <w:i/>
        </w:rPr>
        <w:t xml:space="preserve">Power: A radical view</w:t>
      </w:r>
      <w:r>
        <w:t xml:space="preserve">. Macmillan.</w:t>
      </w:r>
    </w:p>
    <w:p>
      <w:pPr/>
      <w:r>
        <w:t xml:space="preserve">Mader, P. (2015). </w:t>
      </w:r>
      <w:r>
        <w:rPr>
          <w:i/>
        </w:rPr>
        <w:t xml:space="preserve">The political economy of microfinance: Financializing poverty</w:t>
      </w:r>
      <w:r>
        <w:t xml:space="preserve">. Palgrave Macmillan.</w:t>
      </w:r>
    </w:p>
    <w:p>
      <w:pPr/>
      <w:r>
        <w:t xml:space="preserve">Martin, R. (2002). </w:t>
      </w:r>
      <w:r>
        <w:rPr>
          <w:i/>
        </w:rPr>
        <w:t xml:space="preserve">Financialization of daily life</w:t>
      </w:r>
      <w:r>
        <w:t xml:space="preserve">. Temple University Press.</w:t>
      </w:r>
    </w:p>
    <w:p>
      <w:pPr/>
      <w:r>
        <w:t xml:space="preserve">Polanyi, K. (1944). </w:t>
      </w:r>
      <w:r>
        <w:rPr>
          <w:i/>
        </w:rPr>
        <w:t xml:space="preserve">The great transformation: The political and economic origins of our time</w:t>
      </w:r>
      <w:r>
        <w:t xml:space="preserve">. Farrar &amp; Rinehart.</w:t>
      </w:r>
    </w:p>
    <w:p>
      <w:pPr/>
      <w:r>
        <w:t xml:space="preserve">Taylor, M. (2011). 'Freedom from poverty is not for free': Rural development and the microfinance crisis in Andhra Pradesh, India. </w:t>
      </w:r>
      <w:r>
        <w:rPr>
          <w:i/>
        </w:rPr>
        <w:t xml:space="preserve">Journal of Agrarian Change, 11</w:t>
      </w:r>
      <w:r>
        <w:t xml:space="preserve">(4), 484–504.</w:t>
      </w:r>
    </w:p>
    <w:p>
      <w:pPr/>
      <w:r>
        <w:t xml:space="preserve">Thornton, P. H., &amp; Ocasio, W. (1999). Institutional logics and the historical contingency of power in organizations: Executive succession in the higher education publishing industry, 1958–1990. </w:t>
      </w:r>
      <w:r>
        <w:rPr>
          <w:i/>
        </w:rPr>
        <w:t xml:space="preserve">American Journal of Sociology, 105</w:t>
      </w:r>
      <w:r>
        <w:t xml:space="preserve">(3), 801–843.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Servants and Shareholders Financial Primacy, the Loop of Consent, and the Costs</dc:title>
  <dc:description>Claude Docs node/0bb0a5a8-04f6@1 docx-w7</dc:description>
  <cp:revision>1</cp:revision>
</cp:coreProperties>
</file>