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Myth of Optionality</w:t>
      </w:r>
    </w:p>
    <w:p>
      <w:pPr/>
      <w:r>
        <w:t xml:space="preserve">Oct 8, 2026</w:t>
      </w:r>
      <w:r>
        <w:t xml:space="preserve"> · </w:t>
      </w:r>
      <w:r>
        <w:t xml:space="preserve">@Nana Owusu Achiaw Prempeh</w:t>
      </w:r>
    </w:p>
    <w:p>
      <w:pPr>
        <w:pStyle w:val="Heading2"/>
      </w:pPr>
      <w:r>
        <w:t xml:space="preserve">Abstract</w:t>
      </w:r>
    </w:p>
    <w:p>
      <w:pPr/>
      <w:r>
        <w:t xml:space="preserve">A widely held intuition treats pluralism itself as the glue of modern life: a society holds together because it tolerates many religions, many family forms, many ways of earning and spending. This paper argues that intuition is a myth. Once any domain of life — worship, marriage, childbearing, livelihood, consumption — stops having a single default and becomes a menu of live options, the content of what people choose can no longer be what binds them, because by definition they no longer share it. What binds them instead is the infrastructure that lets differently-choosing people transact without trusting or resembling one another: contract, property, tort and criminal law, price, and the enforcement apparatus behind all three. Pluralism does not replace social order with freedom; it replaces a cheap, implicit order (shared belief, shared custom) with an expensive, explicit one (codified law, priced exchange). Drawing on Durkheim's account of mechanical and organic solidarity, Weber's and Simmel's accounts of rationalization and the money economy, Berger's sociology of pluralization, North's and Coase's institutional economics, and the behavioral literature on choice overload and generalized trust, the paper formalizes this as the myth of optionality: the number of live options in a society and the quantity of law and market infrastructure required to hold that society together rise together, not independently. Optionality is not free; it is a cost that has been moved from the content of belief onto the machinery of coordination.</w:t>
      </w:r>
    </w:p>
    <w:p>
      <w:pPr>
        <w:pStyle w:val="Heading2"/>
      </w:pPr>
      <w:r>
        <w:t xml:space="preserve">1. The puzzle: what holds a two-religion town together</w:t>
      </w:r>
    </w:p>
    <w:p>
      <w:pPr/>
      <w:r>
        <w:t xml:space="preserve">Start with the simplest case. A single-religion community can plausibly credit the religion itself with social order: shared doctrine supplies shared norms of honesty, reciprocity, marriage, inheritance and punishment, and almost everyone inside the community is also inside the belief. Introduce a second religion into the same town and the doctrinal content splits. The two congregations may disagree on marriage rules, on what counts as a debt owed, on which days are holy, on how a dispute should be judged. What keeps the town one functioning community is now, visibly, not the shared content of belief — there no longer is any — but the things both congregations still submit to in common: a market where a Christian trader and a Muslim trader both accept the same currency and the same standards of weight and measure, and a law (customary, religious-plural, or state) that both can be hauled before and that enforces the same contract regardless of whose god witnessed it. Religion keeps each congregation internally ordered; trade and law keep the two congregations from falling apart into separate, non-interacting worlds, or into open conflict.</w:t>
      </w:r>
    </w:p>
    <w:p>
      <w:pPr/>
      <w:r>
        <w:t xml:space="preserve">The same structure generalizes far beyond religion. For most of human history, marriage, childbearing, livelihood, and basic lifestyle were not menus; they were near-defaults, varying by sex, caste, and locality but barely chosen at the level of the individual. Over the last two centuries, and especially the last several decades, domain after domain has been converted from a default into an option set: whether and whom to marry, whether and how many children to have, what livelihood to pursue, where and how to live, what to eat, how to present one's body and identity. Each conversion is usually narrated, and widely felt, as a gain in freedom — and it is one. But each conversion also destroys a piece of the old, cheap social glue: the fact that one's neighbor was very likely doing the same thing, for the same reasons, under the same unstated rules. The paper's claim is that this destroyed glue does not go unreplaced. It is replaced — has to be replaced, on pain of the community simply fragmenting into mutually unintelligible and mutually distrustful sub-populations — by denser law (regulating what used to be left to custom: marriage contracts, custody law, labor law, zoning, consumer protection, anti-discrimination statutes) and denser markets (paying strangers to do what kin and congregation used to do for free: childcare, elder care, dispute mediation, matchmaking, moral counsel). Call the belief that pluralism is self-sustaining — that a society can multiply its live options without multiplying its law and its paid exchange to compensate — </w:t>
      </w:r>
      <w:r>
        <w:rPr>
          <w:b/>
        </w:rPr>
        <w:t xml:space="preserve">the myth of optionality</w:t>
      </w:r>
      <w:r>
        <w:t xml:space="preserve">. The sections that follow ground this claim in three literatures: philosophical sociology, institutional economics, and behavioral/social-capital research, before stating it as a general proposition and considering its limits.</w:t>
      </w:r>
    </w:p>
    <w:p>
      <w:pPr>
        <w:pStyle w:val="Heading2"/>
      </w:pPr>
      <w:r>
        <w:t xml:space="preserve">2. Philosophical and sociological grounding</w:t>
      </w:r>
    </w:p>
    <w:p>
      <w:pPr/>
      <w:r>
        <w:rPr>
          <w:b/>
        </w:rPr>
        <w:t xml:space="preserve">Durkheim: solidarity migrates from conscience to contract.</w:t>
      </w:r>
      <w:r>
        <w:t xml:space="preserve"> The clearest ancestor of this paper's thesis is Émile Durkheim's </w:t>
      </w:r>
      <w:r>
        <w:rPr>
          <w:i/>
        </w:rPr>
        <w:t xml:space="preserve">The Division of Labor in Society</w:t>
      </w:r>
      <w:r>
        <w:t xml:space="preserve"> (1893). Durkheim distinguished </w:t>
      </w:r>
      <w:r>
        <w:rPr>
          <w:i/>
        </w:rPr>
        <w:t xml:space="preserve">mechanical solidarity</w:t>
      </w:r>
      <w:r>
        <w:t xml:space="preserve">, found in small, undifferentiated societies where cohesion rests on a strong shared "collective conscience" — nearly everyone believes the same things, lives the same way, and punishes deviance as an offense against the group itself — from </w:t>
      </w:r>
      <w:r>
        <w:rPr>
          <w:i/>
        </w:rPr>
        <w:t xml:space="preserve">organic solidarity</w:t>
      </w:r>
      <w:r>
        <w:t xml:space="preserve">, found in societies with an advanced division of labor, where individuals are dissimilar in belief and occupation but are bound together by </w:t>
      </w:r>
      <w:r>
        <w:rPr>
          <w:i/>
        </w:rPr>
        <w:t xml:space="preserve">functional interdependence</w:t>
      </w:r>
      <w:r>
        <w:t xml:space="preserve">: the baker needs the farmer, the farmer needs the smith, nobody is self-sufficient. Crucially, Durkheim argued that as organic solidarity rises, law does not wither; it changes character, shifting from repressive law (criminal law that punishes any breach of the shared conscience) toward restitutive law (civil, contract, and commercial law that simply restores the correct relation between differentiated parties). This is close to an exact formal statement of the paper's thesis: pluralization of belief and occupation does not reduce the role of law, it changes law's job from enforcing agreement to enforcing exchange between people who no longer agree.</w:t>
      </w:r>
    </w:p>
    <w:p>
      <w:pPr/>
      <w:r>
        <w:rPr>
          <w:b/>
        </w:rPr>
        <w:t xml:space="preserve">Weber and Simmel: rationalization and money as abstract bonds.</w:t>
      </w:r>
      <w:r>
        <w:t xml:space="preserve"> Max Weber's account of rationalization and "disenchantment" (</w:t>
      </w:r>
      <w:r>
        <w:rPr>
          <w:i/>
        </w:rPr>
        <w:t xml:space="preserve">Economy and Society</w:t>
      </w:r>
      <w:r>
        <w:t xml:space="preserve">; </w:t>
      </w:r>
      <w:r>
        <w:rPr>
          <w:i/>
        </w:rPr>
        <w:t xml:space="preserve">The Protestant Ethic and the Spirit of Capitalism</w:t>
      </w:r>
      <w:r>
        <w:t xml:space="preserve">, 1905) describes the same transition from a different angle: as traditional and value-rational action recedes, formal-rational structures — bureaucracy, codified law, calculable contract — expand to fill the coordination gap, because they are the only form of order that does not presuppose agreement on ultimate values. Georg Simmel's </w:t>
      </w:r>
      <w:r>
        <w:rPr>
          <w:i/>
        </w:rPr>
        <w:t xml:space="preserve">The Philosophy of Money</w:t>
      </w:r>
      <w:r>
        <w:t xml:space="preserve"> (1900) makes the economic version of this explicit: money, Simmel argues, is the social institution that lets strangers with no shared values, religion, or personal relationship nonetheless transact as if they trusted one another, because the object of exchange (price) is indifferent to the identity and belief of the parties. Simmel also noted the psychological cost of this shift — the </w:t>
      </w:r>
      <w:r>
        <w:rPr>
          <w:i/>
        </w:rPr>
        <w:t xml:space="preserve">blasé</w:t>
      </w:r>
      <w:r>
        <w:t xml:space="preserve"> attitude of the modern city-dweller, a kind of emotional withdrawal that makes it bearable to be surrounded by people whose way of life one does not and need not share.</w:t>
      </w:r>
    </w:p>
    <w:p>
      <w:pPr/>
      <w:r>
        <w:rPr>
          <w:b/>
        </w:rPr>
        <w:t xml:space="preserve">Berger: pluralization dissolves the taken-for-granted.</w:t>
      </w:r>
      <w:r>
        <w:t xml:space="preserve"> Peter Berger's sociology of religion (</w:t>
      </w:r>
      <w:r>
        <w:rPr>
          <w:i/>
        </w:rPr>
        <w:t xml:space="preserve">The Sacred Canopy</w:t>
      </w:r>
      <w:r>
        <w:t xml:space="preserve">, 1967, and later </w:t>
      </w:r>
      <w:r>
        <w:rPr>
          <w:i/>
        </w:rPr>
        <w:t xml:space="preserve">The Heretical Imperative</w:t>
      </w:r>
      <w:r>
        <w:t xml:space="preserve">, 1979, with Berger's concept of "pluralization") supplies the religion-specific mechanism behind the paper's opening example. In Berger's account, a single shared worldview functions as a "plausibility structure": it feels simply true because everyone around you treats it as true, with no visible alternative to compare it to. Introduce a second live option — a second religion, a second accepted way to marry, a second accepted way to live — and the first option stops being a fact of nature and becomes one choice among others, inherently less totalizing and less capable, by itself, of organizing a whole society's behavior. Berger's own interest was religion's retreat into a private, voluntary "preference," but the mechanism he describes (an option set, once visible, cannot bind the way a monopoly belief could) is the general engine of this paper's argument, not a religion-specific one.</w:t>
      </w:r>
    </w:p>
    <w:p>
      <w:pPr/>
      <w:r>
        <w:t xml:space="preserve">Taken together, these three traditions converge on a single claim: the </w:t>
      </w:r>
      <w:r>
        <w:rPr>
          <w:i/>
        </w:rPr>
        <w:t xml:space="preserve">object</w:t>
      </w:r>
      <w:r>
        <w:t xml:space="preserve"> that produces order (shared belief) and the </w:t>
      </w:r>
      <w:r>
        <w:rPr>
          <w:i/>
        </w:rPr>
        <w:t xml:space="preserve">mechanism</w:t>
      </w:r>
      <w:r>
        <w:t xml:space="preserve"> that produces order (law, price, formal interdependence) are not the same thing, and historically they have substituted for each other. As the first shrinks under pluralization, the second must expand, or order itself degrades.</w:t>
      </w:r>
    </w:p>
    <w:p>
      <w:pPr>
        <w:pStyle w:val="Heading2"/>
      </w:pPr>
      <w:r>
        <w:t xml:space="preserve">3. Economic grounding: institutions as a substitute for shared norms</w:t>
      </w:r>
    </w:p>
    <w:p>
      <w:pPr/>
      <w:r>
        <w:rPr>
          <w:b/>
        </w:rPr>
        <w:t xml:space="preserve">North: institutions as the humanly devised rules that make exchange possible among strangers.</w:t>
      </w:r>
      <w:r>
        <w:t xml:space="preserve"> Douglass North's New Institutional Economics (</w:t>
      </w:r>
      <w:r>
        <w:rPr>
          <w:i/>
        </w:rPr>
        <w:t xml:space="preserve">Institutions, Institutional Change and Economic Performance</w:t>
      </w:r>
      <w:r>
        <w:t xml:space="preserve">, 1990) defines institutions as the humanly devised constraints — formal (law, constitutions, property rights) and informal (norms, conventions, codes of conduct) — that structure human interaction and reduce uncertainty in exchange. North's central historical claim is directly relevant here: small-scale, personal exchange among kin or co-religionists can run on informal norms and repeated interaction, because everyone knows everyone and reputational punishment is cheap to apply. Impersonal exchange among strangers — exactly what a pluralized, option-rich society is full of — cannot run on informal norms alone, because the parties have no shared history and no common community to enforce an informal sanction. It requires third-party enforcement: formal law, courts, and the state. North explicitly identifies this shift, from norm-governed personal exchange to law-governed impersonal exchange, as one of the central drivers of economic development — which is the same shift this paper is describing for religion, marriage, and lifestyle, generalized beyond the economic sphere North focuses on.</w:t>
      </w:r>
    </w:p>
    <w:p>
      <w:pPr/>
      <w:r>
        <w:rPr>
          <w:b/>
        </w:rPr>
        <w:t xml:space="preserve">Coase: law substitutes for trust by lowering transaction costs.</w:t>
      </w:r>
      <w:r>
        <w:t xml:space="preserve"> Ronald Coase's "The Problem of Social Cost" (1960) and "The Nature of the Firm" (1937) show that in a world of zero transaction costs, parties could bargain their way to efficient outcomes regardless of the initial allocation of rights or how much they trusted or resembled one another. Real transaction costs are never zero, and they rise sharply with the </w:t>
      </w:r>
      <w:r>
        <w:rPr>
          <w:i/>
        </w:rPr>
        <w:t xml:space="preserve">social distance</w:t>
      </w:r>
      <w:r>
        <w:t xml:space="preserve"> between the parties — with how little the parties can take for granted about each other's norms, honesty, or intentions. A dense, well-specified body of contract and property law lowers transaction costs for exactly the people who most need it lowered: strangers, people from different communities, people who disagree about first principles. In a single-norm community, much of this cost is paid implicitly, through shared expectation, before any transaction occurs; in a pluralized community it must be paid explicitly, through drafted contracts, warranties, dispute-resolution clauses, and courts able to enforce them. More law is not a sign of social breakdown under pluralism — it is the price of pluralism functioning at all.</w:t>
      </w:r>
    </w:p>
    <w:p>
      <w:pPr/>
      <w:r>
        <w:rPr>
          <w:b/>
        </w:rPr>
        <w:t xml:space="preserve">Granovetter: markets are never "disembedded," but the embedding thins and formalizes.</w:t>
      </w:r>
      <w:r>
        <w:t xml:space="preserve"> Mark Granovetter's concept of embeddedness ("Economic Action and Social Structure," 1985) is a useful corrective here: economic exchange is never a pure market of atomized strangers governed by law alone; it is always embedded in some network of social relations. The paper's claim is not that law and price fully replace social relation — it is that, as the option set widens, the </w:t>
      </w:r>
      <w:r>
        <w:rPr>
          <w:i/>
        </w:rPr>
        <w:t xml:space="preserve">kind</w:t>
      </w:r>
      <w:r>
        <w:t xml:space="preserve"> of embedding shifts from thick, overlapping, ascribed ties (kin, congregation, caste, village) toward thinner, chosen, single-purpose ties (a licensed contractor, a certified daycare, a dating platform, a court), and that this thinning has to be compensated by formal guarantees (licensing, certification, contract law, consumer protection, platform reputation systems) that do the trust-work the thick ties used to do for free. Thinner social embedding is compatible with a functioning society only if formal institutions grow to cover the gap — which is the economic mirror of Durkheim's and North's argument.</w:t>
      </w:r>
    </w:p>
    <w:p>
      <w:pPr>
        <w:pStyle w:val="Heading2"/>
      </w:pPr>
      <w:r>
        <w:t xml:space="preserve">4. Behavioral and social-capital grounding</w:t>
      </w:r>
    </w:p>
    <w:p>
      <w:pPr/>
      <w:r>
        <w:rPr>
          <w:b/>
        </w:rPr>
        <w:t xml:space="preserve">Choice overload at the individual level.</w:t>
      </w:r>
      <w:r>
        <w:t xml:space="preserve"> Sheena Iyengar and Mark Lepper's jam-tasting experiments ("When Choice Is Demotivating," 2000) and Barry Schwartz's </w:t>
      </w:r>
      <w:r>
        <w:rPr>
          <w:i/>
        </w:rPr>
        <w:t xml:space="preserve">The Paradox of Choice</w:t>
      </w:r>
      <w:r>
        <w:t xml:space="preserve"> (2004) showed that expanding an individual's option set past a fairly low threshold tends to reduce satisfaction, increase regret, and in some conditions reduce the likelihood of choosing at all, because evaluating many options imposes a cognitive and emotional cost that a smaller, curated set does not. This is the individual-psychology analogue of the paper's social-level claim: just as a person facing too many unstructured options benefits from external structure (defaults, curation, rules of thumb) to make a choice tractable, a society facing too many unstructured lifestyle options needs external structure (law, standardized contracts, certification, matching institutions) to make coexistence tractable. Richard Thaler and Cass Sunstein's </w:t>
      </w:r>
      <w:r>
        <w:rPr>
          <w:i/>
        </w:rPr>
        <w:t xml:space="preserve">Nudge</w:t>
      </w:r>
      <w:r>
        <w:t xml:space="preserve"> (2008) formalizes the policy response to this at the individual level — "choice architecture" that preserves optionality while supplying structure — and the paper's claim is that law and market infrastructure play exactly this choice-architecture role at the societal level: they do not remove options, they supply the scaffolding that keeps a large option set navigable and non-destructive.</w:t>
      </w:r>
    </w:p>
    <w:p>
      <w:pPr/>
      <w:r>
        <w:rPr>
          <w:b/>
        </w:rPr>
        <w:t xml:space="preserve">Social capital and generalized trust.</w:t>
      </w:r>
      <w:r>
        <w:t xml:space="preserve"> Robert Putnam's </w:t>
      </w:r>
      <w:r>
        <w:rPr>
          <w:i/>
        </w:rPr>
        <w:t xml:space="preserve">Bowling Alone</w:t>
      </w:r>
      <w:r>
        <w:t xml:space="preserve"> (2000) documents a decline in American associational life and interpersonal trust over the twentieth century and links it to the erosion of dense, overlapping local institutions (churches, clubs, unions) — precisely the thick, ascribed social ties that, in the terms of Section 3, used to do informal trust-work for free. Putnam's own policy instinct is to try to rebuild those thick ties; this paper's argument suggests a complementary and less nostalgic possibility: a pluralized society does not need to rebuild thick, homogeneous local ties to recover functioning trust, because </w:t>
      </w:r>
      <w:r>
        <w:rPr>
          <w:i/>
        </w:rPr>
        <w:t xml:space="preserve">generalized</w:t>
      </w:r>
      <w:r>
        <w:t xml:space="preserve"> trust — trust in strangers, mediated by institutions rather than personal acquaintance — can substitute for it. Francis Fukuyama's </w:t>
      </w:r>
      <w:r>
        <w:rPr>
          <w:i/>
        </w:rPr>
        <w:t xml:space="preserve">Trust: The Social Virtues and the Creation of Prosperity</w:t>
      </w:r>
      <w:r>
        <w:t xml:space="preserve"> (1995) makes exactly this distinction, between high-trust societies that can sustain large, impersonal organizations and transactions, and low-trust "familistic" societies that can only sustain cooperation within kin or clan boundaries and therefore rely more heavily on formal, legally enforced contracts to do business beyond that boundary — an empirical illustration of the paper's thesis: where shared, ascribed trust is thin, formal legal infrastructure must be thick, or large-scale, pluralistic cooperation simply does not happen.</w:t>
      </w:r>
    </w:p>
    <w:p>
      <w:pPr>
        <w:pStyle w:val="Heading2"/>
      </w:pPr>
      <w:r>
        <w:t xml:space="preserve">5. Synthesis: stating the myth of optionality as a general proposition</w:t>
      </w:r>
    </w:p>
    <w:p>
      <w:pPr/>
      <w:r>
        <w:t xml:space="preserve">The literatures above can be compressed into a single claim, stated here in two parts.</w:t>
      </w:r>
    </w:p>
    <w:p>
      <w:pPr/>
      <w:r>
        <w:rPr>
          <w:b/>
        </w:rPr>
        <w:t xml:space="preserve">The substitution principle.</w:t>
      </w:r>
      <w:r>
        <w:t xml:space="preserve"> In any domain of life where a society moves from a single shared default to a set of N legitimate live options, the quantity of explicit coordinating infrastructure — codified law, enforceable contract, certification and licensing regimes, priced market substitutes for what kin or community used to supply unpaid — required to hold that domain together rises with N. This is not a loose analogy across the sources cited; it is the same mechanism described four times: Durkheim's shift from repressive to restitutive law, Weber's and Simmel's rationalization and money-as-abstract-bond, North's and Coase's shift from norm-governed to law-governed exchange as transactions become impersonal, and Fukuyama's contrast between familistic low-trust and institutional high-trust societies. In each case, what is actually doing the binding work changes character — from something people share to something people merely submit to — as the option set widens.</w:t>
      </w:r>
    </w:p>
    <w:p>
      <w:pPr/>
      <w:r>
        <w:rPr>
          <w:b/>
        </w:rPr>
        <w:t xml:space="preserve">The corollary: optionality is a transfer, not a subtraction.</w:t>
      </w:r>
      <w:r>
        <w:t xml:space="preserve"> The myth of optionality specifically names the error of treating a widened option set as a pure gain — more freedom, same amount of order, for free. The sources above suggest instead that pluralization </w:t>
      </w:r>
      <w:r>
        <w:rPr>
          <w:i/>
        </w:rPr>
        <w:t xml:space="preserve">transfers</w:t>
      </w:r>
      <w:r>
        <w:t xml:space="preserve"> the cost of order from the content of belief (cheap, because it is already internalized and self-enforcing through conscience and community sanction) to formal infrastructure (expensive, because it must be externally drafted, administered, adjudicated, and enforced, usually by the state or by paid specialists). A society that expands its option set faster than it expands its law and its institutions of impersonal trust does not get "more freedom with the same order"; it gets anomie in Durkheim's precise sense — a state in which the old regulative force has weakened and no adequate new regulative force has yet arrived — or, in Fukuyama's terms, it stays familistic (cooperation only within the old boundary) while believing itself to have become pluralistic, producing a society that is legally plural on paper but practically balkanized into mutually suspicious sub-communities that barely transact.</w:t>
      </w:r>
    </w:p>
    <w:p>
      <w:pPr/>
      <w:r>
        <w:rPr>
          <w:b/>
        </w:rPr>
        <w:t xml:space="preserve">Limits and testable implications.</w:t>
      </w:r>
      <w:r>
        <w:t xml:space="preserve"> The thesis is not that law and markets are </w:t>
      </w:r>
      <w:r>
        <w:rPr>
          <w:i/>
        </w:rPr>
        <w:t xml:space="preserve">sufficient</w:t>
      </w:r>
      <w:r>
        <w:t xml:space="preserve"> for cohesion, nor that shared belief is simply obsolete — thick informal ties remain cheaper and more resilient than formal substitutes wherever they can still be sustained, and no body of contract law fully replaces the generalized goodwill that dense community once supplied for free (this is Putnam's and Fukuyama's shared worry). The claim is narrower and more useful: it predicts that societies, institutions, or platforms that expand optionality (in marriage law, in e-commerce, in religious pluralism, in gig-economy labor, in platform dating) without a matching expansion of enforceable rules, dispute-resolution mechanisms, and certified intermediaries will show measurable symptoms of under-governed pluralism — rising fraud and breach of informal agreement, rising reliance on reputation platforms as ad hoc courts, rising demand for formal regulation precisely in the domains that were most recently deregulated or diversified. This is, in effect, a falsifiable version of the myth of optionality: wherever a society has multiplied legitimate options without multiplying its law and its paid trust-infrastructure in step, we should observe exactly these symptoms; wherever law and markets have kept pace, pluralism should instead look stable and low-conflict.</w:t>
      </w:r>
    </w:p>
    <w:p>
      <w:pPr>
        <w:pStyle w:val="Heading2"/>
      </w:pPr>
      <w:r>
        <w:t xml:space="preserve">6. Modern evidence and live debates</w:t>
      </w:r>
    </w:p>
    <w:p>
      <w:pPr/>
      <w:r>
        <w:t xml:space="preserve">Recent scholarship both sharpens and complicates the thesis above in four ways.</w:t>
      </w:r>
    </w:p>
    <w:p>
      <w:pPr/>
      <w:r>
        <w:rPr>
          <w:b/>
        </w:rPr>
        <w:t xml:space="preserve">Choice overload is weaker and more conditional than the paradox-of-choice framing suggests.</w:t>
      </w:r>
      <w:r>
        <w:t xml:space="preserve"> Schwartz's (2004) popular argument implied a fairly robust psychological cost to expanded option sets. Benjamin Scheibehenne, Rainer Greifeneder, and Peter Todd's meta-analysis of 50 experiments ("Can There Ever Be Too Many Options?," </w:t>
      </w:r>
      <w:r>
        <w:rPr>
          <w:i/>
        </w:rPr>
        <w:t xml:space="preserve">Journal of Consumer Research</w:t>
      </w:r>
      <w:r>
        <w:t xml:space="preserve">, 2010) found a mean effect size close to zero across the literature, with choice overload appearing reliably only under specific moderating conditions (poorly defined preferences, difficult trade-offs, time pressure), and a 2015 conceptual meta-analysis by Alexander Chernev, Ulf Böckenholt, and Joseph Goodman ("Choice Overload: A Conceptual Review and Meta-Analysis," </w:t>
      </w:r>
      <w:r>
        <w:rPr>
          <w:i/>
        </w:rPr>
        <w:t xml:space="preserve">Journal of Consumer Psychology</w:t>
      </w:r>
      <w:r>
        <w:t xml:space="preserve">) confirmed the same pattern of inconsistent effects. For this paper's argument, the correction matters: the individual-level psychological cost of more options is not the main mechanism doing the work. The paper's claim does not depend on choice feeling bad to the chooser; it depends on coordination between differently-choosing people requiring more infrastructure, a social-structural claim that choice-overload psychology neither establishes nor undermines.</w:t>
      </w:r>
    </w:p>
    <w:p>
      <w:pPr/>
      <w:r>
        <w:rPr>
          <w:b/>
        </w:rPr>
        <w:t xml:space="preserve">Modern institutional economics generalizes North's and Coase's claim to whole national trajectories.</w:t>
      </w:r>
      <w:r>
        <w:t xml:space="preserve"> Daron Acemoglu and James Robinson's </w:t>
      </w:r>
      <w:r>
        <w:rPr>
          <w:i/>
        </w:rPr>
        <w:t xml:space="preserve">Why Nations Fail</w:t>
      </w:r>
      <w:r>
        <w:t xml:space="preserve"> (2012) extends the North/Coase logic into a comparative-historical research program: societies with </w:t>
      </w:r>
      <w:r>
        <w:rPr>
          <w:i/>
        </w:rPr>
        <w:t xml:space="preserve">inclusive</w:t>
      </w:r>
      <w:r>
        <w:t xml:space="preserve"> institutions — ones that enforce property rights and contracts broadly, across group lines, rather than only within a narrow elite or a single ethnic or religious network — sustain complex, pluralistic economic activity and growth, while societies with </w:t>
      </w:r>
      <w:r>
        <w:rPr>
          <w:i/>
        </w:rPr>
        <w:t xml:space="preserve">extractive</w:t>
      </w:r>
      <w:r>
        <w:t xml:space="preserve"> institutions, which function adequately only for a narrow in-group, cannot sustain pluralism beyond that group without instability. This is a modern, large-N illustration of the paper's substitution principle: pluralism survives only where formal institutions extend coverage broadly enough to match it.</w:t>
      </w:r>
    </w:p>
    <w:p>
      <w:pPr/>
      <w:r>
        <w:rPr>
          <w:b/>
        </w:rPr>
        <w:t xml:space="preserve">Political theory has converged on the same diagnosis for ethnic and religious diversity specifically.</w:t>
      </w:r>
      <w:r>
        <w:t xml:space="preserve"> Yascha Mounk's </w:t>
      </w:r>
      <w:r>
        <w:rPr>
          <w:i/>
        </w:rPr>
        <w:t xml:space="preserve">The Great Experiment: Why Diverse Democracies Fall Apart and How They Can Endure</w:t>
      </w:r>
      <w:r>
        <w:t xml:space="preserve"> (Penguin Press, 2022) argues that no diverse democracy in history has sustained itself on shared identity or shared culture alone, and that whether members of different groups come to treat each other as "strangers or compatriots" is a function of the institutions a society deliberately builds — equal citizenship, enforceable rights, shared public goods and civic rituals — not of achieving cultural convergence. This is close to a direct, contemporary restatement of the paper's opening two-religion example, extended to full-scale multi-ethnic democracies.</w:t>
      </w:r>
    </w:p>
    <w:p>
      <w:pPr/>
      <w:r>
        <w:rPr>
          <w:b/>
        </w:rPr>
        <w:t xml:space="preserve">Empirical indicators of the "glue deficit" the thesis predicts.</w:t>
      </w:r>
      <w:r>
        <w:t xml:space="preserve"> Where option sets have expanded without a matching expansion of formal and paid trust-infrastructure, the predicted symptoms are visible in current data. Pew Research Center's 2023 polling found that 28% of U.S. adults now describe themselves as religiously unaffiliated, up from 16% in 2007 — a rapid pluralization of the belief landscape that is, by this paper's logic, exactly the kind of change that should be matched by expanded secular civic and legal infrastructure if cohesion is to hold. The U.S. Surgeon General's 2023 advisory, </w:t>
      </w:r>
      <w:r>
        <w:rPr>
          <w:i/>
        </w:rPr>
        <w:t xml:space="preserve">Our Epidemic of Loneliness and Isolation</w:t>
      </w:r>
      <w:r>
        <w:t xml:space="preserve">, documents a parallel decline in informal social connection and explicitly calls for investment in "social infrastructure" to replace what thinning community ties no longer supply — language that maps directly onto this paper's claim that thinned informal bonds must be compensated by built infrastructure, not left uncompensated. And in the platform economy, where millions of strangers now transact gig labor and peer-to-peer services with no shared community at all, a body of research on reputation systems (surveyed in work such as "Can Reputation Discipline the Gig Economy? Evidence from an Online Labour Platform," CESifo Working Paper 7810, and "The Limits of Reputation in Platform Markets") treats star ratings and review systems explicitly as a </w:t>
      </w:r>
      <w:r>
        <w:rPr>
          <w:i/>
        </w:rPr>
        <w:t xml:space="preserve">substitute trust infrastructure</w:t>
      </w:r>
      <w:r>
        <w:t xml:space="preserve">, built because no other shared norm exists between a driver and a passenger who will likely never meet again — a small-scale, highly visible, real-time instance of exactly the substitution this paper describes at civilizational scale.</w:t>
      </w:r>
    </w:p>
    <w:p>
      <w:pPr/>
      <w:r>
        <w:rPr>
          <w:b/>
        </w:rPr>
        <w:t xml:space="preserve">Social cohesion is cyclical, not a one-way casualty of pluralism — which supports a substitution story over a simple decline story.</w:t>
      </w:r>
      <w:r>
        <w:t xml:space="preserve"> Robert Putnam and Shaylyn Romney Garrett's </w:t>
      </w:r>
      <w:r>
        <w:rPr>
          <w:i/>
        </w:rPr>
        <w:t xml:space="preserve">The Upswing: How America Came Together a Century Ago and How We Can Do It Again</w:t>
      </w:r>
      <w:r>
        <w:t xml:space="preserve"> (Simon &amp; Schuster, 2020) tracks a century of U.S. data on civic associational life, economic equality, and political bipartisanship and finds a long "I-we-I" curve: individualism and fragmentation in the Gilded Age, a decades-long climb toward "we," and decline again after the 1960s. This matters for the thesis because it rules out a naive story in which pluralization mechanically and permanently erodes cohesion. What it is consistent with is this paper's substitution story: the Progressive Era's upswing was driven in large part by a deliberate, decades-long build-out of formal institutions — antitrust law, labor law, public health regulation, universal schooling, civic associations — engineered specifically to govern an economy and a population that had become too large, too urban, and too diverse for informal, face-to-face norms to govern alone. Cohesion returned not because diversity or scale reversed, but because law and institutions caught up to them; Putnam and Garrett's own prescription for reversing the current decline is, in effect, a call to build that infrastructure again.</w:t>
      </w:r>
    </w:p>
    <w:p>
      <w:pPr/>
      <w:r>
        <w:rPr>
          <w:b/>
        </w:rPr>
        <w:t xml:space="preserve">A cross-country empirical proxy for the thesis's central variable.</w:t>
      </w:r>
      <w:r>
        <w:t xml:space="preserve"> The World Justice Project's Rule of Law Index, published annually since 2009 and covering 142 countries and jurisdictions as of its 2024 edition, operationalizes exactly the quantity this paper treats as the compensating variable: the extent to which a country's population actually experiences enforceable, evenly applied law in everyday civil, criminal, and regulatory life, rather than merely having law on the books. The Index's own 2024 finding that overall rule of law declined in a majority of countries for a seventh consecutive year, even as most of those countries also saw continuing social, religious, and economic pluralization, is the pattern this paper's thesis predicts as the danger case: option sets widening without a matching widening of enforced legal infrastructure — the myth of optionality operating at the scale of entire states.</w:t>
      </w:r>
    </w:p>
    <w:p>
      <w:pPr>
        <w:pStyle w:val="Heading2"/>
      </w:pPr>
      <w:r>
        <w:t xml:space="preserve">7. Case studies: marriage, dating, and child-rearing</w:t>
      </w:r>
    </w:p>
    <w:p>
      <w:pPr/>
      <w:r>
        <w:t xml:space="preserve">The introduction named marriage, childbearing, and lifestyle alongside religion as domains converted from default to option set. Each now has enough dedicated research to serve as a direct empirical test of the thesis, and each shows the same pattern: as the domain pluralizes, informal norm-governance breaks down unevenly by class, and formal law and paid market infrastructure expand specifically to cover the gap.</w:t>
      </w:r>
    </w:p>
    <w:p>
      <w:pPr/>
      <w:r>
        <w:rPr>
          <w:b/>
        </w:rPr>
        <w:t xml:space="preserve">Marriage: a thinning default replaced by an explicit, priced, and legally stratified market.</w:t>
      </w:r>
      <w:r>
        <w:t xml:space="preserve"> June Carbone and Naomi Cahn's </w:t>
      </w:r>
      <w:r>
        <w:rPr>
          <w:i/>
        </w:rPr>
        <w:t xml:space="preserve">Marriage Markets: How Inequality Is Remaking the American Family</w:t>
      </w:r>
      <w:r>
        <w:t xml:space="preserve"> (Oxford University Press, 2014) documents that marriage has not simply declined in the United States; it has split by class. Among the most educated and highest-earning Americans, marriage remains stable and is increasingly supported by explicit, lawyered infrastructure — prenuptial agreements, dual-career negotiated household contracts, outsourced childcare markets — while, among lower-income Americans, the same shift away from a single default toward a plural menu of cohabitation, single parenthood, and sequential partnerships has occurred without a matching build-out of comparable legal and economic infrastructure, producing exactly the instability this paper's thesis predicts under under-governed pluralism. Family law itself bears this out structurally: no-fault divorce, same-sex marriage (recognized nationwide by the U.S. Supreme Court in </w:t>
      </w:r>
      <w:r>
        <w:rPr>
          <w:i/>
        </w:rPr>
        <w:t xml:space="preserve">Obergefell v. Hodges</w:t>
      </w:r>
      <w:r>
        <w:t xml:space="preserve">, 2015), cohabitation agreements, and covenant marriage statutes have multiplied the legally recognized ways to form and dissolve a household, each addition requiring new statutory and case law to specify property division, custody default rules, and support obligations that a single-default marriage regime never had to specify, because there was only one path through which everyone was presumed to pass.</w:t>
      </w:r>
    </w:p>
    <w:p>
      <w:pPr/>
      <w:r>
        <w:rPr>
          <w:b/>
        </w:rPr>
        <w:t xml:space="preserve">Dating: an informal, kin- and congregation-mediated search replaced by algorithmic matching markets.</w:t>
      </w:r>
      <w:r>
        <w:t xml:space="preserve"> Economist Gary Becker's foundational "A Theory of Marriage" (</w:t>
      </w:r>
      <w:r>
        <w:rPr>
          <w:i/>
        </w:rPr>
        <w:t xml:space="preserve">Journal of Political Economy</w:t>
      </w:r>
      <w:r>
        <w:t xml:space="preserve">, 1973) and </w:t>
      </w:r>
      <w:r>
        <w:rPr>
          <w:i/>
        </w:rPr>
        <w:t xml:space="preserve">A Treatise on the Family</w:t>
      </w:r>
      <w:r>
        <w:t xml:space="preserve"> (Harvard University Press, 1981) first modeled partner-search as a matching market; Nobel laureate Alvin Roth's subsequent market-design research (summarized for a general audience in </w:t>
      </w:r>
      <w:r>
        <w:rPr>
          <w:i/>
        </w:rPr>
        <w:t xml:space="preserve">Who Gets What — and Why: The New Economics of Matchmaking and Market Design</w:t>
      </w:r>
      <w:r>
        <w:t xml:space="preserve">, 2015) formalized the insight this paper depends on — that as the pool of potential partners widens beyond what family, neighborhood, and congregation can canvas by hand, informal search breaks down and must be replaced by an explicit, engineered clearing mechanism. This is precisely what dating apps are: research on matching-market "thickness" (Li &amp; Netessine, </w:t>
      </w:r>
      <w:r>
        <w:rPr>
          <w:i/>
        </w:rPr>
        <w:t xml:space="preserve">Management Science</w:t>
      </w:r>
      <w:r>
        <w:t xml:space="preserve">, 2019, showing that greater volume on a platform does not straightforwardly improve match rates and requires deliberate algorithmic curation) and on platform matching algorithms (Rios et al., </w:t>
      </w:r>
      <w:r>
        <w:rPr>
          <w:i/>
        </w:rPr>
        <w:t xml:space="preserve">Manufacturing &amp; Service Operations Management</w:t>
      </w:r>
      <w:r>
        <w:t xml:space="preserve">, 2022) treats the app's recommendation algorithm as formal infrastructure explicitly engineered to do the filtering that kin networks and small-town visibility used to do informally and for free. Pew Research Center data cited in this literature shows roughly 30% of U.S. adults have used a dating platform; the point is not the percentage but the structural substitution it represents — paid, coded, corporate matching infrastructure standing in for a shared-community search process that no longer exists at the scale pluralized dating now requires.</w:t>
      </w:r>
    </w:p>
    <w:p>
      <w:pPr/>
      <w:r>
        <w:rPr>
          <w:b/>
        </w:rPr>
        <w:t xml:space="preserve">Child-rearing: an exploded menu of parenting philosophies held together by a legal floor, not a shared norm.</w:t>
      </w:r>
      <w:r>
        <w:t xml:space="preserve"> Child-rearing looks, on its face, like a case of pure philosophical pluralism — attachment parenting, free-range parenting, "tiger" parenting, gentle parenting, Montessori-style parenting, and more all compete openly as legitimate options, with no dominant church or community able to enforce a single correct method the way kin networks once could. Patrick Ishizuka's "Social Class, Gender, and Contemporary Parenting Standards in the United States" (</w:t>
      </w:r>
      <w:r>
        <w:rPr>
          <w:i/>
        </w:rPr>
        <w:t xml:space="preserve">Social Forces</w:t>
      </w:r>
      <w:r>
        <w:t xml:space="preserve">, 2020, based on a national survey experiment with over 3,600 parents) found that despite this apparent plurality, parents across class, race, and income converge overwhelmingly on "intensive," time- and money-costly parenting as the normatively correct approach — while differing sharply, by resources, in their ability to actually practice it. The gap between a near-universal normative standard and starkly unequal practical capacity to meet it is exactly the under-governed-pluralism symptom the thesis predicts: with no single enforceable community norm left to vary by cheaply, the domain has instead been covered by an expanding layer of formal, priced, and legal infrastructure — licensed daycare and preschool markets, private tutoring, child psychology and therapy services, mandatory schooling law, and, at the outer edge of state enforcement, child protective services and custody law, which now function as the explicit, codified floor beneath which no chosen parenting philosophy is legally permitted to fall, precisely because no shared philosophy is left to do that job informally.</w:t>
      </w:r>
    </w:p>
    <w:p>
      <w:pPr>
        <w:pStyle w:val="Heading2"/>
      </w:pPr>
      <w:r>
        <w:t xml:space="preserve">8. Conclusion: implications for institutional design</w:t>
      </w:r>
    </w:p>
    <w:p>
      <w:pPr/>
      <w:r>
        <w:t xml:space="preserve">If the myth of optionality is correct, it reframes law, regulation, and market infrastructure: not as the opposite of freedom, nor as a neutral backdrop freedom happens to play out on, but as freedom's actual load-bearing structure in any society past a minimal level of homogeneity. It follows that the right question for a pluralizing community — a two-religion town, a society legalizing new family forms, a platform economy opening new ways to earn a living — is never simply "how much should we deregulate to maximize choice," because choice is not free-standing; it is only as stable as the law and the market mechanisms built underneath it. The more useful question is: as this domain's option set widens, what formal infrastructure — contract law, licensing, dispute resolution, reputation systems, consumer protection — has to widen alongside it, and is it in fact widening at a matching pace? Where it is not, the predictable outcome is not freedom but a thin, under-governed pluralism: a society plural in principle and balkanized in practice, held together neither by the old shared conscience nor by an adequate new impersonal order. Trade and law are not what freedom replaces; they are what freedom is made of, once it has to be shared among people who no longer agree.</w:t>
      </w:r>
    </w:p>
    <w:p>
      <w:pPr>
        <w:pStyle w:val="Heading2"/>
      </w:pPr>
      <w:r>
        <w:t xml:space="preserve">References</w:t>
      </w:r>
    </w:p>
    <w:p>
      <w:pPr>
        <w:pStyle w:val="ListParagraph"/>
        <w:numPr>
          <w:ilvl w:val="0"/>
          <w:numId w:val="2"/>
        </w:numPr>
      </w:pPr>
      <w:r>
        <w:t xml:space="preserve">Berger, P. L. (1967). </w:t>
      </w:r>
      <w:r>
        <w:rPr>
          <w:i/>
        </w:rPr>
        <w:t xml:space="preserve">The Sacred Canopy: Elements of a Sociological Theory of Religion</w:t>
      </w:r>
      <w:r>
        <w:t xml:space="preserve">. Doubleday.</w:t>
      </w:r>
    </w:p>
    <w:p>
      <w:pPr>
        <w:pStyle w:val="ListParagraph"/>
        <w:numPr>
          <w:ilvl w:val="0"/>
          <w:numId w:val="2"/>
        </w:numPr>
      </w:pPr>
      <w:r>
        <w:t xml:space="preserve">Berger, P. L. (1979). </w:t>
      </w:r>
      <w:r>
        <w:rPr>
          <w:i/>
        </w:rPr>
        <w:t xml:space="preserve">The Heretical Imperative: Contemporary Possibilities of Religious Affirmation</w:t>
      </w:r>
      <w:r>
        <w:t xml:space="preserve">. Anchor Press.</w:t>
      </w:r>
    </w:p>
    <w:p>
      <w:pPr>
        <w:pStyle w:val="ListParagraph"/>
        <w:numPr>
          <w:ilvl w:val="0"/>
          <w:numId w:val="2"/>
        </w:numPr>
      </w:pPr>
      <w:r>
        <w:t xml:space="preserve">Coase, R. H. (1937). The Nature of the Firm. </w:t>
      </w:r>
      <w:r>
        <w:rPr>
          <w:i/>
        </w:rPr>
        <w:t xml:space="preserve">Economica</w:t>
      </w:r>
      <w:r>
        <w:t xml:space="preserve">, 4(16), 386–405.</w:t>
      </w:r>
    </w:p>
    <w:p>
      <w:pPr>
        <w:pStyle w:val="ListParagraph"/>
        <w:numPr>
          <w:ilvl w:val="0"/>
          <w:numId w:val="2"/>
        </w:numPr>
      </w:pPr>
      <w:r>
        <w:t xml:space="preserve">Coase, R. H. (1960). The Problem of Social Cost. </w:t>
      </w:r>
      <w:r>
        <w:rPr>
          <w:i/>
        </w:rPr>
        <w:t xml:space="preserve">Journal of Law and Economics</w:t>
      </w:r>
      <w:r>
        <w:t xml:space="preserve">, 3, 1–44.</w:t>
      </w:r>
    </w:p>
    <w:p>
      <w:pPr>
        <w:pStyle w:val="ListParagraph"/>
        <w:numPr>
          <w:ilvl w:val="0"/>
          <w:numId w:val="2"/>
        </w:numPr>
      </w:pPr>
      <w:r>
        <w:t xml:space="preserve">Durkheim, É. (1893/1984). </w:t>
      </w:r>
      <w:r>
        <w:rPr>
          <w:i/>
        </w:rPr>
        <w:t xml:space="preserve">The Division of Labor in Society</w:t>
      </w:r>
      <w:r>
        <w:t xml:space="preserve"> (W. D. Halls, Trans.). Free Press.</w:t>
      </w:r>
    </w:p>
    <w:p>
      <w:pPr>
        <w:pStyle w:val="ListParagraph"/>
        <w:numPr>
          <w:ilvl w:val="0"/>
          <w:numId w:val="2"/>
        </w:numPr>
      </w:pPr>
      <w:r>
        <w:t xml:space="preserve">Fukuyama, F. (1995). </w:t>
      </w:r>
      <w:r>
        <w:rPr>
          <w:i/>
        </w:rPr>
        <w:t xml:space="preserve">Trust: The Social Virtues and the Creation of Prosperity</w:t>
      </w:r>
      <w:r>
        <w:t xml:space="preserve">. Free Press.</w:t>
      </w:r>
    </w:p>
    <w:p>
      <w:pPr>
        <w:pStyle w:val="ListParagraph"/>
        <w:numPr>
          <w:ilvl w:val="0"/>
          <w:numId w:val="2"/>
        </w:numPr>
      </w:pPr>
      <w:r>
        <w:t xml:space="preserve">Granovetter, M. (1985). Economic Action and Social Structure: The Problem of Embeddedness. </w:t>
      </w:r>
      <w:r>
        <w:rPr>
          <w:i/>
        </w:rPr>
        <w:t xml:space="preserve">American Journal of Sociology</w:t>
      </w:r>
      <w:r>
        <w:t xml:space="preserve">, 91(3), 481–510.</w:t>
      </w:r>
    </w:p>
    <w:p>
      <w:pPr>
        <w:pStyle w:val="ListParagraph"/>
        <w:numPr>
          <w:ilvl w:val="0"/>
          <w:numId w:val="2"/>
        </w:numPr>
      </w:pPr>
      <w:r>
        <w:t xml:space="preserve">Iyengar, S. S., &amp; Lepper, M. R. (2000). When Choice Is Demotivating: Can One Desire Too Much of a Good Thing? </w:t>
      </w:r>
      <w:r>
        <w:rPr>
          <w:i/>
        </w:rPr>
        <w:t xml:space="preserve">Journal of Personality and Social Psychology</w:t>
      </w:r>
      <w:r>
        <w:t xml:space="preserve">, 79(6), 995–1006.</w:t>
      </w:r>
    </w:p>
    <w:p>
      <w:pPr>
        <w:pStyle w:val="ListParagraph"/>
        <w:numPr>
          <w:ilvl w:val="0"/>
          <w:numId w:val="2"/>
        </w:numPr>
      </w:pPr>
      <w:r>
        <w:t xml:space="preserve">North, D. C. (1990). </w:t>
      </w:r>
      <w:r>
        <w:rPr>
          <w:i/>
        </w:rPr>
        <w:t xml:space="preserve">Institutions, Institutional Change and Economic Performance</w:t>
      </w:r>
      <w:r>
        <w:t xml:space="preserve">. Cambridge University Press.</w:t>
      </w:r>
    </w:p>
    <w:p>
      <w:pPr>
        <w:pStyle w:val="ListParagraph"/>
        <w:numPr>
          <w:ilvl w:val="0"/>
          <w:numId w:val="2"/>
        </w:numPr>
      </w:pPr>
      <w:r>
        <w:t xml:space="preserve">Putnam, R. D. (2000). </w:t>
      </w:r>
      <w:r>
        <w:rPr>
          <w:i/>
        </w:rPr>
        <w:t xml:space="preserve">Bowling Alone: The Collapse and Revival of American Community</w:t>
      </w:r>
      <w:r>
        <w:t xml:space="preserve">. Simon &amp; Schuster.</w:t>
      </w:r>
    </w:p>
    <w:p>
      <w:pPr>
        <w:pStyle w:val="ListParagraph"/>
        <w:numPr>
          <w:ilvl w:val="0"/>
          <w:numId w:val="2"/>
        </w:numPr>
      </w:pPr>
      <w:r>
        <w:t xml:space="preserve">Schwartz, B. (2004). </w:t>
      </w:r>
      <w:r>
        <w:rPr>
          <w:i/>
        </w:rPr>
        <w:t xml:space="preserve">The Paradox of Choice: Why More Is Less</w:t>
      </w:r>
      <w:r>
        <w:t xml:space="preserve">. Ecco.</w:t>
      </w:r>
    </w:p>
    <w:p>
      <w:pPr>
        <w:pStyle w:val="ListParagraph"/>
        <w:numPr>
          <w:ilvl w:val="0"/>
          <w:numId w:val="2"/>
        </w:numPr>
      </w:pPr>
      <w:r>
        <w:t xml:space="preserve">Simmel, G. (1900/1978). </w:t>
      </w:r>
      <w:r>
        <w:rPr>
          <w:i/>
        </w:rPr>
        <w:t xml:space="preserve">The Philosophy of Money</w:t>
      </w:r>
      <w:r>
        <w:t xml:space="preserve"> (T. Bottomore &amp; D. Frisby, Trans.). Routledge.</w:t>
      </w:r>
    </w:p>
    <w:p>
      <w:pPr>
        <w:pStyle w:val="ListParagraph"/>
        <w:numPr>
          <w:ilvl w:val="0"/>
          <w:numId w:val="2"/>
        </w:numPr>
      </w:pPr>
      <w:r>
        <w:t xml:space="preserve">Thaler, R. H., &amp; Sunstein, C. R. (2008). </w:t>
      </w:r>
      <w:r>
        <w:rPr>
          <w:i/>
        </w:rPr>
        <w:t xml:space="preserve">Nudge: Improving Decisions About Health, Wealth, and Happiness</w:t>
      </w:r>
      <w:r>
        <w:t xml:space="preserve">. Yale University Press.</w:t>
      </w:r>
    </w:p>
    <w:p>
      <w:pPr>
        <w:pStyle w:val="ListParagraph"/>
        <w:numPr>
          <w:ilvl w:val="0"/>
          <w:numId w:val="2"/>
        </w:numPr>
      </w:pPr>
      <w:r>
        <w:t xml:space="preserve">Weber, M. (1905/2001). </w:t>
      </w:r>
      <w:r>
        <w:rPr>
          <w:i/>
        </w:rPr>
        <w:t xml:space="preserve">The Protestant Ethic and the Spirit of Capitalism</w:t>
      </w:r>
      <w:r>
        <w:t xml:space="preserve"> (T. Parsons, Trans.). Routledge.</w:t>
      </w:r>
    </w:p>
    <w:p>
      <w:pPr>
        <w:pStyle w:val="ListParagraph"/>
        <w:numPr>
          <w:ilvl w:val="0"/>
          <w:numId w:val="2"/>
        </w:numPr>
      </w:pPr>
      <w:r>
        <w:t xml:space="preserve">Weber, M. (1922/1978). </w:t>
      </w:r>
      <w:r>
        <w:rPr>
          <w:i/>
        </w:rPr>
        <w:t xml:space="preserve">Economy and Society: An Outline of Interpretive Sociology</w:t>
      </w:r>
      <w:r>
        <w:t xml:space="preserve"> (G. Roth &amp; C. Wittich, Eds.). University of California Press.</w:t>
      </w:r>
    </w:p>
    <w:p>
      <w:pPr>
        <w:pStyle w:val="ListParagraph"/>
        <w:numPr>
          <w:ilvl w:val="0"/>
          <w:numId w:val="3"/>
        </w:numPr>
      </w:pPr>
      <w:r>
        <w:t xml:space="preserve">Becker, G. S. (1973). A Theory of Marriage: Part I. </w:t>
      </w:r>
      <w:r>
        <w:rPr>
          <w:i/>
        </w:rPr>
        <w:t xml:space="preserve">Journal of Political Economy</w:t>
      </w:r>
      <w:r>
        <w:t xml:space="preserve">, 81(4), 813–846.</w:t>
      </w:r>
    </w:p>
    <w:p>
      <w:pPr>
        <w:pStyle w:val="ListParagraph"/>
        <w:numPr>
          <w:ilvl w:val="0"/>
          <w:numId w:val="3"/>
        </w:numPr>
      </w:pPr>
      <w:r>
        <w:t xml:space="preserve">Becker, G. S. (1981). </w:t>
      </w:r>
      <w:r>
        <w:rPr>
          <w:i/>
        </w:rPr>
        <w:t xml:space="preserve">A Treatise on the Family</w:t>
      </w:r>
      <w:r>
        <w:t xml:space="preserve">. Harvard University Press.</w:t>
      </w:r>
    </w:p>
    <w:p>
      <w:pPr>
        <w:pStyle w:val="ListParagraph"/>
        <w:numPr>
          <w:ilvl w:val="0"/>
          <w:numId w:val="3"/>
        </w:numPr>
      </w:pPr>
      <w:r>
        <w:t xml:space="preserve">Acemoglu, D., &amp; Robinson, J. A. (2012). </w:t>
      </w:r>
      <w:r>
        <w:rPr>
          <w:i/>
        </w:rPr>
        <w:t xml:space="preserve">Why Nations Fail: The Origins of Power, Prosperity, and Poverty</w:t>
      </w:r>
      <w:r>
        <w:t xml:space="preserve">. Crown Business.</w:t>
      </w:r>
    </w:p>
    <w:p>
      <w:pPr>
        <w:pStyle w:val="ListParagraph"/>
        <w:numPr>
          <w:ilvl w:val="0"/>
          <w:numId w:val="3"/>
        </w:numPr>
      </w:pPr>
      <w:r>
        <w:t xml:space="preserve">Chernev, A., Böckenholt, U., &amp; Goodman, J. (2015). Choice Overload: A Conceptual Review and Meta-Analysis. </w:t>
      </w:r>
      <w:r>
        <w:rPr>
          <w:i/>
        </w:rPr>
        <w:t xml:space="preserve">Journal of Consumer Psychology</w:t>
      </w:r>
      <w:r>
        <w:t xml:space="preserve">, 25(2), 333–358.</w:t>
      </w:r>
    </w:p>
    <w:p>
      <w:pPr>
        <w:pStyle w:val="ListParagraph"/>
        <w:numPr>
          <w:ilvl w:val="0"/>
          <w:numId w:val="3"/>
        </w:numPr>
      </w:pPr>
      <w:r>
        <w:t xml:space="preserve">Carbone, J., &amp; Cahn, N. (2014). </w:t>
      </w:r>
      <w:r>
        <w:rPr>
          <w:i/>
        </w:rPr>
        <w:t xml:space="preserve">Marriage Markets: How Inequality Is Remaking the American Family</w:t>
      </w:r>
      <w:r>
        <w:t xml:space="preserve">. Oxford University Press.</w:t>
      </w:r>
    </w:p>
    <w:p>
      <w:pPr>
        <w:pStyle w:val="ListParagraph"/>
        <w:numPr>
          <w:ilvl w:val="0"/>
          <w:numId w:val="3"/>
        </w:numPr>
      </w:pPr>
      <w:r>
        <w:t xml:space="preserve">Ishizuka, P. (2019). Social Class, Gender, and Contemporary Parenting Standards in the United States: Evidence from a National Survey Experiment. </w:t>
      </w:r>
      <w:r>
        <w:rPr>
          <w:i/>
        </w:rPr>
        <w:t xml:space="preserve">Social Forces</w:t>
      </w:r>
      <w:r>
        <w:t xml:space="preserve">, 98(1), 31–58.</w:t>
      </w:r>
    </w:p>
    <w:p>
      <w:pPr>
        <w:pStyle w:val="ListParagraph"/>
        <w:numPr>
          <w:ilvl w:val="0"/>
          <w:numId w:val="3"/>
        </w:numPr>
      </w:pPr>
      <w:r>
        <w:t xml:space="preserve">Mounk, Y. (2022). </w:t>
      </w:r>
      <w:r>
        <w:rPr>
          <w:i/>
        </w:rPr>
        <w:t xml:space="preserve">The Great Experiment: Why Diverse Democracies Fall Apart and How They Can Endure</w:t>
      </w:r>
      <w:r>
        <w:t xml:space="preserve">. Penguin Press.</w:t>
      </w:r>
    </w:p>
    <w:p>
      <w:pPr>
        <w:pStyle w:val="ListParagraph"/>
        <w:numPr>
          <w:ilvl w:val="0"/>
          <w:numId w:val="3"/>
        </w:numPr>
      </w:pPr>
      <w:r>
        <w:t xml:space="preserve">Putnam, R. D., &amp; Garrett, S. R. (2020). </w:t>
      </w:r>
      <w:r>
        <w:rPr>
          <w:i/>
        </w:rPr>
        <w:t xml:space="preserve">The Upswing: How America Came Together a Century Ago and How We Can Do It Again</w:t>
      </w:r>
      <w:r>
        <w:t xml:space="preserve">. Simon &amp; Schuster.</w:t>
      </w:r>
    </w:p>
    <w:p>
      <w:pPr>
        <w:pStyle w:val="ListParagraph"/>
        <w:numPr>
          <w:ilvl w:val="0"/>
          <w:numId w:val="3"/>
        </w:numPr>
      </w:pPr>
      <w:r>
        <w:t xml:space="preserve">Roth, A. E. (2015). </w:t>
      </w:r>
      <w:r>
        <w:rPr>
          <w:i/>
        </w:rPr>
        <w:t xml:space="preserve">Who Gets What — and Why: The New Economics of Matchmaking and Market Design</w:t>
      </w:r>
      <w:r>
        <w:t xml:space="preserve">. Houghton Mifflin Harcourt.</w:t>
      </w:r>
    </w:p>
    <w:p>
      <w:pPr>
        <w:pStyle w:val="ListParagraph"/>
        <w:numPr>
          <w:ilvl w:val="0"/>
          <w:numId w:val="3"/>
        </w:numPr>
      </w:pPr>
      <w:r>
        <w:t xml:space="preserve">Pew Research Center. (2024). Religious ‘Nones’ in America: Who They Are and What They Believe (2023 polling, reporting 28% of U.S. adults as religiously unaffiliated).</w:t>
      </w:r>
    </w:p>
    <w:p>
      <w:pPr>
        <w:pStyle w:val="ListParagraph"/>
        <w:numPr>
          <w:ilvl w:val="0"/>
          <w:numId w:val="3"/>
        </w:numPr>
      </w:pPr>
      <w:r>
        <w:t xml:space="preserve">Scheibehenne, B., Greifeneder, R., &amp; Todd, P. M. (2010). Can There Ever Be Too Many Options? A Meta-Analytic Review of Choice Overload. </w:t>
      </w:r>
      <w:r>
        <w:rPr>
          <w:i/>
        </w:rPr>
        <w:t xml:space="preserve">Journal of Consumer Research</w:t>
      </w:r>
      <w:r>
        <w:t xml:space="preserve">, 37(3), 409–425.</w:t>
      </w:r>
    </w:p>
    <w:p>
      <w:pPr>
        <w:pStyle w:val="ListParagraph"/>
        <w:numPr>
          <w:ilvl w:val="0"/>
          <w:numId w:val="3"/>
        </w:numPr>
      </w:pPr>
      <w:r>
        <w:t xml:space="preserve">U.S. Office of the Surgeon General. (2023). </w:t>
      </w:r>
      <w:r>
        <w:rPr>
          <w:i/>
        </w:rPr>
        <w:t xml:space="preserve">Our Epidemic of Loneliness and Isolation: The U.S. Surgeon General's Advisory on the Healing Effects of Social Connection and Community</w:t>
      </w:r>
      <w:r>
        <w:t xml:space="preserve">.</w:t>
      </w:r>
    </w:p>
    <w:p>
      <w:pPr>
        <w:pStyle w:val="ListParagraph"/>
        <w:numPr>
          <w:ilvl w:val="0"/>
          <w:numId w:val="3"/>
        </w:numPr>
      </w:pPr>
      <w:r>
        <w:t xml:space="preserve">World Justice Project. (2024). </w:t>
      </w:r>
      <w:r>
        <w:rPr>
          <w:i/>
        </w:rPr>
        <w:t xml:space="preserve">WJP Rule of Law Index 2024</w:t>
      </w:r>
      <w:r>
        <w:t xml:space="preserve">. World Justice Project.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Myth of Optionality</dc:title>
  <dc:description>Claude Docs node/8120ad1d-af4d@20 docx-w7</dc:description>
  <cp:revision>20</cp:revision>
</cp:coreProperties>
</file>