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A7" w:rsidRDefault="00031600" w:rsidP="00031600">
      <w:pPr>
        <w:jc w:val="center"/>
        <w:rPr>
          <w:b/>
          <w:sz w:val="72"/>
        </w:rPr>
      </w:pPr>
      <w:r w:rsidRPr="00031600">
        <w:rPr>
          <w:b/>
          <w:sz w:val="72"/>
        </w:rPr>
        <w:t xml:space="preserve">BINGO DE </w:t>
      </w:r>
      <w:r w:rsidR="002301A7">
        <w:rPr>
          <w:b/>
          <w:sz w:val="72"/>
        </w:rPr>
        <w:t xml:space="preserve">LA </w:t>
      </w:r>
    </w:p>
    <w:p w:rsidR="00031600" w:rsidRPr="00031600" w:rsidRDefault="00031600" w:rsidP="00031600">
      <w:pPr>
        <w:jc w:val="center"/>
        <w:rPr>
          <w:b/>
          <w:sz w:val="72"/>
        </w:rPr>
      </w:pPr>
      <w:r w:rsidRPr="00031600">
        <w:rPr>
          <w:b/>
          <w:sz w:val="72"/>
        </w:rPr>
        <w:t>FORMATION EN LIGNE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031600" w:rsidTr="00C17059">
        <w:trPr>
          <w:trHeight w:val="1682"/>
        </w:trPr>
        <w:tc>
          <w:tcPr>
            <w:tcW w:w="2195" w:type="dxa"/>
            <w:shd w:val="clear" w:color="auto" w:fill="404040" w:themeFill="text1" w:themeFillTint="BF"/>
            <w:vAlign w:val="center"/>
          </w:tcPr>
          <w:p w:rsidR="00031600" w:rsidRDefault="000C1A26" w:rsidP="002301A7">
            <w:pPr>
              <w:jc w:val="center"/>
            </w:pPr>
            <w:r w:rsidRPr="00C17059">
              <w:rPr>
                <w:color w:val="FFFFFF" w:themeColor="background1"/>
              </w:rPr>
              <w:t>CLOM (</w:t>
            </w:r>
            <w:r w:rsidRPr="00572576">
              <w:rPr>
                <w:i/>
                <w:color w:val="FFFFFF" w:themeColor="background1"/>
              </w:rPr>
              <w:t>MOOC</w:t>
            </w:r>
            <w:r w:rsidRPr="00C17059">
              <w:rPr>
                <w:color w:val="FFFFFF" w:themeColor="background1"/>
              </w:rPr>
              <w:t>)</w:t>
            </w:r>
          </w:p>
        </w:tc>
        <w:tc>
          <w:tcPr>
            <w:tcW w:w="2195" w:type="dxa"/>
            <w:vAlign w:val="center"/>
          </w:tcPr>
          <w:p w:rsidR="00031600" w:rsidRDefault="000C1A26" w:rsidP="002301A7">
            <w:pPr>
              <w:jc w:val="center"/>
            </w:pPr>
            <w:r>
              <w:t>LOGICIEL AUTEUR</w:t>
            </w:r>
          </w:p>
        </w:tc>
        <w:tc>
          <w:tcPr>
            <w:tcW w:w="2195" w:type="dxa"/>
            <w:shd w:val="clear" w:color="auto" w:fill="0D0D0D" w:themeFill="text1" w:themeFillTint="F2"/>
            <w:vAlign w:val="center"/>
          </w:tcPr>
          <w:p w:rsidR="00031600" w:rsidRPr="00572576" w:rsidRDefault="000C1A26" w:rsidP="002301A7">
            <w:pPr>
              <w:jc w:val="center"/>
              <w:rPr>
                <w:i/>
              </w:rPr>
            </w:pPr>
            <w:r w:rsidRPr="00572576">
              <w:rPr>
                <w:i/>
              </w:rPr>
              <w:t>SCORM</w:t>
            </w:r>
          </w:p>
        </w:tc>
        <w:tc>
          <w:tcPr>
            <w:tcW w:w="2195" w:type="dxa"/>
            <w:shd w:val="clear" w:color="auto" w:fill="808080" w:themeFill="background1" w:themeFillShade="80"/>
            <w:vAlign w:val="center"/>
          </w:tcPr>
          <w:p w:rsidR="00031600" w:rsidRDefault="009605A2" w:rsidP="002301A7">
            <w:pPr>
              <w:jc w:val="center"/>
            </w:pPr>
            <w:r>
              <w:t xml:space="preserve">FORMATION </w:t>
            </w:r>
            <w:r w:rsidR="000C1A26">
              <w:t>SYNCHRONE</w:t>
            </w:r>
          </w:p>
        </w:tc>
      </w:tr>
      <w:tr w:rsidR="00031600" w:rsidTr="00C17059">
        <w:trPr>
          <w:trHeight w:val="1829"/>
        </w:trPr>
        <w:tc>
          <w:tcPr>
            <w:tcW w:w="2195" w:type="dxa"/>
            <w:vAlign w:val="center"/>
          </w:tcPr>
          <w:p w:rsidR="00031600" w:rsidRDefault="009605A2" w:rsidP="002301A7">
            <w:pPr>
              <w:jc w:val="center"/>
            </w:pPr>
            <w:r>
              <w:t xml:space="preserve">FORMATION </w:t>
            </w:r>
            <w:r w:rsidR="000C1A26">
              <w:t>ASYNC</w:t>
            </w:r>
            <w:r w:rsidR="002858DC">
              <w:t>H</w:t>
            </w:r>
            <w:r w:rsidR="000C1A26">
              <w:t>RONE</w:t>
            </w:r>
          </w:p>
        </w:tc>
        <w:tc>
          <w:tcPr>
            <w:tcW w:w="2195" w:type="dxa"/>
            <w:shd w:val="clear" w:color="auto" w:fill="404040" w:themeFill="text1" w:themeFillTint="BF"/>
            <w:vAlign w:val="center"/>
          </w:tcPr>
          <w:p w:rsidR="00031600" w:rsidRDefault="000C1A26" w:rsidP="002301A7">
            <w:pPr>
              <w:jc w:val="center"/>
            </w:pPr>
            <w:r w:rsidRPr="00C17059">
              <w:rPr>
                <w:color w:val="FFFFFF" w:themeColor="background1"/>
              </w:rPr>
              <w:t>ENA (LMS)</w:t>
            </w:r>
          </w:p>
        </w:tc>
        <w:tc>
          <w:tcPr>
            <w:tcW w:w="2195" w:type="dxa"/>
            <w:vAlign w:val="center"/>
          </w:tcPr>
          <w:p w:rsidR="00031600" w:rsidRDefault="000C1A26" w:rsidP="002301A7">
            <w:pPr>
              <w:jc w:val="center"/>
            </w:pPr>
            <w:r>
              <w:t>APPLICATION WEB</w:t>
            </w:r>
          </w:p>
        </w:tc>
        <w:tc>
          <w:tcPr>
            <w:tcW w:w="2195" w:type="dxa"/>
            <w:shd w:val="clear" w:color="auto" w:fill="0D0D0D" w:themeFill="text1" w:themeFillTint="F2"/>
            <w:vAlign w:val="center"/>
          </w:tcPr>
          <w:p w:rsidR="00031600" w:rsidRPr="00572576" w:rsidRDefault="000C1A26" w:rsidP="002301A7">
            <w:pPr>
              <w:jc w:val="center"/>
              <w:rPr>
                <w:i/>
              </w:rPr>
            </w:pPr>
            <w:r w:rsidRPr="00572576">
              <w:rPr>
                <w:i/>
              </w:rPr>
              <w:t>LRS</w:t>
            </w:r>
          </w:p>
        </w:tc>
      </w:tr>
      <w:tr w:rsidR="00031600" w:rsidTr="00C17059">
        <w:trPr>
          <w:trHeight w:val="1832"/>
        </w:trPr>
        <w:tc>
          <w:tcPr>
            <w:tcW w:w="2195" w:type="dxa"/>
            <w:shd w:val="clear" w:color="auto" w:fill="0D0D0D" w:themeFill="text1" w:themeFillTint="F2"/>
            <w:vAlign w:val="center"/>
          </w:tcPr>
          <w:p w:rsidR="00031600" w:rsidRPr="00572576" w:rsidRDefault="000C1A26" w:rsidP="002301A7">
            <w:pPr>
              <w:jc w:val="center"/>
              <w:rPr>
                <w:i/>
              </w:rPr>
            </w:pPr>
            <w:r w:rsidRPr="00572576">
              <w:rPr>
                <w:i/>
              </w:rPr>
              <w:t>XAPI</w:t>
            </w:r>
          </w:p>
        </w:tc>
        <w:tc>
          <w:tcPr>
            <w:tcW w:w="2195" w:type="dxa"/>
            <w:vAlign w:val="center"/>
          </w:tcPr>
          <w:p w:rsidR="00031600" w:rsidRDefault="000C1A26" w:rsidP="00572576">
            <w:pPr>
              <w:jc w:val="center"/>
            </w:pPr>
            <w:r>
              <w:t>AG</w:t>
            </w:r>
            <w:bookmarkStart w:id="0" w:name="_GoBack"/>
            <w:bookmarkEnd w:id="0"/>
            <w:r>
              <w:t>R</w:t>
            </w:r>
            <w:r w:rsidR="00572576">
              <w:t>É</w:t>
            </w:r>
            <w:r>
              <w:t>GATEUR</w:t>
            </w:r>
          </w:p>
        </w:tc>
        <w:tc>
          <w:tcPr>
            <w:tcW w:w="2195" w:type="dxa"/>
            <w:shd w:val="clear" w:color="auto" w:fill="404040" w:themeFill="text1" w:themeFillTint="BF"/>
            <w:vAlign w:val="center"/>
          </w:tcPr>
          <w:p w:rsidR="00031600" w:rsidRDefault="000C1A26" w:rsidP="002301A7">
            <w:pPr>
              <w:jc w:val="center"/>
            </w:pPr>
            <w:r w:rsidRPr="00C17059">
              <w:rPr>
                <w:color w:val="FFFFFF" w:themeColor="background1"/>
              </w:rPr>
              <w:t>CLASSE VIRTUELLE</w:t>
            </w:r>
          </w:p>
        </w:tc>
        <w:tc>
          <w:tcPr>
            <w:tcW w:w="2195" w:type="dxa"/>
            <w:vAlign w:val="center"/>
          </w:tcPr>
          <w:p w:rsidR="00031600" w:rsidRDefault="009605A2" w:rsidP="002301A7">
            <w:pPr>
              <w:jc w:val="center"/>
            </w:pPr>
            <w:r>
              <w:t>FORMATION MIXTE</w:t>
            </w:r>
          </w:p>
        </w:tc>
      </w:tr>
      <w:tr w:rsidR="00031600" w:rsidTr="00C17059">
        <w:trPr>
          <w:trHeight w:val="2108"/>
        </w:trPr>
        <w:tc>
          <w:tcPr>
            <w:tcW w:w="2195" w:type="dxa"/>
            <w:shd w:val="clear" w:color="auto" w:fill="808080" w:themeFill="background1" w:themeFillShade="80"/>
            <w:vAlign w:val="center"/>
          </w:tcPr>
          <w:p w:rsidR="00031600" w:rsidRDefault="000C1A26" w:rsidP="002301A7">
            <w:pPr>
              <w:jc w:val="center"/>
            </w:pPr>
            <w:r w:rsidRPr="002301A7">
              <w:t>CHAÎNE ÉDITORIALE</w:t>
            </w:r>
          </w:p>
        </w:tc>
        <w:tc>
          <w:tcPr>
            <w:tcW w:w="2195" w:type="dxa"/>
            <w:shd w:val="clear" w:color="auto" w:fill="0D0D0D" w:themeFill="text1" w:themeFillTint="F2"/>
            <w:vAlign w:val="center"/>
          </w:tcPr>
          <w:p w:rsidR="00031600" w:rsidRDefault="000C1A26" w:rsidP="002301A7">
            <w:pPr>
              <w:jc w:val="center"/>
            </w:pPr>
            <w:r w:rsidRPr="000C1A26">
              <w:t>VERSIONNAGE</w:t>
            </w:r>
          </w:p>
        </w:tc>
        <w:tc>
          <w:tcPr>
            <w:tcW w:w="2195" w:type="dxa"/>
            <w:vAlign w:val="center"/>
          </w:tcPr>
          <w:p w:rsidR="00031600" w:rsidRPr="00572576" w:rsidRDefault="000C1A26" w:rsidP="002301A7">
            <w:pPr>
              <w:jc w:val="center"/>
              <w:rPr>
                <w:i/>
              </w:rPr>
            </w:pPr>
            <w:r w:rsidRPr="00572576">
              <w:rPr>
                <w:i/>
              </w:rPr>
              <w:t>RAPID E-LEARNING</w:t>
            </w:r>
          </w:p>
        </w:tc>
        <w:tc>
          <w:tcPr>
            <w:tcW w:w="2195" w:type="dxa"/>
            <w:shd w:val="clear" w:color="auto" w:fill="404040" w:themeFill="text1" w:themeFillTint="BF"/>
            <w:vAlign w:val="center"/>
          </w:tcPr>
          <w:p w:rsidR="00031600" w:rsidRDefault="009605A2" w:rsidP="002301A7">
            <w:pPr>
              <w:jc w:val="center"/>
            </w:pPr>
            <w:r w:rsidRPr="00C17059">
              <w:rPr>
                <w:color w:val="FFFFFF" w:themeColor="background1"/>
              </w:rPr>
              <w:t xml:space="preserve">FORMATION </w:t>
            </w:r>
            <w:r w:rsidR="000C1A26" w:rsidRPr="00C17059">
              <w:rPr>
                <w:color w:val="FFFFFF" w:themeColor="background1"/>
              </w:rPr>
              <w:t>HYBRIDE</w:t>
            </w:r>
          </w:p>
        </w:tc>
      </w:tr>
    </w:tbl>
    <w:p w:rsidR="00072F82" w:rsidRPr="002C2496" w:rsidRDefault="002C2496" w:rsidP="002C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  <w:lang w:eastAsia="fr-CA"/>
        </w:rPr>
      </w:pPr>
      <w:r w:rsidRPr="002C2496">
        <w:rPr>
          <w:rFonts w:ascii="Arial" w:eastAsia="Times New Roman" w:hAnsi="Arial" w:cs="Arial"/>
          <w:color w:val="606060"/>
          <w:sz w:val="10"/>
          <w:szCs w:val="10"/>
          <w:lang w:eastAsia="fr-CA"/>
        </w:rPr>
        <w:t>Auteur: Steve Prud’Homme. Cette oeuvre, création, site ou texte est sous licence Creative Commons Attribution - Pas d’Utilisation Commerciale - Partage dans les Mêmes Conditions 4.0 International. Pour accéder à une copie de cette licence, merci de vous rendre à l'adresse suivante </w:t>
      </w:r>
      <w:r w:rsidRPr="002C2496">
        <w:rPr>
          <w:rFonts w:ascii="Arial" w:eastAsia="Times New Roman" w:hAnsi="Arial" w:cs="Arial"/>
          <w:sz w:val="10"/>
          <w:szCs w:val="10"/>
          <w:lang w:eastAsia="fr-CA"/>
        </w:rPr>
        <w:t xml:space="preserve">: </w:t>
      </w:r>
      <w:r w:rsidRPr="002C2496">
        <w:rPr>
          <w:rFonts w:ascii="Arial" w:eastAsia="Times New Roman" w:hAnsi="Arial" w:cs="Arial"/>
          <w:color w:val="606060"/>
          <w:sz w:val="10"/>
          <w:szCs w:val="10"/>
          <w:lang w:eastAsia="fr-CA"/>
        </w:rPr>
        <w:t>http://creativecommons.org/licenses/by-nc-sa/4.0/ ou envoyez un courrier à Creative Commons, 444 Castro Street, Suite 900, Mountain View, California, 94041, USA.</w:t>
      </w:r>
    </w:p>
    <w:p w:rsidR="002C2496" w:rsidRDefault="002C2496">
      <w:r>
        <w:rPr>
          <w:noProof/>
          <w:lang w:eastAsia="fr-CA"/>
        </w:rPr>
        <w:drawing>
          <wp:inline distT="0" distB="0" distL="0" distR="0">
            <wp:extent cx="1419225" cy="335475"/>
            <wp:effectExtent l="0" t="0" r="0" b="7620"/>
            <wp:docPr id="1" name="Image 1" descr="http://www.idz.ro/wp-content/uploads/2014/01/by-nc-sa-ccLic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dz.ro/wp-content/uploads/2014/01/by-nc-sa-ccLicen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834" cy="3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A26" w:rsidRDefault="000C1A26"/>
    <w:p w:rsidR="000C1A26" w:rsidRDefault="000C1A26"/>
    <w:p w:rsidR="000C1A26" w:rsidRDefault="000C1A26">
      <w:r>
        <w:br w:type="page"/>
      </w:r>
    </w:p>
    <w:p w:rsidR="00C17059" w:rsidRPr="00D827D3" w:rsidRDefault="00C17059" w:rsidP="00D827D3">
      <w:pPr>
        <w:jc w:val="center"/>
        <w:rPr>
          <w:b/>
          <w:sz w:val="32"/>
        </w:rPr>
      </w:pPr>
      <w:r w:rsidRPr="00D827D3">
        <w:rPr>
          <w:b/>
          <w:sz w:val="32"/>
        </w:rPr>
        <w:lastRenderedPageBreak/>
        <w:t xml:space="preserve">BINGO DE </w:t>
      </w:r>
      <w:r w:rsidR="00D827D3">
        <w:rPr>
          <w:b/>
          <w:sz w:val="32"/>
        </w:rPr>
        <w:t xml:space="preserve">LA </w:t>
      </w:r>
      <w:r w:rsidRPr="00D827D3">
        <w:rPr>
          <w:b/>
          <w:sz w:val="32"/>
        </w:rPr>
        <w:t>FORMATION EN LIGNE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C17059" w:rsidTr="00C17059">
        <w:trPr>
          <w:trHeight w:val="1682"/>
        </w:trPr>
        <w:tc>
          <w:tcPr>
            <w:tcW w:w="2195" w:type="dxa"/>
          </w:tcPr>
          <w:p w:rsidR="00F16474" w:rsidRPr="002C2496" w:rsidRDefault="00F16474" w:rsidP="00C170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 xml:space="preserve">CLOM </w:t>
            </w:r>
            <w:r w:rsidR="002C2496" w:rsidRPr="002C2496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2C2496">
              <w:rPr>
                <w:rFonts w:ascii="Arial" w:hAnsi="Arial" w:cs="Arial"/>
                <w:b/>
                <w:sz w:val="18"/>
                <w:szCs w:val="18"/>
              </w:rPr>
              <w:t>(Cours largement ouvert et massif)</w:t>
            </w:r>
          </w:p>
          <w:p w:rsidR="002C2496" w:rsidRPr="002C2496" w:rsidRDefault="002C2496" w:rsidP="002C2496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 xml:space="preserve">Cours dans lequel les participants aux cours, enseignants et élèves, sont dispersés géographiquement et communiquent uniquement par internet. </w:t>
            </w:r>
          </w:p>
          <w:p w:rsidR="002C2496" w:rsidRPr="002C2496" w:rsidRDefault="002C2496" w:rsidP="002C2496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 xml:space="preserve">Des ressources éducatives libres sont souvent utilisées. </w:t>
            </w:r>
          </w:p>
          <w:p w:rsidR="000C1A26" w:rsidRPr="002C2496" w:rsidRDefault="002C2496" w:rsidP="002C2496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Il y a un grand nombre de participants</w:t>
            </w:r>
            <w:r w:rsidR="00F16474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1"/>
            </w:r>
            <w:r w:rsidR="00C17059"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:rsidR="00F16474" w:rsidRPr="002C2496" w:rsidRDefault="00572576" w:rsidP="00C170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LOGICIEL AUTEUR</w:t>
            </w:r>
          </w:p>
          <w:p w:rsidR="000C1A26" w:rsidRPr="002C2496" w:rsidRDefault="00C17059" w:rsidP="00C1705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Programme informatique développé avec un langage auteur, qui permet de créer</w:t>
            </w:r>
            <w:r w:rsidR="00D71C6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C2496">
              <w:rPr>
                <w:rFonts w:ascii="Arial" w:hAnsi="Arial" w:cs="Arial"/>
                <w:sz w:val="18"/>
                <w:szCs w:val="18"/>
              </w:rPr>
              <w:t>des applications sur mesure sans qu’il soit nécessaire de connaître la</w:t>
            </w:r>
            <w:r w:rsidR="00F16474" w:rsidRPr="002C249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C2496">
              <w:rPr>
                <w:rFonts w:ascii="Arial" w:hAnsi="Arial" w:cs="Arial"/>
                <w:sz w:val="18"/>
                <w:szCs w:val="18"/>
              </w:rPr>
              <w:t>programmation.</w:t>
            </w:r>
            <w:r w:rsidR="00572576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2"/>
            </w:r>
          </w:p>
        </w:tc>
        <w:tc>
          <w:tcPr>
            <w:tcW w:w="2195" w:type="dxa"/>
          </w:tcPr>
          <w:p w:rsidR="00572576" w:rsidRPr="002C2496" w:rsidRDefault="00572576" w:rsidP="00C170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SCORM</w:t>
            </w:r>
          </w:p>
          <w:p w:rsidR="000C1A26" w:rsidRPr="002C2496" w:rsidRDefault="00C17059" w:rsidP="00D71C6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Permet de garantir des fonctionnalités évoluées dans le domaine de la formation e-learning telle que la gestion du tracking des apprenants.</w:t>
            </w:r>
            <w:r w:rsidR="00D71C64">
              <w:rPr>
                <w:rFonts w:ascii="Arial" w:hAnsi="Arial" w:cs="Arial"/>
                <w:sz w:val="18"/>
                <w:szCs w:val="18"/>
              </w:rPr>
              <w:t>C</w:t>
            </w:r>
            <w:r w:rsidRPr="002C2496">
              <w:rPr>
                <w:rFonts w:ascii="Arial" w:hAnsi="Arial" w:cs="Arial"/>
                <w:sz w:val="18"/>
                <w:szCs w:val="18"/>
              </w:rPr>
              <w:t>ela permet de garantir l’interopérabilité</w:t>
            </w:r>
            <w:r w:rsidR="00572576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3"/>
            </w:r>
            <w:r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:rsidR="00572576" w:rsidRPr="002C2496" w:rsidRDefault="00572576" w:rsidP="00C170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FORMATION SYNCHRONE</w:t>
            </w:r>
          </w:p>
          <w:p w:rsidR="000C1A26" w:rsidRPr="002C2496" w:rsidRDefault="00C17059" w:rsidP="00C17059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Modalités d’échange d’informations en direct</w:t>
            </w:r>
            <w:r w:rsidR="00572576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4"/>
            </w:r>
            <w:r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17059" w:rsidTr="00C17059">
        <w:trPr>
          <w:trHeight w:val="1829"/>
        </w:trPr>
        <w:tc>
          <w:tcPr>
            <w:tcW w:w="2195" w:type="dxa"/>
          </w:tcPr>
          <w:p w:rsidR="00572576" w:rsidRPr="002C2496" w:rsidRDefault="00572576" w:rsidP="00C170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FORMATION ASYNC</w:t>
            </w:r>
            <w:r w:rsidR="002858DC">
              <w:rPr>
                <w:rFonts w:ascii="Arial" w:hAnsi="Arial" w:cs="Arial"/>
                <w:b/>
                <w:sz w:val="18"/>
                <w:szCs w:val="18"/>
              </w:rPr>
              <w:t>HR</w:t>
            </w:r>
            <w:r w:rsidRPr="002C2496">
              <w:rPr>
                <w:rFonts w:ascii="Arial" w:hAnsi="Arial" w:cs="Arial"/>
                <w:b/>
                <w:sz w:val="18"/>
                <w:szCs w:val="18"/>
              </w:rPr>
              <w:t>ONE</w:t>
            </w:r>
          </w:p>
          <w:p w:rsidR="000C1A26" w:rsidRPr="002C2496" w:rsidRDefault="00C17059" w:rsidP="00572576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Modalités d’échange d’informations en différé</w:t>
            </w:r>
            <w:r w:rsidR="00572576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5"/>
            </w:r>
            <w:r w:rsidR="00572576"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:rsidR="00572576" w:rsidRPr="002C2496" w:rsidRDefault="00572576" w:rsidP="00C170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ENA (LMS)</w:t>
            </w:r>
          </w:p>
          <w:p w:rsidR="000C1A26" w:rsidRPr="002C2496" w:rsidRDefault="00C17059" w:rsidP="00C17059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Logiciel qui accompagne et gère un processus d’apprentissage ou un parcours pédagogique</w:t>
            </w:r>
            <w:r w:rsidR="00572576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6"/>
            </w:r>
            <w:r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:rsidR="00572576" w:rsidRPr="002C2496" w:rsidRDefault="00572576" w:rsidP="00C170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APPLICATION WEB</w:t>
            </w:r>
          </w:p>
          <w:p w:rsidR="000C1A26" w:rsidRPr="002C2496" w:rsidRDefault="00C17059" w:rsidP="00C17059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Application manipulable grâce à un navigateur web</w:t>
            </w:r>
            <w:r w:rsidR="00572576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7"/>
            </w:r>
            <w:r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:rsidR="00F16474" w:rsidRPr="002C2496" w:rsidRDefault="00F16474" w:rsidP="00C170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 xml:space="preserve">LRS </w:t>
            </w:r>
            <w:r w:rsidR="002C2496" w:rsidRPr="002C2496">
              <w:rPr>
                <w:rFonts w:ascii="Arial" w:hAnsi="Arial" w:cs="Arial"/>
                <w:b/>
                <w:sz w:val="18"/>
                <w:szCs w:val="18"/>
              </w:rPr>
              <w:br/>
              <w:t xml:space="preserve">(Learning Record </w:t>
            </w:r>
            <w:r w:rsidRPr="002C2496">
              <w:rPr>
                <w:rFonts w:ascii="Arial" w:hAnsi="Arial" w:cs="Arial"/>
                <w:b/>
                <w:sz w:val="18"/>
                <w:szCs w:val="18"/>
              </w:rPr>
              <w:t>Store)</w:t>
            </w:r>
          </w:p>
          <w:p w:rsidR="000C1A26" w:rsidRPr="002C2496" w:rsidRDefault="00C17059" w:rsidP="00C1705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Entrepôt de stockage des énoncés (données) des différentes expériences d’apprentissage</w:t>
            </w:r>
            <w:r w:rsidR="00F16474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8"/>
            </w:r>
          </w:p>
        </w:tc>
      </w:tr>
      <w:tr w:rsidR="00C17059" w:rsidTr="00C17059">
        <w:trPr>
          <w:trHeight w:val="1832"/>
        </w:trPr>
        <w:tc>
          <w:tcPr>
            <w:tcW w:w="2195" w:type="dxa"/>
          </w:tcPr>
          <w:p w:rsidR="00572576" w:rsidRPr="002C2496" w:rsidRDefault="002C2496" w:rsidP="00C170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x</w:t>
            </w:r>
            <w:r w:rsidR="00572576" w:rsidRPr="002C2496">
              <w:rPr>
                <w:rFonts w:ascii="Arial" w:hAnsi="Arial" w:cs="Arial"/>
                <w:b/>
                <w:sz w:val="18"/>
                <w:szCs w:val="18"/>
              </w:rPr>
              <w:t>API</w:t>
            </w:r>
          </w:p>
          <w:p w:rsidR="000C1A26" w:rsidRPr="002C2496" w:rsidRDefault="00C17059" w:rsidP="00C1705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Sert à suivre des activités de formation et à les transmettre à une plateforme de gestion de formation</w:t>
            </w:r>
            <w:r w:rsidR="00572576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9"/>
            </w:r>
            <w:r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:rsidR="00D827D3" w:rsidRPr="002C2496" w:rsidRDefault="00D827D3" w:rsidP="00C170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AGRÉGATEUR</w:t>
            </w:r>
          </w:p>
          <w:p w:rsidR="000C1A26" w:rsidRPr="002C2496" w:rsidRDefault="00C17059" w:rsidP="00C17059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Logiciel ou module web permettant de regrouper et stocker, de diffuser et lire des flux d’information</w:t>
            </w:r>
            <w:r w:rsidR="00D827D3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10"/>
            </w:r>
            <w:r w:rsidR="00D827D3"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:rsidR="00D827D3" w:rsidRPr="002C2496" w:rsidRDefault="00D827D3" w:rsidP="00C170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CLASSE VIRTUELLE</w:t>
            </w:r>
          </w:p>
          <w:p w:rsidR="000C1A26" w:rsidRPr="002C2496" w:rsidRDefault="00C17059" w:rsidP="00C17059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Réunir en temps réel sur internet, ou un autre réseau informatique, des participants et un formateur</w:t>
            </w:r>
            <w:r w:rsidR="00D827D3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11"/>
            </w:r>
            <w:r w:rsidR="00D827D3"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:rsidR="00D827D3" w:rsidRPr="002C2496" w:rsidRDefault="00D827D3" w:rsidP="00C170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FORMATION MIXTE</w:t>
            </w:r>
          </w:p>
          <w:p w:rsidR="000C1A26" w:rsidRPr="002C2496" w:rsidRDefault="00C17059" w:rsidP="00C17059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Répartition variable entre des temps de formation dispensés en présentiel et des temps de formation effectués à distance</w:t>
            </w:r>
            <w:r w:rsidR="00D827D3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12"/>
            </w:r>
          </w:p>
        </w:tc>
      </w:tr>
      <w:tr w:rsidR="00C17059" w:rsidTr="00C17059">
        <w:trPr>
          <w:trHeight w:val="2108"/>
        </w:trPr>
        <w:tc>
          <w:tcPr>
            <w:tcW w:w="2195" w:type="dxa"/>
          </w:tcPr>
          <w:p w:rsidR="00D827D3" w:rsidRPr="002C2496" w:rsidRDefault="00D827D3" w:rsidP="00C170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CHAÎNE ÉDITORIALE</w:t>
            </w:r>
          </w:p>
          <w:p w:rsidR="000C1A26" w:rsidRPr="002C2496" w:rsidRDefault="00C17059" w:rsidP="00C1705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Procédé industriel par lequel un document rédigé par un auteur est transformé en plusieurs déclinaisons publiables et publiées</w:t>
            </w:r>
            <w:r w:rsidR="00D827D3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13"/>
            </w:r>
            <w:r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:rsidR="00D827D3" w:rsidRPr="002C2496" w:rsidRDefault="00D827D3" w:rsidP="00C170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VERSIONNAGE</w:t>
            </w:r>
          </w:p>
          <w:p w:rsidR="000C1A26" w:rsidRPr="002C2496" w:rsidRDefault="00C17059" w:rsidP="00C17059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Mécanisme qui consiste à conserver la version d’une entité logicielle quelconque, de façon à pouvoir la retrouver facilement, même après l’apparition et la mise en place de versions plus récentes</w:t>
            </w:r>
            <w:r w:rsidR="00D827D3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14"/>
            </w:r>
            <w:r w:rsidR="00D827D3"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:rsidR="00D827D3" w:rsidRPr="002C2496" w:rsidRDefault="00D827D3" w:rsidP="00C170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RAPID E-LEARNING</w:t>
            </w:r>
          </w:p>
          <w:p w:rsidR="000C1A26" w:rsidRPr="002C2496" w:rsidRDefault="00C17059" w:rsidP="00C17059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Méthodologie développée dans le but de créer des cours rapidement, sans logiciel de programmation, en utilisant un logiciel semblable à PowerPoint</w:t>
            </w:r>
            <w:r w:rsidR="00D827D3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15"/>
            </w:r>
            <w:r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:rsidR="00D827D3" w:rsidRPr="002C2496" w:rsidRDefault="00D827D3" w:rsidP="00C170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C2496">
              <w:rPr>
                <w:rFonts w:ascii="Arial" w:hAnsi="Arial" w:cs="Arial"/>
                <w:b/>
                <w:sz w:val="18"/>
                <w:szCs w:val="18"/>
              </w:rPr>
              <w:t>FORMATION HYBRIDE</w:t>
            </w:r>
          </w:p>
          <w:p w:rsidR="000C1A26" w:rsidRPr="002C2496" w:rsidRDefault="00C17059" w:rsidP="00C17059">
            <w:pPr>
              <w:rPr>
                <w:rFonts w:ascii="Arial" w:hAnsi="Arial" w:cs="Arial"/>
                <w:sz w:val="18"/>
                <w:szCs w:val="18"/>
              </w:rPr>
            </w:pPr>
            <w:r w:rsidRPr="002C2496">
              <w:rPr>
                <w:rFonts w:ascii="Arial" w:hAnsi="Arial" w:cs="Arial"/>
                <w:sz w:val="18"/>
                <w:szCs w:val="18"/>
              </w:rPr>
              <w:t>Formule pédagogique qui résulte d’une combinaison de séquences de formation en ligne (e-learning) et de formation en présentiel</w:t>
            </w:r>
            <w:r w:rsidR="002C2496" w:rsidRPr="002C2496">
              <w:rPr>
                <w:rStyle w:val="Appelnotedebasdep"/>
                <w:rFonts w:ascii="Arial" w:hAnsi="Arial" w:cs="Arial"/>
                <w:sz w:val="18"/>
                <w:szCs w:val="18"/>
              </w:rPr>
              <w:footnoteReference w:id="16"/>
            </w:r>
            <w:r w:rsidRPr="002C249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2C2496" w:rsidRPr="002C2496" w:rsidRDefault="002C2496" w:rsidP="002C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0"/>
          <w:szCs w:val="10"/>
          <w:lang w:eastAsia="fr-CA"/>
        </w:rPr>
      </w:pPr>
      <w:r w:rsidRPr="002C2496">
        <w:rPr>
          <w:rFonts w:ascii="Arial" w:eastAsia="Times New Roman" w:hAnsi="Arial" w:cs="Arial"/>
          <w:color w:val="606060"/>
          <w:sz w:val="10"/>
          <w:szCs w:val="10"/>
          <w:lang w:eastAsia="fr-CA"/>
        </w:rPr>
        <w:t>Auteur: Steve Prud’Homme. Cette oeuvre, création, site ou texte est sous licence Creative Commons Attribution - Pas d’Utilisation Commerciale - Partage dans les Mêmes Conditions 4.0 International. Pour accéder à une copie de cette licence, merci de vous rendre à l'adresse suivante </w:t>
      </w:r>
      <w:r w:rsidRPr="002C2496">
        <w:rPr>
          <w:rFonts w:ascii="Arial" w:eastAsia="Times New Roman" w:hAnsi="Arial" w:cs="Arial"/>
          <w:sz w:val="10"/>
          <w:szCs w:val="10"/>
          <w:lang w:eastAsia="fr-CA"/>
        </w:rPr>
        <w:t xml:space="preserve">: </w:t>
      </w:r>
      <w:r w:rsidRPr="002C2496">
        <w:rPr>
          <w:rFonts w:ascii="Arial" w:eastAsia="Times New Roman" w:hAnsi="Arial" w:cs="Arial"/>
          <w:color w:val="606060"/>
          <w:sz w:val="10"/>
          <w:szCs w:val="10"/>
          <w:lang w:eastAsia="fr-CA"/>
        </w:rPr>
        <w:t>http://creativecommons.org/licenses/by-nc-sa/4.0/ ou envoyez un courrier à Creative Commons, 444 Castro Street, Suite 900, Mountain View, California, 94041, USA.</w:t>
      </w:r>
    </w:p>
    <w:p w:rsidR="000C1A26" w:rsidRDefault="002C2496">
      <w:r>
        <w:rPr>
          <w:noProof/>
          <w:lang w:eastAsia="fr-CA"/>
        </w:rPr>
        <w:drawing>
          <wp:inline distT="0" distB="0" distL="0" distR="0" wp14:anchorId="08B51AC4" wp14:editId="26D07B64">
            <wp:extent cx="1419225" cy="335475"/>
            <wp:effectExtent l="0" t="0" r="0" b="7620"/>
            <wp:docPr id="2" name="Image 2" descr="http://www.idz.ro/wp-content/uploads/2014/01/by-nc-sa-ccLic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dz.ro/wp-content/uploads/2014/01/by-nc-sa-ccLicen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834" cy="3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A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FEF" w:rsidRDefault="00B96FEF" w:rsidP="00F16474">
      <w:pPr>
        <w:spacing w:after="0" w:line="240" w:lineRule="auto"/>
      </w:pPr>
      <w:r>
        <w:separator/>
      </w:r>
    </w:p>
  </w:endnote>
  <w:endnote w:type="continuationSeparator" w:id="0">
    <w:p w:rsidR="00B96FEF" w:rsidRDefault="00B96FEF" w:rsidP="00F16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6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FEF" w:rsidRDefault="00B96FEF" w:rsidP="00F16474">
      <w:pPr>
        <w:spacing w:after="0" w:line="240" w:lineRule="auto"/>
      </w:pPr>
      <w:r>
        <w:separator/>
      </w:r>
    </w:p>
  </w:footnote>
  <w:footnote w:type="continuationSeparator" w:id="0">
    <w:p w:rsidR="00B96FEF" w:rsidRDefault="00B96FEF" w:rsidP="00F16474">
      <w:pPr>
        <w:spacing w:after="0" w:line="240" w:lineRule="auto"/>
      </w:pPr>
      <w:r>
        <w:continuationSeparator/>
      </w:r>
    </w:p>
  </w:footnote>
  <w:footnote w:id="1">
    <w:p w:rsidR="00F16474" w:rsidRPr="002C2496" w:rsidRDefault="00F16474">
      <w:pPr>
        <w:pStyle w:val="Notedebasdepage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https://fr.wikipedia.org/wiki/Formation_en_ligne_ouverte_%C3%A0_tous</w:t>
      </w:r>
    </w:p>
  </w:footnote>
  <w:footnote w:id="2">
    <w:p w:rsidR="00572576" w:rsidRPr="002C2496" w:rsidRDefault="00572576" w:rsidP="0057257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</w:t>
      </w:r>
      <w:r w:rsidRPr="002C2496">
        <w:rPr>
          <w:rFonts w:ascii="NimbusSanL-Regu" w:hAnsi="NimbusSanL-Regu" w:cs="NimbusSanL-Regu"/>
          <w:sz w:val="10"/>
          <w:szCs w:val="10"/>
        </w:rPr>
        <w:t xml:space="preserve">Office québécois de la langue française (2002b). Logiciel auteur. </w:t>
      </w:r>
      <w:r w:rsidRPr="002C2496">
        <w:rPr>
          <w:rFonts w:ascii="F67" w:hAnsi="F67" w:cs="F67"/>
          <w:sz w:val="10"/>
          <w:szCs w:val="10"/>
        </w:rPr>
        <w:t>http://gdt.oqlf.gouv.qc.ca/ficheOqlf.aspx?Id_Fiche=8392043</w:t>
      </w:r>
      <w:r w:rsidRPr="002C2496">
        <w:rPr>
          <w:rFonts w:ascii="NimbusSanL-Regu" w:hAnsi="NimbusSanL-Regu" w:cs="NimbusSanL-Regu"/>
          <w:sz w:val="10"/>
          <w:szCs w:val="10"/>
        </w:rPr>
        <w:t>. En ligne ; consulté le 16 mars 2016.</w:t>
      </w:r>
    </w:p>
  </w:footnote>
  <w:footnote w:id="3">
    <w:p w:rsidR="00572576" w:rsidRPr="002C2496" w:rsidRDefault="00572576" w:rsidP="00572576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</w:t>
      </w:r>
      <w:r w:rsidRPr="002C2496">
        <w:rPr>
          <w:rFonts w:ascii="NimbusSanL-Regu" w:hAnsi="NimbusSanL-Regu" w:cs="NimbusSanL-Regu"/>
          <w:sz w:val="10"/>
          <w:szCs w:val="10"/>
        </w:rPr>
        <w:t>e-doceo (2016). Définition e-learning avec e-doceo.</w:t>
      </w:r>
      <w:r w:rsidRPr="002C2496">
        <w:rPr>
          <w:rFonts w:ascii="F67" w:hAnsi="F67" w:cs="F67"/>
          <w:sz w:val="10"/>
          <w:szCs w:val="10"/>
        </w:rPr>
        <w:t>http://www.e-doceo.net/definition-e-learning.php</w:t>
      </w:r>
      <w:r w:rsidRPr="002C2496">
        <w:rPr>
          <w:rFonts w:ascii="NimbusSanL-Regu" w:hAnsi="NimbusSanL-Regu" w:cs="NimbusSanL-Regu"/>
          <w:sz w:val="10"/>
          <w:szCs w:val="10"/>
        </w:rPr>
        <w:t>. En ligne ; consulté le 16 mars 2016.</w:t>
      </w:r>
    </w:p>
  </w:footnote>
  <w:footnote w:id="4">
    <w:p w:rsidR="00572576" w:rsidRPr="002C2496" w:rsidRDefault="00572576">
      <w:pPr>
        <w:pStyle w:val="Notedebasdepage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http://eduscol.education.fr/numerique/dossier/archives/eformation/notion-de-temps/synchrone-asynchrone</w:t>
      </w:r>
    </w:p>
  </w:footnote>
  <w:footnote w:id="5">
    <w:p w:rsidR="00572576" w:rsidRPr="002C2496" w:rsidRDefault="00572576" w:rsidP="00572576">
      <w:pPr>
        <w:pStyle w:val="Notedebasdepage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http://eduscol.education.fr/numerique/dossier/archives/eformation/notion-de-temps/synchrone-asynchrone</w:t>
      </w:r>
    </w:p>
  </w:footnote>
  <w:footnote w:id="6">
    <w:p w:rsidR="00572576" w:rsidRPr="002C2496" w:rsidRDefault="00572576">
      <w:pPr>
        <w:pStyle w:val="Notedebasdepage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https://fr.wikipedia.org/wiki/Learning_management_system</w:t>
      </w:r>
    </w:p>
  </w:footnote>
  <w:footnote w:id="7">
    <w:p w:rsidR="00572576" w:rsidRPr="002C2496" w:rsidRDefault="00572576">
      <w:pPr>
        <w:pStyle w:val="Notedebasdepage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https://fr.wikipedia.org/wiki/Application_web</w:t>
      </w:r>
    </w:p>
  </w:footnote>
  <w:footnote w:id="8">
    <w:p w:rsidR="00F16474" w:rsidRPr="002C2496" w:rsidRDefault="00F16474" w:rsidP="00F16474">
      <w:pPr>
        <w:autoSpaceDE w:val="0"/>
        <w:autoSpaceDN w:val="0"/>
        <w:adjustRightInd w:val="0"/>
        <w:spacing w:after="0" w:line="240" w:lineRule="auto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</w:t>
      </w:r>
      <w:r w:rsidRPr="002C2496">
        <w:rPr>
          <w:rFonts w:ascii="NimbusSanL-Regu" w:hAnsi="NimbusSanL-Regu" w:cs="NimbusSanL-Regu"/>
          <w:sz w:val="10"/>
          <w:szCs w:val="10"/>
        </w:rPr>
        <w:t xml:space="preserve">Traoré, M. (2015). Learning Record Store. </w:t>
      </w:r>
      <w:r w:rsidRPr="002C2496">
        <w:rPr>
          <w:rFonts w:ascii="F67" w:hAnsi="F67" w:cs="F67"/>
          <w:sz w:val="10"/>
          <w:szCs w:val="10"/>
        </w:rPr>
        <w:t>https://prezi.com/exofbscc6u-n/learning-record-store/</w:t>
      </w:r>
      <w:r w:rsidR="002C2496" w:rsidRPr="002C2496">
        <w:rPr>
          <w:rFonts w:ascii="NimbusSanL-Regu" w:hAnsi="NimbusSanL-Regu" w:cs="NimbusSanL-Regu"/>
          <w:sz w:val="10"/>
          <w:szCs w:val="10"/>
        </w:rPr>
        <w:t>. En ligne</w:t>
      </w:r>
      <w:r w:rsidRPr="002C2496">
        <w:rPr>
          <w:rFonts w:ascii="NimbusSanL-Regu" w:hAnsi="NimbusSanL-Regu" w:cs="NimbusSanL-Regu"/>
          <w:sz w:val="10"/>
          <w:szCs w:val="10"/>
        </w:rPr>
        <w:t>;</w:t>
      </w:r>
      <w:r w:rsidR="002C2496" w:rsidRPr="002C2496">
        <w:rPr>
          <w:rFonts w:ascii="NimbusSanL-Regu" w:hAnsi="NimbusSanL-Regu" w:cs="NimbusSanL-Regu"/>
          <w:sz w:val="10"/>
          <w:szCs w:val="10"/>
        </w:rPr>
        <w:t xml:space="preserve"> </w:t>
      </w:r>
      <w:r w:rsidRPr="002C2496">
        <w:rPr>
          <w:rFonts w:ascii="NimbusSanL-Regu" w:hAnsi="NimbusSanL-Regu" w:cs="NimbusSanL-Regu"/>
          <w:sz w:val="10"/>
          <w:szCs w:val="10"/>
        </w:rPr>
        <w:t>consulté le 16 mars 2016.</w:t>
      </w:r>
    </w:p>
  </w:footnote>
  <w:footnote w:id="9">
    <w:p w:rsidR="00572576" w:rsidRPr="002C2496" w:rsidRDefault="00572576" w:rsidP="0057257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</w:t>
      </w:r>
      <w:r w:rsidRPr="002C2496">
        <w:rPr>
          <w:rFonts w:ascii="NimbusSanL-Regu" w:hAnsi="NimbusSanL-Regu" w:cs="NimbusSanL-Regu"/>
          <w:sz w:val="10"/>
          <w:szCs w:val="10"/>
        </w:rPr>
        <w:t>Theler, J. (2013). Comprendre Tin Can API : ce que cela change pour le</w:t>
      </w:r>
    </w:p>
    <w:p w:rsidR="00572576" w:rsidRPr="002C2496" w:rsidRDefault="00572576" w:rsidP="0057257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0"/>
          <w:szCs w:val="10"/>
        </w:rPr>
      </w:pPr>
      <w:proofErr w:type="gramStart"/>
      <w:r w:rsidRPr="002C2496">
        <w:rPr>
          <w:rFonts w:ascii="NimbusSanL-Regu" w:hAnsi="NimbusSanL-Regu" w:cs="NimbusSanL-Regu"/>
          <w:sz w:val="10"/>
          <w:szCs w:val="10"/>
        </w:rPr>
        <w:t>e-learning</w:t>
      </w:r>
      <w:proofErr w:type="gramEnd"/>
      <w:r w:rsidRPr="002C2496">
        <w:rPr>
          <w:rFonts w:ascii="NimbusSanL-Regu" w:hAnsi="NimbusSanL-Regu" w:cs="NimbusSanL-Regu"/>
          <w:sz w:val="10"/>
          <w:szCs w:val="10"/>
        </w:rPr>
        <w:t>.</w:t>
      </w:r>
      <w:r w:rsidRPr="002C2496">
        <w:rPr>
          <w:rFonts w:ascii="F67" w:hAnsi="F67" w:cs="F67"/>
          <w:sz w:val="10"/>
          <w:szCs w:val="10"/>
        </w:rPr>
        <w:t xml:space="preserve"> http://www.e-teach.ch/blog/comprendre-tin-can-api-elearning-scorm/</w:t>
      </w:r>
      <w:r w:rsidRPr="002C2496">
        <w:rPr>
          <w:rFonts w:ascii="NimbusSanL-Regu" w:hAnsi="NimbusSanL-Regu" w:cs="NimbusSanL-Regu"/>
          <w:sz w:val="10"/>
          <w:szCs w:val="10"/>
        </w:rPr>
        <w:t>.</w:t>
      </w:r>
    </w:p>
    <w:p w:rsidR="00572576" w:rsidRPr="002C2496" w:rsidRDefault="00572576" w:rsidP="00572576">
      <w:pPr>
        <w:pStyle w:val="Notedebasdepage"/>
        <w:rPr>
          <w:sz w:val="10"/>
          <w:szCs w:val="10"/>
        </w:rPr>
      </w:pPr>
      <w:r w:rsidRPr="002C2496">
        <w:rPr>
          <w:rFonts w:ascii="NimbusSanL-Regu" w:hAnsi="NimbusSanL-Regu" w:cs="NimbusSanL-Regu"/>
          <w:sz w:val="10"/>
          <w:szCs w:val="10"/>
        </w:rPr>
        <w:t>En ligne ; consulté le 16 mars 2016.</w:t>
      </w:r>
    </w:p>
  </w:footnote>
  <w:footnote w:id="10">
    <w:p w:rsidR="00D827D3" w:rsidRPr="002C2496" w:rsidRDefault="00D827D3">
      <w:pPr>
        <w:pStyle w:val="Notedebasdepage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http://www.cultizer.pro/quest-ce-quun-agr%C3%A9gateur-de-contenu</w:t>
      </w:r>
    </w:p>
  </w:footnote>
  <w:footnote w:id="11">
    <w:p w:rsidR="00D827D3" w:rsidRPr="002C2496" w:rsidRDefault="00D827D3">
      <w:pPr>
        <w:pStyle w:val="Notedebasdepage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https://fr.wikipedia.org/wiki/Classe_virtuelle</w:t>
      </w:r>
    </w:p>
  </w:footnote>
  <w:footnote w:id="12">
    <w:p w:rsidR="00D827D3" w:rsidRPr="002C2496" w:rsidRDefault="00D827D3">
      <w:pPr>
        <w:pStyle w:val="Notedebasdepage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http://www.distancezero.eu/spip.php?article15</w:t>
      </w:r>
    </w:p>
  </w:footnote>
  <w:footnote w:id="13">
    <w:p w:rsidR="00D827D3" w:rsidRPr="002C2496" w:rsidRDefault="00D827D3">
      <w:pPr>
        <w:pStyle w:val="Notedebasdepage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https://fr.wikipedia.org/wiki/Cha%C3%AEne_%C3%A9ditoriale</w:t>
      </w:r>
    </w:p>
  </w:footnote>
  <w:footnote w:id="14">
    <w:p w:rsidR="00D827D3" w:rsidRPr="002C2496" w:rsidRDefault="00D827D3">
      <w:pPr>
        <w:pStyle w:val="Notedebasdepage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</w:t>
      </w:r>
      <w:r w:rsidR="002C2496" w:rsidRPr="002C2496">
        <w:rPr>
          <w:rFonts w:ascii="NimbusSanL-Regu" w:hAnsi="NimbusSanL-Regu" w:cs="NimbusSanL-Regu"/>
          <w:sz w:val="10"/>
          <w:szCs w:val="10"/>
        </w:rPr>
        <w:t>Office québécois de la langue française (2002a). Versionnage. http://gdt.oqlf.gouv.qc.ca/ficheOqlf.aspx?Id_Fiche=8361520. En ligne; consulté le 16 mars 2016</w:t>
      </w:r>
    </w:p>
  </w:footnote>
  <w:footnote w:id="15">
    <w:p w:rsidR="00D827D3" w:rsidRPr="002C2496" w:rsidRDefault="00D827D3">
      <w:pPr>
        <w:pStyle w:val="Notedebasdepage"/>
        <w:rPr>
          <w:sz w:val="10"/>
          <w:szCs w:val="10"/>
        </w:rPr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</w:t>
      </w:r>
      <w:r w:rsidRPr="002C2496">
        <w:rPr>
          <w:rFonts w:ascii="NimbusSanL-Regu" w:hAnsi="NimbusSanL-Regu" w:cs="NimbusSanL-Regu"/>
          <w:sz w:val="10"/>
          <w:szCs w:val="10"/>
        </w:rPr>
        <w:t>Clarey, J. (2012). Organizational Learning with agility.</w:t>
      </w:r>
    </w:p>
  </w:footnote>
  <w:footnote w:id="16">
    <w:p w:rsidR="002C2496" w:rsidRDefault="002C2496">
      <w:pPr>
        <w:pStyle w:val="Notedebasdepage"/>
      </w:pPr>
      <w:r w:rsidRPr="002C2496">
        <w:rPr>
          <w:rStyle w:val="Appelnotedebasdep"/>
          <w:sz w:val="10"/>
          <w:szCs w:val="10"/>
        </w:rPr>
        <w:footnoteRef/>
      </w:r>
      <w:r w:rsidRPr="002C2496">
        <w:rPr>
          <w:sz w:val="10"/>
          <w:szCs w:val="10"/>
        </w:rPr>
        <w:t xml:space="preserve"> https://fr.wikipedia.org/wiki/Apprentissage_hybride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79D"/>
    <w:multiLevelType w:val="hybridMultilevel"/>
    <w:tmpl w:val="A6243B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00"/>
    <w:rsid w:val="00031600"/>
    <w:rsid w:val="00072F82"/>
    <w:rsid w:val="000C1A26"/>
    <w:rsid w:val="001157F9"/>
    <w:rsid w:val="002301A7"/>
    <w:rsid w:val="00251486"/>
    <w:rsid w:val="002858DC"/>
    <w:rsid w:val="002C2496"/>
    <w:rsid w:val="00572576"/>
    <w:rsid w:val="009605A2"/>
    <w:rsid w:val="00B457B9"/>
    <w:rsid w:val="00B96FEF"/>
    <w:rsid w:val="00C17059"/>
    <w:rsid w:val="00D71C64"/>
    <w:rsid w:val="00D827D3"/>
    <w:rsid w:val="00DD0D0D"/>
    <w:rsid w:val="00F16474"/>
    <w:rsid w:val="00F3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35C5C"/>
    <w:rPr>
      <w:color w:val="0000FF"/>
      <w:u w:val="single"/>
    </w:rPr>
  </w:style>
  <w:style w:type="character" w:customStyle="1" w:styleId="nowrap">
    <w:name w:val="nowrap"/>
    <w:basedOn w:val="Policepardfaut"/>
    <w:rsid w:val="00F35C5C"/>
  </w:style>
  <w:style w:type="paragraph" w:styleId="Paragraphedeliste">
    <w:name w:val="List Paragraph"/>
    <w:basedOn w:val="Normal"/>
    <w:uiPriority w:val="34"/>
    <w:qFormat/>
    <w:rsid w:val="00F35C5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647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647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16474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49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2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2496"/>
    <w:rPr>
      <w:rFonts w:ascii="Courier New" w:eastAsia="Times New Roman" w:hAnsi="Courier New" w:cs="Courier New"/>
      <w:sz w:val="20"/>
      <w:szCs w:val="20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35C5C"/>
    <w:rPr>
      <w:color w:val="0000FF"/>
      <w:u w:val="single"/>
    </w:rPr>
  </w:style>
  <w:style w:type="character" w:customStyle="1" w:styleId="nowrap">
    <w:name w:val="nowrap"/>
    <w:basedOn w:val="Policepardfaut"/>
    <w:rsid w:val="00F35C5C"/>
  </w:style>
  <w:style w:type="paragraph" w:styleId="Paragraphedeliste">
    <w:name w:val="List Paragraph"/>
    <w:basedOn w:val="Normal"/>
    <w:uiPriority w:val="34"/>
    <w:qFormat/>
    <w:rsid w:val="00F35C5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647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647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16474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49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2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2496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9C7F3-249F-44B7-95FC-A975DFAA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 de Laval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Prud'Homme</dc:creator>
  <cp:lastModifiedBy>Steve Prud'Homme</cp:lastModifiedBy>
  <cp:revision>2</cp:revision>
  <cp:lastPrinted>2016-04-21T11:08:00Z</cp:lastPrinted>
  <dcterms:created xsi:type="dcterms:W3CDTF">2016-04-21T17:07:00Z</dcterms:created>
  <dcterms:modified xsi:type="dcterms:W3CDTF">2016-04-21T17:07:00Z</dcterms:modified>
</cp:coreProperties>
</file>