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b w:val="1"/>
          <w:bCs w:val="1"/>
          <w:sz w:val="32"/>
          <w:szCs w:val="32"/>
          <w:rtl w:val="0"/>
          <w:lang w:val="en-US"/>
        </w:rPr>
        <w:t>AgentNet Token Efficiency in the Context of Technical SEO</w:t>
      </w:r>
    </w:p>
    <w:p>
      <w:pPr>
        <w:pStyle w:val="Body"/>
      </w:pPr>
    </w:p>
    <w:p>
      <w:pPr>
        <w:pStyle w:val="Body"/>
      </w:pPr>
      <w:r>
        <w:rPr>
          <w:rtl w:val="0"/>
          <w:lang w:val="en-US"/>
        </w:rPr>
        <w:t>This memo analyzes the structural basis for AgentNet</w:t>
      </w:r>
      <w:r>
        <w:rPr>
          <w:rtl w:val="1"/>
        </w:rPr>
        <w:t>’</w:t>
      </w:r>
      <w:r>
        <w:rPr>
          <w:rtl w:val="0"/>
          <w:lang w:val="en-US"/>
        </w:rPr>
        <w:t>s claim that Capsule-based Linked Data Retrieval Augmented Generation (LD-RAG) can reduce model input tokens by 70</w:t>
      </w:r>
      <w:r>
        <w:rPr>
          <w:rtl w:val="0"/>
        </w:rPr>
        <w:t>–</w:t>
      </w:r>
      <w:r>
        <w:rPr>
          <w:rtl w:val="0"/>
          <w:lang w:val="en-US"/>
        </w:rPr>
        <w:t>90% for authoritative fact queries. The reduction is not the result of prompt optimization, but rather a fundamental architectural shift in how data is retrieved, grounded, and versioned prior to model inference.</w:t>
      </w:r>
    </w:p>
    <w:p>
      <w:pPr>
        <w:pStyle w:val="Body"/>
      </w:pPr>
      <w:r>
        <w:rPr>
          <w:rtl w:val="0"/>
          <w:lang w:val="en-US"/>
        </w:rPr>
        <w:t>Traditional technical SEO workflows optimize HTML documents for crawler interpretation. Search engines and AI retrieval systems crawl pages, parse markup, chunk content, rank passages, and attempt to infer structure from mixed prose and metadata. Even well-optimized sites contain boilerplate, navigation, duplicated templates, and redundant language. AI retrieval pipelines inherit this inefficiency.</w:t>
      </w:r>
    </w:p>
    <w:p>
      <w:pPr>
        <w:pStyle w:val="Body"/>
      </w:pPr>
      <w:r>
        <w:rPr>
          <w:rtl w:val="0"/>
          <w:lang w:val="en-US"/>
        </w:rPr>
        <w:t>AgentNet replaces document-level inference with identity-based structured resolution. Instead of crawling documents, a system resolves a persistent Node identity and retrieves a deterministic JSON-LD Capsule containing authoritative assertions with explicit provenance and versioning. Only semantically relevant structured fields are injected into model context.</w:t>
      </w:r>
    </w:p>
    <w:p>
      <w:pPr>
        <w:pStyle w:val="Body"/>
      </w:pPr>
    </w:p>
    <w:p>
      <w:pPr>
        <w:pStyle w:val="Body"/>
      </w:pPr>
      <w:r>
        <w:rPr>
          <w:b w:val="1"/>
          <w:bCs w:val="1"/>
          <w:sz w:val="24"/>
          <w:szCs w:val="24"/>
          <w:rtl w:val="0"/>
          <w:lang w:val="en-US"/>
        </w:rPr>
        <w:t>Comparison: SEO Crawl vs Capsule Resolution (Technical)</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Dimension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Traditional SEO Crawl + RAG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AgentNet Capsule Resolution</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Primary Retrieval Unit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HTML Document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Structured JSON-LD Capsule</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Crawl Budget Impact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High: full-page crawl &amp; re-crawl required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Low: identity resolution without full crawl</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Index Latency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Dependent on crawl frequency &amp; re-indexing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Immediate upon Capsule publication/version</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Canonicalization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Heuristics (rel=canonical, redirects, dedupe)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Intrinsic via persistent Node identity</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Chunking Requirement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Required (500</w:t>
            </w:r>
            <w:r>
              <w:rPr>
                <w:sz w:val="18"/>
                <w:szCs w:val="18"/>
                <w:shd w:val="nil" w:color="auto" w:fill="auto"/>
                <w:rtl w:val="0"/>
                <w:lang w:val="en-US"/>
              </w:rPr>
              <w:t>–</w:t>
            </w:r>
            <w:r>
              <w:rPr>
                <w:sz w:val="18"/>
                <w:szCs w:val="18"/>
                <w:shd w:val="nil" w:color="auto" w:fill="auto"/>
                <w:rtl w:val="0"/>
                <w:lang w:val="en-US"/>
              </w:rPr>
              <w:t>1,000 token segments)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None (atomic structured artifact)</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Information Density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Mixed signal (boilerplate + prose + markup)</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High signal (structured assertions only)</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Authority Determination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Inferred from page signals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Explicit Publisher + provenance metadata</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Typical Model Input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3,500</w:t>
            </w:r>
            <w:r>
              <w:rPr>
                <w:sz w:val="18"/>
                <w:szCs w:val="18"/>
                <w:shd w:val="nil" w:color="auto" w:fill="auto"/>
                <w:rtl w:val="0"/>
                <w:lang w:val="en-US"/>
              </w:rPr>
              <w:t>–</w:t>
            </w:r>
            <w:r>
              <w:rPr>
                <w:sz w:val="18"/>
                <w:szCs w:val="18"/>
                <w:shd w:val="nil" w:color="auto" w:fill="auto"/>
                <w:rtl w:val="0"/>
                <w:lang w:val="en-US"/>
              </w:rPr>
              <w:t>4,500 tokens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700</w:t>
            </w:r>
            <w:r>
              <w:rPr>
                <w:sz w:val="18"/>
                <w:szCs w:val="18"/>
                <w:shd w:val="nil" w:color="auto" w:fill="auto"/>
                <w:rtl w:val="0"/>
                <w:lang w:val="en-US"/>
              </w:rPr>
              <w:t>–</w:t>
            </w:r>
            <w:r>
              <w:rPr>
                <w:sz w:val="18"/>
                <w:szCs w:val="18"/>
                <w:shd w:val="nil" w:color="auto" w:fill="auto"/>
                <w:rtl w:val="0"/>
                <w:lang w:val="en-US"/>
              </w:rPr>
              <w:t>900 tokens</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Token Variability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Stochastic; depends on retrieval depth</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8"/>
                <w:szCs w:val="18"/>
                <w:shd w:val="nil" w:color="auto" w:fill="auto"/>
                <w:rtl w:val="0"/>
                <w:lang w:val="en-US"/>
              </w:rPr>
              <w:t>Bounded and predictable footprint</w:t>
            </w:r>
          </w:p>
        </w:tc>
      </w:tr>
    </w:tbl>
    <w:p>
      <w:pPr>
        <w:pStyle w:val="Body"/>
        <w:widowControl w:val="0"/>
        <w:spacing w:line="240" w:lineRule="auto"/>
      </w:pPr>
    </w:p>
    <w:p>
      <w:pPr>
        <w:pStyle w:val="Body"/>
      </w:pPr>
    </w:p>
    <w:p>
      <w:pPr>
        <w:pStyle w:val="Body"/>
      </w:pPr>
      <w:r>
        <w:rPr>
          <w:b w:val="1"/>
          <w:bCs w:val="1"/>
          <w:sz w:val="24"/>
          <w:szCs w:val="24"/>
          <w:rtl w:val="0"/>
          <w:lang w:val="en-US"/>
        </w:rPr>
        <w:t>Token Reduction Formula</w:t>
      </w:r>
    </w:p>
    <w:p>
      <w:pPr>
        <w:pStyle w:val="Body"/>
      </w:pPr>
      <w:r>
        <w:rPr>
          <w:rtl w:val="0"/>
          <w:lang w:val="en-US"/>
        </w:rPr>
        <w:t>Let T_doc represent total tokens retrieved via document chunk RAG and T_capsule represent tokens retrieved via structured Capsule resolution.</w:t>
      </w:r>
    </w:p>
    <w:p>
      <w:pPr>
        <w:pStyle w:val="Body"/>
      </w:pPr>
      <w:r>
        <w:rPr>
          <w:rtl w:val="0"/>
          <w:lang w:val="fr-FR"/>
        </w:rPr>
        <w:t xml:space="preserve">Reduction (%) = (T_doc </w:t>
      </w:r>
      <w:r>
        <w:rPr>
          <w:rtl w:val="0"/>
        </w:rPr>
        <w:t xml:space="preserve">− </w:t>
      </w:r>
      <w:r>
        <w:rPr>
          <w:rtl w:val="0"/>
          <w:lang w:val="en-US"/>
        </w:rPr>
        <w:t xml:space="preserve">T_capsule) / T_doc </w:t>
      </w:r>
      <w:r>
        <w:rPr>
          <w:rtl w:val="0"/>
        </w:rPr>
        <w:t xml:space="preserve">× </w:t>
      </w:r>
      <w:r>
        <w:rPr>
          <w:rtl w:val="0"/>
        </w:rPr>
        <w:t>100</w:t>
      </w:r>
    </w:p>
    <w:p>
      <w:pPr>
        <w:pStyle w:val="Body"/>
      </w:pPr>
      <w:r>
        <w:rPr>
          <w:rtl w:val="0"/>
          <w:lang w:val="en-US"/>
        </w:rPr>
        <w:t xml:space="preserve">Example: T_doc = 4,000 tokens; T_capsule = 800 tokens </w:t>
      </w:r>
      <w:r>
        <w:rPr>
          <w:rtl w:val="0"/>
        </w:rPr>
        <w:t xml:space="preserve">→ </w:t>
      </w:r>
      <w:r>
        <w:rPr>
          <w:rtl w:val="0"/>
          <w:lang w:val="en-US"/>
        </w:rPr>
        <w:t xml:space="preserve">Reduction = (4,000 </w:t>
      </w:r>
      <w:r>
        <w:rPr>
          <w:rtl w:val="0"/>
        </w:rPr>
        <w:t xml:space="preserve">− </w:t>
      </w:r>
      <w:r>
        <w:rPr>
          <w:rtl w:val="0"/>
          <w:lang w:val="en-US"/>
        </w:rPr>
        <w:t xml:space="preserve">800) / 4,000 </w:t>
      </w:r>
      <w:r>
        <w:rPr>
          <w:rtl w:val="0"/>
        </w:rPr>
        <w:t xml:space="preserve">× </w:t>
      </w:r>
      <w:r>
        <w:rPr>
          <w:rtl w:val="0"/>
        </w:rPr>
        <w:t>100 = 80%.</w:t>
      </w:r>
    </w:p>
    <w:p>
      <w:pPr>
        <w:pStyle w:val="Body"/>
      </w:pPr>
      <w:r>
        <w:rPr>
          <w:rtl w:val="0"/>
          <w:lang w:val="en-US"/>
        </w:rPr>
        <w:t>Where retrieval depth increases (e.g., 5</w:t>
      </w:r>
      <w:r>
        <w:rPr>
          <w:rtl w:val="0"/>
        </w:rPr>
        <w:t>–</w:t>
      </w:r>
      <w:r>
        <w:rPr>
          <w:rtl w:val="0"/>
          <w:lang w:val="en-US"/>
        </w:rPr>
        <w:t>6 document chunks), reductions can approach or exceed 90%.</w:t>
      </w:r>
    </w:p>
    <w:p>
      <w:pPr>
        <w:pStyle w:val="Body"/>
      </w:pPr>
    </w:p>
    <w:p>
      <w:pPr>
        <w:pStyle w:val="Body"/>
      </w:pPr>
      <w:r>
        <w:rPr>
          <w:rtl w:val="0"/>
          <w:lang w:val="en-US"/>
        </w:rPr>
        <w:t>This efficiency applies specifically to authoritative fact queries</w:t>
      </w:r>
      <w:r>
        <w:rPr>
          <w:rtl w:val="0"/>
          <w:lang w:val="en-US"/>
        </w:rPr>
        <w:t>—</w:t>
      </w:r>
      <w:r>
        <w:rPr>
          <w:rtl w:val="0"/>
          <w:lang w:val="en-US"/>
        </w:rPr>
        <w:t>the same class of queries that structured data and technical SEO are designed to optimize. Creative or open-ended generative tasks do not materially benefit from this shift.</w:t>
      </w:r>
    </w:p>
    <w:p>
      <w:pPr>
        <w:pStyle w:val="Body"/>
      </w:pPr>
      <w:r>
        <w:rPr>
          <w:rtl w:val="0"/>
          <w:lang w:val="en-US"/>
        </w:rPr>
        <w:t>The second-order effect is determinism. Traditional crawl-based retrieval introduces variability in chunk count, passage ranking, and token usage. Capsule resolution produces bounded, predictable context size, improving cost forecasting, latency stability, and operational reliability.</w:t>
      </w:r>
    </w:p>
    <w:p>
      <w:pPr>
        <w:pStyle w:val="Body"/>
      </w:pPr>
      <w:r>
        <w:rPr>
          <w:rtl w:val="0"/>
          <w:lang w:val="en-US"/>
        </w:rPr>
        <w:t>AgentNet does not replace technical SEO; it formalizes it at the identity layer. Instead of optimizing documents for crawler interpretation, publishers expose authoritative, machine-native artifacts directly. The resulting signal compression is what drives the token reduction.</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