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10AE" w14:textId="77777777" w:rsidR="00CA257C" w:rsidRPr="00DB0D88" w:rsidRDefault="00CA257C" w:rsidP="00DB0D88">
      <w:pPr>
        <w:spacing w:line="240" w:lineRule="auto"/>
        <w:ind w:left="425"/>
        <w:jc w:val="both"/>
        <w:rPr>
          <w:color w:val="1F4E79" w:themeColor="accent1" w:themeShade="80"/>
        </w:rPr>
      </w:pPr>
      <w:r w:rsidRPr="00DB0D88">
        <w:rPr>
          <w:color w:val="1F4E79" w:themeColor="accent1" w:themeShade="80"/>
        </w:rPr>
        <w:t>Title</w:t>
      </w:r>
    </w:p>
    <w:p w14:paraId="30760DA2" w14:textId="31CD5177" w:rsidR="001B01EC" w:rsidRPr="008A379A" w:rsidRDefault="008318C3" w:rsidP="00DB0D88">
      <w:pPr>
        <w:pStyle w:val="ListParagraph"/>
        <w:spacing w:line="240" w:lineRule="auto"/>
        <w:ind w:left="425"/>
        <w:jc w:val="both"/>
        <w:rPr>
          <w:i/>
          <w:iCs/>
        </w:rPr>
      </w:pPr>
      <w:r>
        <w:rPr>
          <w:i/>
          <w:iCs/>
        </w:rPr>
        <w:t xml:space="preserve">Data from Kiteschsee Lake, </w:t>
      </w:r>
      <w:r w:rsidR="00FB3121">
        <w:rPr>
          <w:i/>
          <w:iCs/>
        </w:rPr>
        <w:t xml:space="preserve">Fildes Peninsula, </w:t>
      </w:r>
      <w:r w:rsidR="00AA3659">
        <w:rPr>
          <w:i/>
          <w:iCs/>
        </w:rPr>
        <w:t>South Shetland Island</w:t>
      </w:r>
      <w:r w:rsidR="00FB3121">
        <w:rPr>
          <w:i/>
          <w:iCs/>
        </w:rPr>
        <w:t>s, northern Antarctic Peninsula</w:t>
      </w:r>
      <w:r w:rsidR="00BD20EE">
        <w:rPr>
          <w:i/>
          <w:iCs/>
        </w:rPr>
        <w:t>.</w:t>
      </w:r>
    </w:p>
    <w:p w14:paraId="5DAB6C7B" w14:textId="77777777" w:rsidR="00CA257C" w:rsidRPr="003824C0" w:rsidRDefault="00CA257C" w:rsidP="00DB0D88">
      <w:pPr>
        <w:pStyle w:val="ListParagraph"/>
        <w:spacing w:line="240" w:lineRule="auto"/>
        <w:ind w:left="425"/>
        <w:jc w:val="both"/>
      </w:pPr>
    </w:p>
    <w:p w14:paraId="7CBFD60A" w14:textId="77777777" w:rsidR="00CA257C" w:rsidRPr="00DB0D88" w:rsidRDefault="00CA257C" w:rsidP="00DB0D88">
      <w:pPr>
        <w:spacing w:line="240" w:lineRule="auto"/>
        <w:ind w:left="425"/>
        <w:jc w:val="both"/>
        <w:rPr>
          <w:color w:val="1F4E79" w:themeColor="accent1" w:themeShade="80"/>
        </w:rPr>
      </w:pPr>
      <w:r w:rsidRPr="00DB0D88">
        <w:rPr>
          <w:color w:val="1F4E79" w:themeColor="accent1" w:themeShade="80"/>
        </w:rPr>
        <w:t>Abstract</w:t>
      </w:r>
    </w:p>
    <w:p w14:paraId="168926AE" w14:textId="4548D7A3" w:rsidR="008A379A" w:rsidRPr="009942E6" w:rsidRDefault="008A379A" w:rsidP="00DB0D88">
      <w:pPr>
        <w:pStyle w:val="ListParagraph"/>
        <w:spacing w:line="240" w:lineRule="auto"/>
        <w:ind w:left="425"/>
        <w:jc w:val="both"/>
        <w:rPr>
          <w:i/>
        </w:rPr>
      </w:pPr>
      <w:r w:rsidRPr="008A379A">
        <w:rPr>
          <w:i/>
        </w:rPr>
        <w:t xml:space="preserve">The dataset comprises of </w:t>
      </w:r>
      <w:r w:rsidR="00BC471A">
        <w:rPr>
          <w:i/>
        </w:rPr>
        <w:t xml:space="preserve">data </w:t>
      </w:r>
      <w:r w:rsidR="00ED3763">
        <w:rPr>
          <w:i/>
        </w:rPr>
        <w:t>from</w:t>
      </w:r>
      <w:r w:rsidR="00AA3659">
        <w:rPr>
          <w:i/>
        </w:rPr>
        <w:t xml:space="preserve"> </w:t>
      </w:r>
      <w:r w:rsidR="008318C3">
        <w:rPr>
          <w:i/>
          <w:iCs/>
        </w:rPr>
        <w:t>Kiteschsee Lake</w:t>
      </w:r>
      <w:r w:rsidR="008318C3">
        <w:rPr>
          <w:i/>
        </w:rPr>
        <w:t xml:space="preserve">, </w:t>
      </w:r>
      <w:r w:rsidR="00312DFD">
        <w:rPr>
          <w:i/>
        </w:rPr>
        <w:t xml:space="preserve">Fildes </w:t>
      </w:r>
      <w:r w:rsidR="00AA3659">
        <w:rPr>
          <w:i/>
        </w:rPr>
        <w:t>Peninsula, King George Island, South Shetland Islands.</w:t>
      </w:r>
      <w:r w:rsidR="00BC471A">
        <w:rPr>
          <w:i/>
        </w:rPr>
        <w:t xml:space="preserve"> </w:t>
      </w:r>
    </w:p>
    <w:p w14:paraId="285426EE" w14:textId="77777777" w:rsidR="008A379A" w:rsidRPr="003824C0" w:rsidRDefault="008A379A" w:rsidP="00DB0D88">
      <w:pPr>
        <w:pStyle w:val="ListParagraph"/>
        <w:spacing w:line="240" w:lineRule="auto"/>
        <w:ind w:left="425"/>
        <w:jc w:val="both"/>
        <w:rPr>
          <w:i/>
          <w:iCs/>
        </w:rPr>
      </w:pPr>
    </w:p>
    <w:p w14:paraId="1A41BCAA" w14:textId="77777777" w:rsidR="705850E3" w:rsidRPr="00DB0D88" w:rsidRDefault="705850E3" w:rsidP="00DB0D88">
      <w:pPr>
        <w:spacing w:line="240" w:lineRule="auto"/>
        <w:ind w:left="425"/>
        <w:jc w:val="both"/>
        <w:rPr>
          <w:color w:val="1F4E79" w:themeColor="accent1" w:themeShade="80"/>
        </w:rPr>
      </w:pPr>
      <w:r w:rsidRPr="00DB0D88">
        <w:rPr>
          <w:color w:val="1F4E79" w:themeColor="accent1" w:themeShade="80"/>
        </w:rPr>
        <w:t>Funding source</w:t>
      </w:r>
    </w:p>
    <w:p w14:paraId="27877068" w14:textId="1B425CE0" w:rsidR="003E7A0D" w:rsidRDefault="00AA3659" w:rsidP="00DB0D88">
      <w:pPr>
        <w:pStyle w:val="ListParagraph"/>
        <w:spacing w:line="240" w:lineRule="auto"/>
        <w:ind w:left="425"/>
        <w:jc w:val="both"/>
        <w:rPr>
          <w:i/>
          <w:iCs/>
        </w:rPr>
      </w:pPr>
      <w:r>
        <w:rPr>
          <w:i/>
          <w:iCs/>
        </w:rPr>
        <w:t xml:space="preserve">Data collected in this study were </w:t>
      </w:r>
      <w:r w:rsidRPr="00AA3659">
        <w:rPr>
          <w:i/>
          <w:iCs/>
        </w:rPr>
        <w:t>funded by</w:t>
      </w:r>
      <w:r>
        <w:rPr>
          <w:i/>
          <w:iCs/>
        </w:rPr>
        <w:t>:</w:t>
      </w:r>
      <w:r w:rsidRPr="00AA3659">
        <w:rPr>
          <w:i/>
          <w:iCs/>
        </w:rPr>
        <w:t xml:space="preserve"> Centro de Investigaciones en Ciencias de la Tierra (CICTERRA), the Dirección Nacional del Antártico/Instituto Antártico Argentino (DNA/IAA) in the framework of the Project PICTA, 2011 – 0102, IAA “Geomorfología y Geología Glaciar del Archipiélago James Ross e Islas Shetland del Sur, Sector Norte de la Península Antártica”</w:t>
      </w:r>
      <w:r>
        <w:rPr>
          <w:i/>
          <w:iCs/>
        </w:rPr>
        <w:t xml:space="preserve">; </w:t>
      </w:r>
      <w:r w:rsidRPr="00AA3659">
        <w:rPr>
          <w:i/>
          <w:iCs/>
        </w:rPr>
        <w:t>the Alfred Wegener Institute (AWI) research program Polar regions and Coasts in a changing Earth System (PACES II)</w:t>
      </w:r>
      <w:r>
        <w:rPr>
          <w:i/>
          <w:iCs/>
        </w:rPr>
        <w:t xml:space="preserve">; </w:t>
      </w:r>
      <w:r w:rsidRPr="00AA3659">
        <w:rPr>
          <w:i/>
          <w:iCs/>
        </w:rPr>
        <w:t>IMCONet (FP7 IRSES, action no. 318718)</w:t>
      </w:r>
      <w:r>
        <w:rPr>
          <w:i/>
          <w:iCs/>
        </w:rPr>
        <w:t xml:space="preserve">; the </w:t>
      </w:r>
      <w:r w:rsidRPr="00AA3659">
        <w:rPr>
          <w:i/>
          <w:iCs/>
        </w:rPr>
        <w:t>Natural Environment Research Council (NERC/BAS-CGS Grant no.81)</w:t>
      </w:r>
      <w:r>
        <w:rPr>
          <w:i/>
          <w:iCs/>
        </w:rPr>
        <w:t xml:space="preserve">; the </w:t>
      </w:r>
      <w:r w:rsidRPr="00AA3659">
        <w:rPr>
          <w:i/>
          <w:iCs/>
        </w:rPr>
        <w:t xml:space="preserve">NERC/BAS science programmes CACHE-PEP: Natural climate variability – extending the Americas palaeoclimate transect through the Antarctic Peninsula to the pole and GRADES-QWAD: Quaternary West Antarctic Deglaciations. We thank the crews of the Argentine research station “Carlini'' and the adjoined German Dallmann-Labor (AWI) Laboratory, the Uruguayan research station “Artigas”, the Russian Bellingshausen Station, the Chinese Great Wall Station, Base Presidente Eduardo Frei Montalva, the Brazilian Navy Almirante Maximiano, the UK Navy HMS Endurance and NERC/BAS James Clark Ross for logistical support during the 2006, 2011, 2014 and 2015 field seasons. </w:t>
      </w:r>
    </w:p>
    <w:p w14:paraId="7FBA0652" w14:textId="77777777" w:rsidR="00AA3659" w:rsidRPr="003824C0" w:rsidRDefault="00AA3659" w:rsidP="00DB0D88">
      <w:pPr>
        <w:pStyle w:val="ListParagraph"/>
        <w:spacing w:line="240" w:lineRule="auto"/>
        <w:ind w:left="425"/>
        <w:jc w:val="both"/>
        <w:rPr>
          <w:i/>
          <w:iCs/>
        </w:rPr>
      </w:pPr>
    </w:p>
    <w:p w14:paraId="15D59032" w14:textId="77777777" w:rsidR="00364171" w:rsidRPr="00DB0D88" w:rsidRDefault="705850E3" w:rsidP="00DB0D88">
      <w:pPr>
        <w:spacing w:line="240" w:lineRule="auto"/>
        <w:ind w:left="425"/>
        <w:jc w:val="both"/>
        <w:rPr>
          <w:color w:val="1F4E79" w:themeColor="accent1" w:themeShade="80"/>
        </w:rPr>
      </w:pPr>
      <w:r w:rsidRPr="00DB0D88">
        <w:rPr>
          <w:color w:val="1F4E79" w:themeColor="accent1" w:themeShade="80"/>
        </w:rPr>
        <w:t>Keywords</w:t>
      </w:r>
    </w:p>
    <w:p w14:paraId="5580AD96" w14:textId="39EF21F6" w:rsidR="003E7A0D" w:rsidRDefault="0051760A" w:rsidP="00DB0D88">
      <w:pPr>
        <w:pStyle w:val="ListParagraph"/>
        <w:spacing w:line="240" w:lineRule="auto"/>
        <w:ind w:left="425"/>
        <w:jc w:val="both"/>
        <w:rPr>
          <w:i/>
          <w:iCs/>
        </w:rPr>
      </w:pPr>
      <w:r w:rsidRPr="0051760A">
        <w:rPr>
          <w:i/>
          <w:iCs/>
        </w:rPr>
        <w:t>Deglaciation; geomorphological mapping; radiocarbon dating; South Shetland Islands; stratigraphy; glacial readvance</w:t>
      </w:r>
    </w:p>
    <w:p w14:paraId="25F69BA2" w14:textId="77777777" w:rsidR="0051760A" w:rsidRPr="003824C0" w:rsidRDefault="0051760A" w:rsidP="00DB0D88">
      <w:pPr>
        <w:pStyle w:val="ListParagraph"/>
        <w:spacing w:line="240" w:lineRule="auto"/>
        <w:ind w:left="425"/>
        <w:jc w:val="both"/>
      </w:pPr>
    </w:p>
    <w:p w14:paraId="115DE68B" w14:textId="77777777" w:rsidR="151E33FA" w:rsidRPr="00DB0D88" w:rsidRDefault="705850E3" w:rsidP="00DB0D88">
      <w:pPr>
        <w:spacing w:line="240" w:lineRule="auto"/>
        <w:ind w:left="425"/>
        <w:jc w:val="both"/>
        <w:rPr>
          <w:color w:val="1F4E79" w:themeColor="accent1" w:themeShade="80"/>
        </w:rPr>
      </w:pPr>
      <w:r w:rsidRPr="00DB0D88">
        <w:rPr>
          <w:color w:val="1F4E79" w:themeColor="accent1" w:themeShade="80"/>
        </w:rPr>
        <w:t>Personnel</w:t>
      </w:r>
    </w:p>
    <w:p w14:paraId="6C56C382" w14:textId="4F907888" w:rsidR="008A379A" w:rsidRPr="00673ECB" w:rsidRDefault="008A379A" w:rsidP="00DB0D88">
      <w:pPr>
        <w:spacing w:after="0" w:line="240" w:lineRule="auto"/>
        <w:ind w:left="425"/>
        <w:jc w:val="both"/>
        <w:rPr>
          <w:rFonts w:ascii="Calibri" w:hAnsi="Calibri" w:cs="Calibri"/>
          <w:b/>
          <w:i/>
          <w:iCs/>
        </w:rPr>
      </w:pPr>
      <w:r w:rsidRPr="00673ECB">
        <w:rPr>
          <w:rFonts w:ascii="Calibri" w:hAnsi="Calibri" w:cs="Calibri"/>
          <w:b/>
          <w:i/>
          <w:iCs/>
        </w:rPr>
        <w:t>Data collectors</w:t>
      </w:r>
      <w:r w:rsidR="001A7F0D" w:rsidRPr="00673ECB">
        <w:rPr>
          <w:rFonts w:ascii="Calibri" w:hAnsi="Calibri" w:cs="Calibri"/>
          <w:b/>
          <w:i/>
          <w:iCs/>
        </w:rPr>
        <w:t xml:space="preserve"> </w:t>
      </w:r>
      <w:r w:rsidR="006D14AA">
        <w:rPr>
          <w:rFonts w:ascii="Calibri" w:hAnsi="Calibri" w:cs="Calibri"/>
          <w:b/>
          <w:i/>
          <w:iCs/>
        </w:rPr>
        <w:t xml:space="preserve">&amp; analysts </w:t>
      </w:r>
      <w:r w:rsidR="001A7F0D" w:rsidRPr="00673ECB">
        <w:rPr>
          <w:rFonts w:ascii="Calibri" w:hAnsi="Calibri" w:cs="Calibri"/>
          <w:b/>
          <w:i/>
          <w:iCs/>
        </w:rPr>
        <w:t>(ORCID code)</w:t>
      </w:r>
    </w:p>
    <w:p w14:paraId="79414F97" w14:textId="77777777" w:rsidR="008318C3" w:rsidRDefault="008318C3" w:rsidP="00DB0D88">
      <w:pPr>
        <w:spacing w:after="0" w:line="240" w:lineRule="auto"/>
        <w:ind w:left="425"/>
        <w:jc w:val="both"/>
        <w:rPr>
          <w:rFonts w:ascii="Calibri" w:hAnsi="Calibri" w:cs="Calibri"/>
          <w:bCs/>
          <w:i/>
          <w:iCs/>
        </w:rPr>
      </w:pPr>
      <w:r w:rsidRPr="003824C0">
        <w:rPr>
          <w:rFonts w:ascii="Calibri" w:hAnsi="Calibri" w:cs="Calibri"/>
          <w:bCs/>
          <w:i/>
          <w:iCs/>
        </w:rPr>
        <w:t>Stephen J. Robert</w:t>
      </w:r>
      <w:r>
        <w:rPr>
          <w:rFonts w:ascii="Calibri" w:hAnsi="Calibri" w:cs="Calibri"/>
          <w:bCs/>
          <w:i/>
          <w:iCs/>
        </w:rPr>
        <w:t>s</w:t>
      </w:r>
      <w:r>
        <w:rPr>
          <w:rFonts w:ascii="Calibri" w:hAnsi="Calibri" w:cs="Calibri"/>
          <w:bCs/>
          <w:i/>
          <w:iCs/>
          <w:vertAlign w:val="superscript"/>
        </w:rPr>
        <w:t>1</w:t>
      </w:r>
      <w:r>
        <w:rPr>
          <w:rFonts w:ascii="Calibri" w:hAnsi="Calibri" w:cs="Calibri"/>
          <w:bCs/>
          <w:i/>
          <w:iCs/>
        </w:rPr>
        <w:t xml:space="preserve"> (</w:t>
      </w:r>
      <w:r w:rsidRPr="001A7F0D">
        <w:rPr>
          <w:rFonts w:ascii="Calibri" w:hAnsi="Calibri" w:cs="Calibri"/>
          <w:bCs/>
          <w:i/>
          <w:iCs/>
        </w:rPr>
        <w:t>0000-0001-5542-3703</w:t>
      </w:r>
      <w:r>
        <w:rPr>
          <w:rFonts w:ascii="Calibri" w:hAnsi="Calibri" w:cs="Calibri"/>
          <w:bCs/>
          <w:i/>
          <w:iCs/>
        </w:rPr>
        <w:t>) – all data collection and analysis and data collator</w:t>
      </w:r>
    </w:p>
    <w:p w14:paraId="07F5B5A2" w14:textId="4D4305A7" w:rsidR="00312DFD" w:rsidRDefault="00312DFD" w:rsidP="00DB0D88">
      <w:pPr>
        <w:spacing w:after="0" w:line="240" w:lineRule="auto"/>
        <w:ind w:left="425"/>
        <w:jc w:val="both"/>
        <w:rPr>
          <w:rFonts w:ascii="Calibri" w:hAnsi="Calibri" w:cs="Calibri"/>
          <w:bCs/>
          <w:i/>
          <w:iCs/>
        </w:rPr>
      </w:pPr>
      <w:r>
        <w:rPr>
          <w:rFonts w:ascii="Calibri" w:hAnsi="Calibri" w:cs="Calibri"/>
          <w:bCs/>
          <w:i/>
          <w:iCs/>
        </w:rPr>
        <w:t>Emma J. Pearso</w:t>
      </w:r>
      <w:r w:rsidR="008318C3">
        <w:rPr>
          <w:rFonts w:ascii="Calibri" w:hAnsi="Calibri" w:cs="Calibri"/>
          <w:bCs/>
          <w:i/>
          <w:iCs/>
        </w:rPr>
        <w:t>n</w:t>
      </w:r>
      <w:r w:rsidR="00311C3B">
        <w:rPr>
          <w:rFonts w:ascii="Calibri" w:hAnsi="Calibri" w:cs="Calibri"/>
          <w:bCs/>
          <w:i/>
          <w:iCs/>
          <w:vertAlign w:val="superscript"/>
        </w:rPr>
        <w:t>2</w:t>
      </w:r>
      <w:r>
        <w:rPr>
          <w:rFonts w:ascii="Calibri" w:hAnsi="Calibri" w:cs="Calibri"/>
          <w:bCs/>
          <w:i/>
          <w:iCs/>
          <w:vertAlign w:val="superscript"/>
        </w:rPr>
        <w:t xml:space="preserve"> </w:t>
      </w:r>
      <w:r>
        <w:rPr>
          <w:rFonts w:ascii="Calibri" w:hAnsi="Calibri" w:cs="Calibri"/>
          <w:bCs/>
          <w:i/>
          <w:iCs/>
        </w:rPr>
        <w:t>– lake sediment core data collection and analysis</w:t>
      </w:r>
    </w:p>
    <w:p w14:paraId="73CA7423" w14:textId="35FF025E" w:rsidR="008318C3" w:rsidRPr="009159A2" w:rsidRDefault="008318C3" w:rsidP="00DB0D88">
      <w:pPr>
        <w:spacing w:after="0" w:line="240" w:lineRule="auto"/>
        <w:ind w:left="425"/>
        <w:jc w:val="both"/>
        <w:rPr>
          <w:rFonts w:ascii="Calibri" w:hAnsi="Calibri" w:cs="Calibri"/>
          <w:bCs/>
          <w:i/>
          <w:iCs/>
        </w:rPr>
      </w:pPr>
      <w:r w:rsidRPr="009159A2">
        <w:rPr>
          <w:rFonts w:ascii="Calibri" w:hAnsi="Calibri" w:cs="Calibri"/>
          <w:bCs/>
          <w:i/>
          <w:iCs/>
        </w:rPr>
        <w:t>Joanna Davies</w:t>
      </w:r>
      <w:r w:rsidRPr="009159A2">
        <w:rPr>
          <w:rFonts w:ascii="Calibri" w:hAnsi="Calibri" w:cs="Calibri"/>
          <w:bCs/>
          <w:i/>
          <w:iCs/>
          <w:vertAlign w:val="superscript"/>
        </w:rPr>
        <w:t>3</w:t>
      </w:r>
      <w:r w:rsidRPr="009159A2">
        <w:rPr>
          <w:rFonts w:ascii="Calibri" w:hAnsi="Calibri" w:cs="Calibri"/>
          <w:bCs/>
          <w:i/>
          <w:iCs/>
        </w:rPr>
        <w:t xml:space="preserve"> – diatom analysis</w:t>
      </w:r>
    </w:p>
    <w:p w14:paraId="1783909A" w14:textId="6C36FDC8" w:rsidR="008318C3" w:rsidRPr="009159A2" w:rsidRDefault="008318C3" w:rsidP="00DB0D88">
      <w:pPr>
        <w:spacing w:after="0" w:line="240" w:lineRule="auto"/>
        <w:ind w:left="425"/>
        <w:jc w:val="both"/>
        <w:rPr>
          <w:rFonts w:ascii="Calibri" w:hAnsi="Calibri" w:cs="Calibri"/>
          <w:bCs/>
          <w:i/>
          <w:iCs/>
        </w:rPr>
      </w:pPr>
      <w:r w:rsidRPr="009159A2">
        <w:rPr>
          <w:rFonts w:ascii="Calibri" w:hAnsi="Calibri" w:cs="Calibri"/>
          <w:bCs/>
          <w:i/>
          <w:iCs/>
        </w:rPr>
        <w:t>Vivienne J. Jones</w:t>
      </w:r>
      <w:r w:rsidRPr="009159A2">
        <w:rPr>
          <w:rFonts w:ascii="Calibri" w:hAnsi="Calibri" w:cs="Calibri"/>
          <w:bCs/>
          <w:i/>
          <w:iCs/>
          <w:vertAlign w:val="superscript"/>
        </w:rPr>
        <w:t>3</w:t>
      </w:r>
      <w:r w:rsidRPr="009159A2">
        <w:rPr>
          <w:rFonts w:ascii="Calibri" w:hAnsi="Calibri" w:cs="Calibri"/>
          <w:bCs/>
          <w:i/>
          <w:iCs/>
        </w:rPr>
        <w:t xml:space="preserve"> – diatom analysis</w:t>
      </w:r>
    </w:p>
    <w:p w14:paraId="734E6D57" w14:textId="0AC7703A" w:rsidR="008318C3" w:rsidRPr="008318C3" w:rsidRDefault="008318C3" w:rsidP="00DB0D88">
      <w:pPr>
        <w:spacing w:after="0" w:line="240" w:lineRule="auto"/>
        <w:ind w:left="425"/>
        <w:jc w:val="both"/>
        <w:rPr>
          <w:rFonts w:ascii="Calibri" w:hAnsi="Calibri" w:cs="Calibri"/>
          <w:bCs/>
          <w:i/>
          <w:iCs/>
        </w:rPr>
      </w:pPr>
      <w:r w:rsidRPr="008318C3">
        <w:rPr>
          <w:rFonts w:ascii="Calibri" w:hAnsi="Calibri" w:cs="Calibri"/>
          <w:bCs/>
          <w:i/>
          <w:iCs/>
        </w:rPr>
        <w:t>Imogen Gabriel</w:t>
      </w:r>
      <w:r w:rsidRPr="008318C3">
        <w:rPr>
          <w:rFonts w:ascii="Calibri" w:hAnsi="Calibri" w:cs="Calibri"/>
          <w:bCs/>
          <w:i/>
          <w:iCs/>
          <w:vertAlign w:val="superscript"/>
        </w:rPr>
        <w:t>4</w:t>
      </w:r>
      <w:r w:rsidRPr="008318C3">
        <w:rPr>
          <w:rFonts w:ascii="Calibri" w:hAnsi="Calibri" w:cs="Calibri"/>
          <w:bCs/>
          <w:i/>
          <w:iCs/>
        </w:rPr>
        <w:t xml:space="preserve"> – tephra counting and geochem</w:t>
      </w:r>
      <w:r>
        <w:rPr>
          <w:rFonts w:ascii="Calibri" w:hAnsi="Calibri" w:cs="Calibri"/>
          <w:bCs/>
          <w:i/>
          <w:iCs/>
        </w:rPr>
        <w:t>istry</w:t>
      </w:r>
    </w:p>
    <w:p w14:paraId="4EB7216E" w14:textId="401DB332" w:rsidR="008318C3" w:rsidRPr="008318C3" w:rsidRDefault="008318C3" w:rsidP="00DB0D88">
      <w:pPr>
        <w:spacing w:after="0" w:line="240" w:lineRule="auto"/>
        <w:ind w:left="425"/>
        <w:jc w:val="both"/>
        <w:rPr>
          <w:rFonts w:ascii="Calibri" w:hAnsi="Calibri" w:cs="Calibri"/>
          <w:bCs/>
          <w:i/>
          <w:iCs/>
        </w:rPr>
      </w:pPr>
      <w:r w:rsidRPr="008318C3">
        <w:rPr>
          <w:rFonts w:ascii="Calibri" w:hAnsi="Calibri" w:cs="Calibri"/>
          <w:bCs/>
          <w:i/>
          <w:iCs/>
        </w:rPr>
        <w:t>Simon Blockley</w:t>
      </w:r>
      <w:r w:rsidRPr="008318C3">
        <w:rPr>
          <w:rFonts w:ascii="Calibri" w:hAnsi="Calibri" w:cs="Calibri"/>
          <w:bCs/>
          <w:i/>
          <w:iCs/>
          <w:vertAlign w:val="superscript"/>
        </w:rPr>
        <w:t>4</w:t>
      </w:r>
      <w:r w:rsidRPr="008318C3">
        <w:rPr>
          <w:rFonts w:ascii="Calibri" w:hAnsi="Calibri" w:cs="Calibri"/>
          <w:bCs/>
          <w:i/>
          <w:iCs/>
        </w:rPr>
        <w:t xml:space="preserve"> – tephra counting </w:t>
      </w:r>
      <w:r>
        <w:rPr>
          <w:rFonts w:ascii="Calibri" w:hAnsi="Calibri" w:cs="Calibri"/>
          <w:bCs/>
          <w:i/>
          <w:iCs/>
        </w:rPr>
        <w:t>and geochemistry</w:t>
      </w:r>
    </w:p>
    <w:p w14:paraId="6BA52AA0" w14:textId="18B85CA6" w:rsidR="008318C3" w:rsidRPr="008318C3" w:rsidRDefault="008318C3" w:rsidP="00DB0D88">
      <w:pPr>
        <w:spacing w:after="0" w:line="240" w:lineRule="auto"/>
        <w:ind w:left="425"/>
        <w:jc w:val="both"/>
        <w:rPr>
          <w:rFonts w:ascii="Calibri" w:hAnsi="Calibri" w:cs="Calibri"/>
          <w:bCs/>
          <w:i/>
          <w:iCs/>
        </w:rPr>
      </w:pPr>
      <w:r w:rsidRPr="008318C3">
        <w:rPr>
          <w:rFonts w:ascii="Calibri" w:hAnsi="Calibri" w:cs="Calibri"/>
          <w:bCs/>
          <w:i/>
          <w:iCs/>
        </w:rPr>
        <w:t>Sarah J. Davies</w:t>
      </w:r>
      <w:r>
        <w:rPr>
          <w:rFonts w:ascii="Calibri" w:hAnsi="Calibri" w:cs="Calibri"/>
          <w:bCs/>
          <w:i/>
          <w:iCs/>
          <w:vertAlign w:val="superscript"/>
        </w:rPr>
        <w:t>5</w:t>
      </w:r>
      <w:r>
        <w:rPr>
          <w:rFonts w:ascii="Calibri" w:hAnsi="Calibri" w:cs="Calibri"/>
          <w:bCs/>
          <w:i/>
          <w:iCs/>
        </w:rPr>
        <w:t xml:space="preserve"> – XRF core scanning analysis</w:t>
      </w:r>
    </w:p>
    <w:p w14:paraId="0C18865D" w14:textId="3607398B" w:rsidR="008318C3" w:rsidRPr="008318C3" w:rsidRDefault="008318C3" w:rsidP="00DB0D88">
      <w:pPr>
        <w:spacing w:after="0" w:line="240" w:lineRule="auto"/>
        <w:ind w:left="425"/>
        <w:jc w:val="both"/>
        <w:rPr>
          <w:rFonts w:ascii="Calibri" w:hAnsi="Calibri" w:cs="Calibri"/>
          <w:bCs/>
          <w:i/>
          <w:iCs/>
        </w:rPr>
      </w:pPr>
      <w:r w:rsidRPr="008318C3">
        <w:rPr>
          <w:rFonts w:ascii="Calibri" w:hAnsi="Calibri" w:cs="Calibri"/>
          <w:bCs/>
          <w:i/>
          <w:iCs/>
        </w:rPr>
        <w:t>Thomas P. Roland</w:t>
      </w:r>
      <w:r>
        <w:rPr>
          <w:rFonts w:ascii="Calibri" w:hAnsi="Calibri" w:cs="Calibri"/>
          <w:bCs/>
          <w:i/>
          <w:iCs/>
          <w:vertAlign w:val="superscript"/>
        </w:rPr>
        <w:t>6</w:t>
      </w:r>
      <w:r>
        <w:rPr>
          <w:rFonts w:ascii="Calibri" w:hAnsi="Calibri" w:cs="Calibri"/>
          <w:bCs/>
          <w:i/>
          <w:iCs/>
        </w:rPr>
        <w:t xml:space="preserve"> – Pb-210 dating analysis</w:t>
      </w:r>
    </w:p>
    <w:p w14:paraId="6F98CB86" w14:textId="77777777" w:rsidR="00312DFD" w:rsidRDefault="00312DFD" w:rsidP="00DB0D88">
      <w:pPr>
        <w:spacing w:after="0" w:line="240" w:lineRule="auto"/>
        <w:ind w:left="425"/>
        <w:jc w:val="both"/>
        <w:rPr>
          <w:rFonts w:ascii="Calibri" w:hAnsi="Calibri" w:cs="Calibri"/>
          <w:bCs/>
          <w:i/>
          <w:iCs/>
        </w:rPr>
      </w:pPr>
    </w:p>
    <w:p w14:paraId="104BB4D6" w14:textId="43653A01" w:rsidR="006D14AA" w:rsidRDefault="006D14AA" w:rsidP="00DB0D88">
      <w:pPr>
        <w:spacing w:after="0" w:line="240" w:lineRule="auto"/>
        <w:ind w:left="425"/>
        <w:jc w:val="both"/>
        <w:rPr>
          <w:rFonts w:ascii="Calibri" w:hAnsi="Calibri" w:cs="Calibri"/>
          <w:bCs/>
          <w:i/>
          <w:iCs/>
        </w:rPr>
      </w:pPr>
    </w:p>
    <w:p w14:paraId="328A630F" w14:textId="4111DBA0" w:rsidR="003E7A0D" w:rsidRPr="00673ECB" w:rsidRDefault="00673ECB" w:rsidP="00DB0D88">
      <w:pPr>
        <w:pStyle w:val="NoSpacing"/>
        <w:ind w:left="425"/>
        <w:jc w:val="both"/>
        <w:rPr>
          <w:rFonts w:ascii="Calibri" w:hAnsi="Calibri" w:cs="Calibri"/>
          <w:b/>
          <w:bCs/>
          <w:i/>
          <w:iCs/>
          <w:sz w:val="22"/>
          <w:lang w:val="en-GB"/>
        </w:rPr>
      </w:pPr>
      <w:r w:rsidRPr="00673ECB">
        <w:rPr>
          <w:rFonts w:ascii="Calibri" w:hAnsi="Calibri" w:cs="Calibri"/>
          <w:b/>
          <w:bCs/>
          <w:i/>
          <w:iCs/>
          <w:sz w:val="22"/>
          <w:lang w:val="en-GB"/>
        </w:rPr>
        <w:t>Affiliations</w:t>
      </w:r>
    </w:p>
    <w:p w14:paraId="4134DADA" w14:textId="1B50743A" w:rsidR="008318C3" w:rsidRPr="00312DFD" w:rsidRDefault="008318C3" w:rsidP="00DB0D88">
      <w:pPr>
        <w:pStyle w:val="NoSpacing"/>
        <w:ind w:left="425"/>
        <w:jc w:val="both"/>
        <w:rPr>
          <w:rFonts w:ascii="Calibri" w:hAnsi="Calibri" w:cs="Calibri"/>
          <w:i/>
          <w:iCs/>
          <w:sz w:val="22"/>
          <w:lang w:val="en-GB"/>
        </w:rPr>
      </w:pPr>
      <w:r>
        <w:rPr>
          <w:rFonts w:ascii="Calibri" w:hAnsi="Calibri" w:cs="Calibri"/>
          <w:i/>
          <w:iCs/>
          <w:sz w:val="22"/>
          <w:vertAlign w:val="superscript"/>
          <w:lang w:val="en-GB"/>
        </w:rPr>
        <w:t>1</w:t>
      </w:r>
      <w:r w:rsidRPr="00312DFD">
        <w:rPr>
          <w:rFonts w:ascii="Calibri" w:hAnsi="Calibri" w:cs="Calibri"/>
          <w:i/>
          <w:iCs/>
          <w:sz w:val="22"/>
          <w:lang w:val="en-GB"/>
        </w:rPr>
        <w:t>British Antarctic Survey, Natural Environment Research Council, High Cross, Madingley Road, Cambridge, CB3 0ET, UK.</w:t>
      </w:r>
    </w:p>
    <w:p w14:paraId="53E2B167" w14:textId="041DC28F" w:rsidR="00312DFD" w:rsidRDefault="008318C3" w:rsidP="00DB0D88">
      <w:pPr>
        <w:pStyle w:val="NoSpacing"/>
        <w:ind w:left="425"/>
        <w:rPr>
          <w:rFonts w:ascii="Calibri" w:hAnsi="Calibri" w:cs="Calibri"/>
          <w:i/>
          <w:iCs/>
          <w:sz w:val="22"/>
        </w:rPr>
      </w:pPr>
      <w:r>
        <w:rPr>
          <w:rFonts w:ascii="Calibri" w:hAnsi="Calibri" w:cs="Calibri"/>
          <w:i/>
          <w:iCs/>
          <w:sz w:val="22"/>
          <w:vertAlign w:val="superscript"/>
        </w:rPr>
        <w:t>2</w:t>
      </w:r>
      <w:r w:rsidR="00312DFD" w:rsidRPr="00312DFD">
        <w:rPr>
          <w:rFonts w:ascii="Calibri" w:hAnsi="Calibri" w:cs="Calibri"/>
          <w:i/>
          <w:iCs/>
          <w:sz w:val="22"/>
        </w:rPr>
        <w:t>School of Geography, Politics and Sociology, Newcastle University, Newcastle-upon-Tyne, NE1 7RU, UK.</w:t>
      </w:r>
    </w:p>
    <w:p w14:paraId="602D92E4" w14:textId="40CB62A5" w:rsidR="008318C3" w:rsidRDefault="008318C3" w:rsidP="00DB0D88">
      <w:pPr>
        <w:pStyle w:val="NoSpacing"/>
        <w:ind w:left="425"/>
        <w:rPr>
          <w:rFonts w:ascii="Calibri" w:hAnsi="Calibri" w:cs="Calibri"/>
          <w:i/>
          <w:iCs/>
          <w:sz w:val="22"/>
          <w:lang w:val="en-GB"/>
        </w:rPr>
      </w:pPr>
      <w:r w:rsidRPr="008318C3">
        <w:rPr>
          <w:rFonts w:ascii="Calibri" w:hAnsi="Calibri" w:cs="Calibri"/>
          <w:i/>
          <w:iCs/>
          <w:sz w:val="22"/>
          <w:vertAlign w:val="superscript"/>
          <w:lang w:val="en-GB"/>
        </w:rPr>
        <w:t>3</w:t>
      </w:r>
      <w:r w:rsidRPr="008318C3">
        <w:rPr>
          <w:rFonts w:ascii="Calibri" w:hAnsi="Calibri" w:cs="Calibri"/>
          <w:i/>
          <w:iCs/>
          <w:sz w:val="22"/>
          <w:lang w:val="en-GB"/>
        </w:rPr>
        <w:t>ECRC Dept. of Geography, University College London, North West Wing, Gower St, London WC1E 6BT, UK.</w:t>
      </w:r>
    </w:p>
    <w:p w14:paraId="55942B62" w14:textId="2461DA8F" w:rsidR="008318C3" w:rsidRDefault="008318C3" w:rsidP="00DB0D88">
      <w:pPr>
        <w:pStyle w:val="NoSpacing"/>
        <w:ind w:left="425"/>
        <w:rPr>
          <w:rFonts w:ascii="Calibri" w:hAnsi="Calibri" w:cs="Calibri"/>
          <w:i/>
          <w:iCs/>
          <w:sz w:val="22"/>
          <w:lang w:val="en-GB"/>
        </w:rPr>
      </w:pPr>
      <w:r w:rsidRPr="008318C3">
        <w:rPr>
          <w:rFonts w:ascii="Calibri" w:hAnsi="Calibri" w:cs="Calibri"/>
          <w:i/>
          <w:iCs/>
          <w:sz w:val="22"/>
          <w:vertAlign w:val="superscript"/>
          <w:lang w:val="en-GB"/>
        </w:rPr>
        <w:lastRenderedPageBreak/>
        <w:t>4</w:t>
      </w:r>
      <w:r w:rsidRPr="008318C3">
        <w:rPr>
          <w:rFonts w:ascii="Calibri" w:hAnsi="Calibri" w:cs="Calibri"/>
          <w:i/>
          <w:iCs/>
          <w:sz w:val="22"/>
          <w:lang w:val="en-GB"/>
        </w:rPr>
        <w:t>Dept. of Geography, Royal Holloway, University of London, Egham, Surrey, TW20 OEX, UK.</w:t>
      </w:r>
    </w:p>
    <w:p w14:paraId="590A71F5" w14:textId="221E953B" w:rsidR="008318C3" w:rsidRDefault="008318C3" w:rsidP="00DB0D88">
      <w:pPr>
        <w:pStyle w:val="NoSpacing"/>
        <w:ind w:left="425"/>
        <w:rPr>
          <w:rFonts w:ascii="Calibri" w:hAnsi="Calibri" w:cs="Calibri"/>
          <w:i/>
          <w:iCs/>
          <w:sz w:val="22"/>
          <w:lang w:val="en-GB"/>
        </w:rPr>
      </w:pPr>
      <w:r w:rsidRPr="008318C3">
        <w:rPr>
          <w:rFonts w:ascii="Calibri" w:hAnsi="Calibri" w:cs="Calibri"/>
          <w:i/>
          <w:iCs/>
          <w:sz w:val="22"/>
          <w:vertAlign w:val="superscript"/>
          <w:lang w:val="en-GB"/>
        </w:rPr>
        <w:t>5</w:t>
      </w:r>
      <w:r w:rsidRPr="008318C3">
        <w:rPr>
          <w:rFonts w:ascii="Calibri" w:hAnsi="Calibri" w:cs="Calibri"/>
          <w:i/>
          <w:iCs/>
          <w:sz w:val="22"/>
          <w:lang w:val="en-GB"/>
        </w:rPr>
        <w:t>Aberystwyth University, Department of Geography and Earth Sciences, Aberystwyth, SY23 3DB, UK.</w:t>
      </w:r>
    </w:p>
    <w:p w14:paraId="0A4FB488" w14:textId="0FEEB4B7" w:rsidR="008318C3" w:rsidRPr="008318C3" w:rsidRDefault="008318C3" w:rsidP="00DB0D88">
      <w:pPr>
        <w:pStyle w:val="NoSpacing"/>
        <w:ind w:left="425"/>
        <w:rPr>
          <w:rFonts w:ascii="Calibri" w:hAnsi="Calibri" w:cs="Calibri"/>
          <w:i/>
          <w:iCs/>
          <w:sz w:val="22"/>
          <w:lang w:val="en-GB"/>
        </w:rPr>
      </w:pPr>
      <w:r w:rsidRPr="008318C3">
        <w:rPr>
          <w:rFonts w:ascii="Calibri" w:hAnsi="Calibri" w:cs="Calibri"/>
          <w:i/>
          <w:iCs/>
          <w:sz w:val="22"/>
          <w:vertAlign w:val="superscript"/>
          <w:lang w:val="en-GB"/>
        </w:rPr>
        <w:t>11</w:t>
      </w:r>
      <w:r w:rsidRPr="008318C3">
        <w:rPr>
          <w:rFonts w:ascii="Calibri" w:hAnsi="Calibri" w:cs="Calibri"/>
          <w:i/>
          <w:iCs/>
          <w:sz w:val="22"/>
          <w:lang w:val="en-GB"/>
        </w:rPr>
        <w:t>Department of Geography, University of Exeter, Exeter EX4 4RJ, UK.</w:t>
      </w:r>
    </w:p>
    <w:p w14:paraId="0438A5E8" w14:textId="6120754D" w:rsidR="151E33FA" w:rsidRPr="008A379A" w:rsidRDefault="151E33FA" w:rsidP="00DB0D88">
      <w:pPr>
        <w:spacing w:line="240" w:lineRule="auto"/>
        <w:ind w:left="425"/>
        <w:jc w:val="both"/>
        <w:rPr>
          <w:i/>
          <w:iCs/>
        </w:rPr>
      </w:pPr>
    </w:p>
    <w:p w14:paraId="5B6724C7" w14:textId="43BEEE7B" w:rsidR="004B2D64" w:rsidRPr="00DB0D88" w:rsidRDefault="705850E3" w:rsidP="00DB0D88">
      <w:pPr>
        <w:spacing w:line="240" w:lineRule="auto"/>
        <w:ind w:left="425"/>
        <w:jc w:val="both"/>
        <w:rPr>
          <w:color w:val="1F4E79" w:themeColor="accent1" w:themeShade="80"/>
        </w:rPr>
      </w:pPr>
      <w:r w:rsidRPr="00DB0D88">
        <w:rPr>
          <w:color w:val="1F4E79" w:themeColor="accent1" w:themeShade="80"/>
        </w:rPr>
        <w:t>Lineage/methodology</w:t>
      </w:r>
    </w:p>
    <w:p w14:paraId="7C69EF13" w14:textId="77777777" w:rsidR="00312DFD" w:rsidRPr="008318C3" w:rsidRDefault="00312DFD" w:rsidP="00DB0D88">
      <w:pPr>
        <w:spacing w:after="0" w:line="240" w:lineRule="auto"/>
        <w:ind w:left="425"/>
        <w:jc w:val="both"/>
        <w:rPr>
          <w:i/>
          <w:iCs/>
        </w:rPr>
      </w:pPr>
    </w:p>
    <w:p w14:paraId="5630EFDE" w14:textId="287B07C0" w:rsidR="008318C3" w:rsidRPr="008318C3" w:rsidRDefault="00312DFD" w:rsidP="00DB0D88">
      <w:pPr>
        <w:pStyle w:val="ListParagraph"/>
        <w:spacing w:after="0" w:line="240" w:lineRule="auto"/>
        <w:ind w:left="425"/>
        <w:jc w:val="both"/>
        <w:rPr>
          <w:b/>
          <w:bCs/>
          <w:i/>
          <w:iCs/>
        </w:rPr>
      </w:pPr>
      <w:r w:rsidRPr="008318C3">
        <w:rPr>
          <w:b/>
          <w:bCs/>
          <w:i/>
          <w:iCs/>
        </w:rPr>
        <w:t>Kiteschsee Lake data</w:t>
      </w:r>
    </w:p>
    <w:p w14:paraId="711C1B1D" w14:textId="77777777" w:rsidR="008318C3" w:rsidRDefault="008318C3" w:rsidP="00DB0D88">
      <w:pPr>
        <w:pStyle w:val="ListParagraph"/>
        <w:spacing w:after="0" w:line="240" w:lineRule="auto"/>
        <w:ind w:left="425"/>
        <w:jc w:val="both"/>
        <w:rPr>
          <w:b/>
          <w:bCs/>
          <w:i/>
          <w:iCs/>
        </w:rPr>
      </w:pPr>
    </w:p>
    <w:p w14:paraId="56D7BC49" w14:textId="6AE74DB6" w:rsidR="00A26AE1" w:rsidRPr="008318C3" w:rsidRDefault="00312DFD" w:rsidP="00DB0D88">
      <w:pPr>
        <w:pStyle w:val="ListParagraph"/>
        <w:spacing w:after="0" w:line="240" w:lineRule="auto"/>
        <w:ind w:left="425"/>
        <w:jc w:val="both"/>
        <w:rPr>
          <w:i/>
          <w:iCs/>
        </w:rPr>
      </w:pPr>
      <w:r w:rsidRPr="00312DFD">
        <w:rPr>
          <w:i/>
          <w:iCs/>
        </w:rPr>
        <w:t>We undertook multi-proxy analyses (diatom, grain size, geochemical and sedimentological analysis) on a 77 cm-long sediment record extracted from the flat-bottomed eastern basin depocentre of Kiteschsee Lake and compared data obtained with published lake records from the Fildes Peninsula. A chronology for the Kiteschsee Lake sediment record was based on two aquatic moss ages, six bulk sediment AMS radiocarbon ages, and four tephra correlation ages and established using Bayesian age-depth modelling in BACON v. 2.5 in R</w:t>
      </w:r>
      <w:r>
        <w:rPr>
          <w:i/>
          <w:iCs/>
        </w:rPr>
        <w:t xml:space="preserve"> </w:t>
      </w:r>
      <w:r w:rsidRPr="00312DFD">
        <w:rPr>
          <w:i/>
          <w:iCs/>
        </w:rPr>
        <w:t>(Blaauw and Christen, 2011).</w:t>
      </w:r>
    </w:p>
    <w:p w14:paraId="32565796" w14:textId="77777777" w:rsidR="00243456" w:rsidRPr="00B36962" w:rsidRDefault="00243456" w:rsidP="00DB0D88">
      <w:pPr>
        <w:pStyle w:val="ListParagraph"/>
        <w:spacing w:line="240" w:lineRule="auto"/>
        <w:ind w:left="425"/>
        <w:jc w:val="both"/>
        <w:rPr>
          <w:i/>
        </w:rPr>
      </w:pPr>
    </w:p>
    <w:p w14:paraId="48E41278" w14:textId="4BA2D134" w:rsidR="00364171" w:rsidRPr="00DB0D88" w:rsidRDefault="705850E3" w:rsidP="00DB0D88">
      <w:pPr>
        <w:spacing w:line="240" w:lineRule="auto"/>
        <w:ind w:left="425"/>
        <w:jc w:val="both"/>
        <w:rPr>
          <w:color w:val="1F4E79" w:themeColor="accent1" w:themeShade="80"/>
        </w:rPr>
      </w:pPr>
      <w:r w:rsidRPr="00DB0D88">
        <w:rPr>
          <w:color w:val="1F4E79" w:themeColor="accent1" w:themeShade="80"/>
        </w:rPr>
        <w:t>Instrumentation</w:t>
      </w:r>
    </w:p>
    <w:p w14:paraId="41C27D2D" w14:textId="40B2D5C4" w:rsidR="00312DFD" w:rsidRDefault="00312DFD" w:rsidP="00DB0D88">
      <w:pPr>
        <w:pStyle w:val="ListParagraph"/>
        <w:spacing w:after="0" w:line="240" w:lineRule="auto"/>
        <w:ind w:left="425"/>
        <w:jc w:val="both"/>
        <w:rPr>
          <w:i/>
          <w:iCs/>
        </w:rPr>
      </w:pPr>
    </w:p>
    <w:p w14:paraId="27BF9493" w14:textId="38A9D75D" w:rsidR="00312DFD" w:rsidRDefault="00312DFD" w:rsidP="00DB0D88">
      <w:pPr>
        <w:pStyle w:val="ListParagraph"/>
        <w:spacing w:after="0" w:line="240" w:lineRule="auto"/>
        <w:ind w:left="425"/>
        <w:jc w:val="both"/>
        <w:rPr>
          <w:i/>
          <w:iCs/>
        </w:rPr>
      </w:pPr>
      <w:r w:rsidRPr="00312DFD">
        <w:rPr>
          <w:i/>
          <w:iCs/>
        </w:rPr>
        <w:t xml:space="preserve">High resolution X-ray fluorescence (ITRAX) core scanning (XRF-CS) of bulk sediment was performed at contiguous 0.02 cm (200 µm) intervals following </w:t>
      </w:r>
      <w:r>
        <w:rPr>
          <w:i/>
          <w:iCs/>
        </w:rPr>
        <w:t xml:space="preserve">standard </w:t>
      </w:r>
      <w:r w:rsidRPr="00312DFD">
        <w:rPr>
          <w:i/>
          <w:iCs/>
        </w:rPr>
        <w:t>procedures</w:t>
      </w:r>
      <w:r w:rsidR="008318C3">
        <w:rPr>
          <w:i/>
          <w:iCs/>
        </w:rPr>
        <w:t xml:space="preserve"> on the ITRAX-XRF machine at Aberystwyth University</w:t>
      </w:r>
      <w:r>
        <w:rPr>
          <w:i/>
          <w:iCs/>
        </w:rPr>
        <w:t>.</w:t>
      </w:r>
    </w:p>
    <w:p w14:paraId="554543C1" w14:textId="77777777" w:rsidR="006D0EC4" w:rsidRDefault="006D0EC4" w:rsidP="00DB0D88">
      <w:pPr>
        <w:spacing w:after="0" w:line="240" w:lineRule="auto"/>
        <w:ind w:left="425"/>
        <w:jc w:val="both"/>
        <w:rPr>
          <w:i/>
          <w:iCs/>
        </w:rPr>
      </w:pPr>
    </w:p>
    <w:p w14:paraId="60C2B9DF" w14:textId="77777777" w:rsidR="00121FBE" w:rsidRPr="00DB0D88" w:rsidRDefault="705850E3" w:rsidP="00DB0D88">
      <w:pPr>
        <w:spacing w:line="240" w:lineRule="auto"/>
        <w:ind w:left="425"/>
        <w:jc w:val="both"/>
        <w:rPr>
          <w:color w:val="1F4E79" w:themeColor="accent1" w:themeShade="80"/>
        </w:rPr>
      </w:pPr>
      <w:r w:rsidRPr="00DB0D88">
        <w:rPr>
          <w:color w:val="1F4E79" w:themeColor="accent1" w:themeShade="80"/>
        </w:rPr>
        <w:t>Quality</w:t>
      </w:r>
    </w:p>
    <w:p w14:paraId="2AA3D324" w14:textId="13C16F33" w:rsidR="006D0EC4" w:rsidRPr="00DB0D88" w:rsidRDefault="002709A4" w:rsidP="00DB0D88">
      <w:pPr>
        <w:spacing w:line="240" w:lineRule="auto"/>
        <w:ind w:left="425"/>
        <w:jc w:val="both"/>
        <w:rPr>
          <w:b/>
          <w:bCs/>
          <w:i/>
          <w:iCs/>
        </w:rPr>
      </w:pPr>
      <w:r w:rsidRPr="002709A4">
        <w:rPr>
          <w:i/>
          <w:iCs/>
        </w:rPr>
        <w:t>To account for downcore variations in count rate, density, water and organic content, XRF-CS data are presented as relative changes in percentages of the Total Scatter Normalised ratio sum (%TSN), which is equivalent to the %cps sum and as natural log ratios and centred log ratios (clr). Log ratios have been shown to produce similar downcore patterns to more traditional, and fully quantitative, Wavelength Dispersive Spectroscopy, WDS-XRF, dry subsample analysis</w:t>
      </w:r>
      <w:r>
        <w:rPr>
          <w:i/>
          <w:iCs/>
        </w:rPr>
        <w:t xml:space="preserve">. </w:t>
      </w:r>
      <w:r w:rsidRPr="002709A4">
        <w:rPr>
          <w:i/>
          <w:iCs/>
        </w:rPr>
        <w:t>Data were filtered to remove the small number of downcore spectra with kcps less than mean minus two-SD, caused mainly by small gaps in the core, and MSE values greater than mean plus four-SD as this represents a poor fit of the measured to theoretical energy spectra.</w:t>
      </w:r>
    </w:p>
    <w:p w14:paraId="114AB687" w14:textId="03807940" w:rsidR="00F04E99" w:rsidRPr="00DB0D88" w:rsidRDefault="705850E3" w:rsidP="00DB0D88">
      <w:pPr>
        <w:spacing w:line="240" w:lineRule="auto"/>
        <w:ind w:left="425"/>
        <w:jc w:val="both"/>
        <w:rPr>
          <w:color w:val="1F4E79" w:themeColor="accent1" w:themeShade="80"/>
        </w:rPr>
      </w:pPr>
      <w:r w:rsidRPr="00DB0D88">
        <w:rPr>
          <w:color w:val="1F4E79" w:themeColor="accent1" w:themeShade="80"/>
        </w:rPr>
        <w:t>Related datasets</w:t>
      </w:r>
    </w:p>
    <w:p w14:paraId="5390FBF0" w14:textId="48B9A7D4" w:rsidR="00F04E99" w:rsidRDefault="00F04E99" w:rsidP="00DB0D88">
      <w:pPr>
        <w:spacing w:line="240" w:lineRule="auto"/>
        <w:ind w:left="425"/>
        <w:jc w:val="both"/>
        <w:rPr>
          <w:i/>
          <w:iCs/>
        </w:rPr>
      </w:pPr>
      <w:r w:rsidRPr="00D475B8">
        <w:rPr>
          <w:i/>
          <w:iCs/>
        </w:rPr>
        <w:t>Chrono</w:t>
      </w:r>
      <w:r>
        <w:rPr>
          <w:i/>
          <w:iCs/>
        </w:rPr>
        <w:t xml:space="preserve">stratigraphic </w:t>
      </w:r>
      <w:r w:rsidRPr="00D475B8">
        <w:rPr>
          <w:i/>
          <w:iCs/>
        </w:rPr>
        <w:t xml:space="preserve">data from </w:t>
      </w:r>
      <w:r>
        <w:rPr>
          <w:i/>
          <w:iCs/>
        </w:rPr>
        <w:t xml:space="preserve">the Fildes </w:t>
      </w:r>
      <w:r w:rsidRPr="00D475B8">
        <w:rPr>
          <w:i/>
          <w:iCs/>
        </w:rPr>
        <w:t>Peninsula, South Shetland Islands.</w:t>
      </w:r>
    </w:p>
    <w:p w14:paraId="299A4F49" w14:textId="0A6DE19A" w:rsidR="00F04E99" w:rsidRDefault="00F04E99" w:rsidP="00DB0D88">
      <w:pPr>
        <w:spacing w:line="240" w:lineRule="auto"/>
        <w:ind w:left="425"/>
        <w:jc w:val="both"/>
        <w:rPr>
          <w:i/>
          <w:iCs/>
        </w:rPr>
      </w:pPr>
      <w:r>
        <w:rPr>
          <w:i/>
          <w:iCs/>
        </w:rPr>
        <w:t xml:space="preserve">Compilation </w:t>
      </w:r>
      <w:r w:rsidRPr="00D475B8">
        <w:rPr>
          <w:i/>
          <w:iCs/>
        </w:rPr>
        <w:t xml:space="preserve">data from </w:t>
      </w:r>
      <w:r>
        <w:rPr>
          <w:i/>
          <w:iCs/>
        </w:rPr>
        <w:t xml:space="preserve">the Fildes </w:t>
      </w:r>
      <w:r w:rsidRPr="00D475B8">
        <w:rPr>
          <w:i/>
          <w:iCs/>
        </w:rPr>
        <w:t>Peninsula, South Shetland Islands.</w:t>
      </w:r>
    </w:p>
    <w:p w14:paraId="20A0DC11" w14:textId="165A8483" w:rsidR="001976B3" w:rsidRDefault="001976B3" w:rsidP="00DB0D88">
      <w:pPr>
        <w:spacing w:line="240" w:lineRule="auto"/>
        <w:ind w:left="425"/>
        <w:jc w:val="both"/>
        <w:rPr>
          <w:i/>
          <w:iCs/>
        </w:rPr>
      </w:pPr>
      <w:r w:rsidRPr="00D475B8">
        <w:rPr>
          <w:i/>
          <w:iCs/>
        </w:rPr>
        <w:t>Chronological and sedimentological data from stratigraphic sections on Potter Peninsula, South Shetland Islands.</w:t>
      </w:r>
    </w:p>
    <w:p w14:paraId="562734F1" w14:textId="2C466478" w:rsidR="001976B3" w:rsidRPr="00243456" w:rsidRDefault="001976B3" w:rsidP="00DB0D88">
      <w:pPr>
        <w:spacing w:line="240" w:lineRule="auto"/>
        <w:ind w:left="425"/>
        <w:jc w:val="both"/>
        <w:rPr>
          <w:i/>
          <w:iCs/>
        </w:rPr>
      </w:pPr>
      <w:r w:rsidRPr="00243456">
        <w:rPr>
          <w:i/>
          <w:iCs/>
        </w:rPr>
        <w:t>Chronological, geochemical and sedimentological data from a lake sediment record extracted from Lake L5 (Matias Lake) on Potter Peninsula, South Shetland Islands.</w:t>
      </w:r>
    </w:p>
    <w:p w14:paraId="3926E74E" w14:textId="64C9C98F" w:rsidR="001976B3" w:rsidRDefault="001976B3" w:rsidP="00DB0D88">
      <w:pPr>
        <w:pStyle w:val="ListParagraph"/>
        <w:spacing w:line="240" w:lineRule="auto"/>
        <w:ind w:left="425"/>
        <w:jc w:val="both"/>
        <w:rPr>
          <w:i/>
          <w:iCs/>
        </w:rPr>
      </w:pPr>
      <w:r w:rsidRPr="00180177">
        <w:rPr>
          <w:i/>
          <w:iCs/>
        </w:rPr>
        <w:t>Chronological, geochemical and sedimentological data from a lake sediment record extracted from Lake L15 (GPS Lake) on Potter Peninsula, South Shetland Islands.</w:t>
      </w:r>
    </w:p>
    <w:p w14:paraId="4B0BEBCA" w14:textId="77777777" w:rsidR="00180177" w:rsidRPr="003824C0" w:rsidRDefault="00180177" w:rsidP="00DB0D88">
      <w:pPr>
        <w:pStyle w:val="ListParagraph"/>
        <w:spacing w:line="240" w:lineRule="auto"/>
        <w:ind w:left="425"/>
        <w:jc w:val="both"/>
        <w:rPr>
          <w:i/>
          <w:iCs/>
        </w:rPr>
      </w:pPr>
    </w:p>
    <w:p w14:paraId="2D1A074B" w14:textId="77777777" w:rsidR="5E2A7847" w:rsidRPr="00DB0D88" w:rsidRDefault="705850E3" w:rsidP="00DB0D88">
      <w:pPr>
        <w:spacing w:line="240" w:lineRule="auto"/>
        <w:ind w:left="425"/>
        <w:jc w:val="both"/>
        <w:rPr>
          <w:color w:val="1F4E79" w:themeColor="accent1" w:themeShade="80"/>
        </w:rPr>
      </w:pPr>
      <w:r w:rsidRPr="00DB0D88">
        <w:rPr>
          <w:color w:val="1F4E79" w:themeColor="accent1" w:themeShade="80"/>
        </w:rPr>
        <w:t>Related URLs</w:t>
      </w:r>
    </w:p>
    <w:p w14:paraId="3103503C" w14:textId="4FA2D7B0" w:rsidR="5E2A7847" w:rsidRDefault="00673ECB" w:rsidP="00DB0D88">
      <w:pPr>
        <w:pStyle w:val="ListParagraph"/>
        <w:spacing w:line="240" w:lineRule="auto"/>
        <w:ind w:left="425"/>
        <w:jc w:val="both"/>
      </w:pPr>
      <w:r>
        <w:t>Code</w:t>
      </w:r>
      <w:r w:rsidR="00507C39">
        <w:t xml:space="preserve"> is available on</w:t>
      </w:r>
      <w:r>
        <w:t xml:space="preserve">: </w:t>
      </w:r>
      <w:hyperlink r:id="rId11" w:history="1">
        <w:r w:rsidRPr="00F44DEB">
          <w:rPr>
            <w:rStyle w:val="Hyperlink"/>
          </w:rPr>
          <w:t>www.github.com/stever60</w:t>
        </w:r>
      </w:hyperlink>
      <w:r w:rsidR="005653A3">
        <w:rPr>
          <w:rStyle w:val="Hyperlink"/>
        </w:rPr>
        <w:t>/</w:t>
      </w:r>
      <w:r w:rsidR="002709A4">
        <w:rPr>
          <w:rStyle w:val="Hyperlink"/>
        </w:rPr>
        <w:t>Fildes</w:t>
      </w:r>
      <w:r w:rsidR="005653A3">
        <w:rPr>
          <w:rStyle w:val="Hyperlink"/>
        </w:rPr>
        <w:t>_Peninsula</w:t>
      </w:r>
      <w:r>
        <w:t xml:space="preserve"> </w:t>
      </w:r>
    </w:p>
    <w:p w14:paraId="6915EDCC" w14:textId="77777777" w:rsidR="00673ECB" w:rsidRPr="003824C0" w:rsidRDefault="00673ECB" w:rsidP="00DB0D88">
      <w:pPr>
        <w:pStyle w:val="ListParagraph"/>
        <w:spacing w:line="240" w:lineRule="auto"/>
        <w:ind w:left="425"/>
        <w:jc w:val="both"/>
      </w:pPr>
    </w:p>
    <w:p w14:paraId="403BCE9B" w14:textId="77777777" w:rsidR="7AF5208C" w:rsidRPr="00DB0D88" w:rsidRDefault="705850E3" w:rsidP="00DB0D88">
      <w:pPr>
        <w:spacing w:line="240" w:lineRule="auto"/>
        <w:ind w:left="425"/>
        <w:jc w:val="both"/>
        <w:rPr>
          <w:color w:val="1F4E79" w:themeColor="accent1" w:themeShade="80"/>
        </w:rPr>
      </w:pPr>
      <w:r w:rsidRPr="00DB0D88">
        <w:rPr>
          <w:color w:val="1F4E79" w:themeColor="accent1" w:themeShade="80"/>
        </w:rPr>
        <w:lastRenderedPageBreak/>
        <w:t>Temporal coverage</w:t>
      </w:r>
    </w:p>
    <w:p w14:paraId="30D035BA" w14:textId="70A660FC" w:rsidR="005E4E08" w:rsidRPr="003824C0" w:rsidRDefault="005E4E08" w:rsidP="00DB0D88">
      <w:pPr>
        <w:pStyle w:val="ListParagraph"/>
        <w:spacing w:line="240" w:lineRule="auto"/>
        <w:ind w:left="425"/>
        <w:jc w:val="both"/>
        <w:rPr>
          <w:i/>
          <w:iCs/>
        </w:rPr>
      </w:pPr>
      <w:r>
        <w:rPr>
          <w:i/>
          <w:iCs/>
        </w:rPr>
        <w:t xml:space="preserve">Cores were extracted and data collected </w:t>
      </w:r>
      <w:r w:rsidR="00623543">
        <w:rPr>
          <w:i/>
          <w:iCs/>
        </w:rPr>
        <w:t>between</w:t>
      </w:r>
      <w:r w:rsidR="002170D7">
        <w:rPr>
          <w:i/>
          <w:iCs/>
        </w:rPr>
        <w:t xml:space="preserve"> November 2011 </w:t>
      </w:r>
      <w:r w:rsidR="00623543">
        <w:rPr>
          <w:i/>
          <w:iCs/>
        </w:rPr>
        <w:t xml:space="preserve">and 2015; data </w:t>
      </w:r>
      <w:r w:rsidR="002170D7">
        <w:rPr>
          <w:i/>
          <w:iCs/>
        </w:rPr>
        <w:t>cover</w:t>
      </w:r>
      <w:r w:rsidR="00623543">
        <w:rPr>
          <w:i/>
          <w:iCs/>
        </w:rPr>
        <w:t>s</w:t>
      </w:r>
      <w:r w:rsidR="002170D7">
        <w:rPr>
          <w:i/>
          <w:iCs/>
        </w:rPr>
        <w:t xml:space="preserve"> the last </w:t>
      </w:r>
      <w:r w:rsidR="00623543">
        <w:rPr>
          <w:i/>
          <w:iCs/>
        </w:rPr>
        <w:t xml:space="preserve">8000 </w:t>
      </w:r>
      <w:r w:rsidR="002170D7">
        <w:rPr>
          <w:i/>
          <w:iCs/>
        </w:rPr>
        <w:t xml:space="preserve"> years</w:t>
      </w:r>
    </w:p>
    <w:p w14:paraId="4F5F4439" w14:textId="6C185201" w:rsidR="705850E3" w:rsidRPr="003824C0" w:rsidRDefault="705850E3" w:rsidP="00DB0D88">
      <w:pPr>
        <w:pStyle w:val="ListParagraph"/>
        <w:spacing w:line="240" w:lineRule="auto"/>
        <w:ind w:left="425"/>
        <w:jc w:val="both"/>
        <w:rPr>
          <w:i/>
          <w:iCs/>
        </w:rPr>
      </w:pPr>
    </w:p>
    <w:p w14:paraId="66E4B570" w14:textId="77777777" w:rsidR="705850E3" w:rsidRPr="00DB0D88" w:rsidRDefault="705850E3" w:rsidP="00DB0D88">
      <w:pPr>
        <w:spacing w:line="240" w:lineRule="auto"/>
        <w:ind w:left="425"/>
        <w:jc w:val="both"/>
        <w:rPr>
          <w:color w:val="1F4E79" w:themeColor="accent1" w:themeShade="80"/>
        </w:rPr>
      </w:pPr>
      <w:r w:rsidRPr="00DB0D88">
        <w:rPr>
          <w:color w:val="1F4E79" w:themeColor="accent1" w:themeShade="80"/>
        </w:rPr>
        <w:t>Spatial coverage</w:t>
      </w:r>
    </w:p>
    <w:p w14:paraId="40CACF0F" w14:textId="130FD550" w:rsidR="00241DC5" w:rsidRPr="00241DC5" w:rsidRDefault="00623543" w:rsidP="00DB0D88">
      <w:pPr>
        <w:spacing w:line="240" w:lineRule="auto"/>
        <w:ind w:left="425"/>
        <w:jc w:val="both"/>
        <w:rPr>
          <w:i/>
          <w:iCs/>
        </w:rPr>
      </w:pPr>
      <w:r>
        <w:rPr>
          <w:i/>
          <w:iCs/>
        </w:rPr>
        <w:t>Fildes</w:t>
      </w:r>
      <w:r w:rsidR="00241DC5" w:rsidRPr="00241DC5">
        <w:rPr>
          <w:i/>
          <w:iCs/>
        </w:rPr>
        <w:t xml:space="preserve"> Peninsula, South Shetland Islands</w:t>
      </w:r>
    </w:p>
    <w:p w14:paraId="566E687E" w14:textId="77777777" w:rsidR="705850E3" w:rsidRPr="00DB0D88" w:rsidRDefault="705850E3" w:rsidP="00DB0D88">
      <w:pPr>
        <w:spacing w:line="240" w:lineRule="auto"/>
        <w:ind w:left="425"/>
        <w:jc w:val="both"/>
        <w:rPr>
          <w:color w:val="1F4E79" w:themeColor="accent1" w:themeShade="80"/>
        </w:rPr>
      </w:pPr>
      <w:r w:rsidRPr="00DB0D88">
        <w:rPr>
          <w:color w:val="1F4E79" w:themeColor="accent1" w:themeShade="80"/>
        </w:rPr>
        <w:t>Resolution</w:t>
      </w:r>
    </w:p>
    <w:p w14:paraId="759ABDEC" w14:textId="1785D2A6" w:rsidR="004F4491" w:rsidRDefault="00243456" w:rsidP="00DB0D88">
      <w:pPr>
        <w:pStyle w:val="ListParagraph"/>
        <w:spacing w:line="240" w:lineRule="auto"/>
        <w:ind w:left="425"/>
        <w:jc w:val="both"/>
        <w:rPr>
          <w:i/>
          <w:iCs/>
        </w:rPr>
      </w:pPr>
      <w:r>
        <w:rPr>
          <w:i/>
          <w:iCs/>
        </w:rPr>
        <w:t>N/A</w:t>
      </w:r>
    </w:p>
    <w:p w14:paraId="3B1FE034" w14:textId="77777777" w:rsidR="00032C6A" w:rsidRPr="00C25EFB" w:rsidRDefault="00032C6A" w:rsidP="00DB0D88">
      <w:pPr>
        <w:pStyle w:val="ListParagraph"/>
        <w:spacing w:line="240" w:lineRule="auto"/>
        <w:ind w:left="425"/>
        <w:jc w:val="both"/>
        <w:rPr>
          <w:i/>
          <w:iCs/>
        </w:rPr>
      </w:pPr>
    </w:p>
    <w:p w14:paraId="346C9B87" w14:textId="77777777" w:rsidR="705850E3" w:rsidRPr="00DB0D88" w:rsidRDefault="705850E3" w:rsidP="00DB0D88">
      <w:pPr>
        <w:spacing w:line="240" w:lineRule="auto"/>
        <w:ind w:left="425"/>
        <w:jc w:val="both"/>
        <w:rPr>
          <w:color w:val="1F4E79" w:themeColor="accent1" w:themeShade="80"/>
        </w:rPr>
      </w:pPr>
      <w:r w:rsidRPr="00DB0D88">
        <w:rPr>
          <w:color w:val="1F4E79" w:themeColor="accent1" w:themeShade="80"/>
        </w:rPr>
        <w:t>Location</w:t>
      </w:r>
    </w:p>
    <w:p w14:paraId="6BC2A387" w14:textId="2062A9AA" w:rsidR="705850E3" w:rsidRDefault="00623543" w:rsidP="00DB0D88">
      <w:pPr>
        <w:pStyle w:val="ListParagraph"/>
        <w:spacing w:line="240" w:lineRule="auto"/>
        <w:ind w:left="425"/>
        <w:jc w:val="both"/>
        <w:rPr>
          <w:i/>
          <w:iCs/>
        </w:rPr>
      </w:pPr>
      <w:r>
        <w:rPr>
          <w:i/>
          <w:iCs/>
        </w:rPr>
        <w:t>Fildes</w:t>
      </w:r>
      <w:r w:rsidR="002170D7">
        <w:rPr>
          <w:i/>
          <w:iCs/>
        </w:rPr>
        <w:t xml:space="preserve"> Peninsula, South Shetland Islands</w:t>
      </w:r>
    </w:p>
    <w:p w14:paraId="662277B3" w14:textId="3BF8146B" w:rsidR="00CA502F" w:rsidRPr="00A26AE1" w:rsidRDefault="00623543" w:rsidP="00DB0D88">
      <w:pPr>
        <w:spacing w:line="240" w:lineRule="auto"/>
        <w:ind w:left="425"/>
        <w:jc w:val="both"/>
        <w:rPr>
          <w:i/>
          <w:iCs/>
        </w:rPr>
      </w:pPr>
      <w:r>
        <w:rPr>
          <w:i/>
          <w:iCs/>
        </w:rPr>
        <w:t xml:space="preserve">Kiteschsee Lake is located at </w:t>
      </w:r>
      <w:r w:rsidRPr="00623543">
        <w:rPr>
          <w:i/>
          <w:iCs/>
        </w:rPr>
        <w:t xml:space="preserve">62° 11’36.55’’S, 58° 57’59.93’’W </w:t>
      </w:r>
    </w:p>
    <w:p w14:paraId="4151A652" w14:textId="77777777" w:rsidR="007943BB" w:rsidRPr="003824C0" w:rsidRDefault="007943BB" w:rsidP="00DB0D88">
      <w:pPr>
        <w:pStyle w:val="ListParagraph"/>
        <w:spacing w:line="240" w:lineRule="auto"/>
        <w:ind w:left="425"/>
        <w:jc w:val="both"/>
        <w:rPr>
          <w:i/>
          <w:iCs/>
        </w:rPr>
      </w:pPr>
    </w:p>
    <w:p w14:paraId="4D2F6222" w14:textId="77777777" w:rsidR="007943BB" w:rsidRPr="00DB0D88" w:rsidRDefault="007943BB" w:rsidP="00DB0D88">
      <w:pPr>
        <w:spacing w:line="240" w:lineRule="auto"/>
        <w:ind w:left="425"/>
        <w:jc w:val="both"/>
        <w:rPr>
          <w:color w:val="1F4E79" w:themeColor="accent1" w:themeShade="80"/>
        </w:rPr>
      </w:pPr>
      <w:r w:rsidRPr="00DB0D88">
        <w:rPr>
          <w:color w:val="1F4E79" w:themeColor="accent1" w:themeShade="80"/>
        </w:rPr>
        <w:t>References</w:t>
      </w:r>
    </w:p>
    <w:p w14:paraId="4132775D" w14:textId="77777777" w:rsidR="00A26AE1" w:rsidRDefault="00A26AE1" w:rsidP="00DB0D88">
      <w:pPr>
        <w:pStyle w:val="ListParagraph"/>
        <w:spacing w:line="240" w:lineRule="auto"/>
        <w:ind w:left="425"/>
        <w:jc w:val="both"/>
        <w:rPr>
          <w:i/>
          <w:iCs/>
        </w:rPr>
      </w:pPr>
    </w:p>
    <w:p w14:paraId="01E2DB2F" w14:textId="4696A1F5" w:rsidR="00A26AE1" w:rsidRPr="00A26AE1" w:rsidRDefault="00A26AE1" w:rsidP="00DB0D88">
      <w:pPr>
        <w:pStyle w:val="ListParagraph"/>
        <w:spacing w:line="240" w:lineRule="auto"/>
        <w:ind w:left="425"/>
        <w:jc w:val="both"/>
        <w:rPr>
          <w:i/>
          <w:iCs/>
        </w:rPr>
      </w:pPr>
      <w:r w:rsidRPr="00A26AE1">
        <w:rPr>
          <w:i/>
          <w:iCs/>
        </w:rPr>
        <w:t>Blaauw M and Christen JA. (2011) Flexible paleoclimate age-depth models using an autoregressive gamma process. Bayesian Analysis 6: 457-474.</w:t>
      </w:r>
    </w:p>
    <w:p w14:paraId="24DF4475" w14:textId="77777777" w:rsidR="00A26AE1" w:rsidRDefault="00A26AE1" w:rsidP="00DB0D88">
      <w:pPr>
        <w:pStyle w:val="ListParagraph"/>
        <w:spacing w:line="240" w:lineRule="auto"/>
        <w:ind w:left="425"/>
        <w:jc w:val="both"/>
        <w:rPr>
          <w:i/>
          <w:iCs/>
        </w:rPr>
      </w:pPr>
    </w:p>
    <w:p w14:paraId="19EAC6DA" w14:textId="77777777" w:rsidR="00241DC5" w:rsidRPr="003824C0" w:rsidRDefault="00241DC5" w:rsidP="00DB0D88">
      <w:pPr>
        <w:pStyle w:val="ListParagraph"/>
        <w:spacing w:line="240" w:lineRule="auto"/>
        <w:ind w:left="425"/>
        <w:jc w:val="both"/>
      </w:pPr>
    </w:p>
    <w:p w14:paraId="5C9D66E2" w14:textId="7D0F6DCD" w:rsidR="001020B8" w:rsidRPr="00DB0D88" w:rsidRDefault="705850E3" w:rsidP="00DB0D88">
      <w:pPr>
        <w:spacing w:line="240" w:lineRule="auto"/>
        <w:ind w:left="425"/>
        <w:jc w:val="both"/>
        <w:rPr>
          <w:color w:val="1F4E79" w:themeColor="accent1" w:themeShade="80"/>
        </w:rPr>
      </w:pPr>
      <w:r w:rsidRPr="00DB0D88">
        <w:rPr>
          <w:color w:val="1F4E79" w:themeColor="accent1" w:themeShade="80"/>
        </w:rPr>
        <w:t>Data structure and data format</w:t>
      </w:r>
    </w:p>
    <w:p w14:paraId="768ED16F" w14:textId="5C2AFF84" w:rsidR="00655D5E" w:rsidRPr="008318C3" w:rsidRDefault="006E0A3B" w:rsidP="00DB0D88">
      <w:pPr>
        <w:spacing w:line="240" w:lineRule="auto"/>
        <w:ind w:left="425"/>
        <w:jc w:val="both"/>
        <w:rPr>
          <w:b/>
          <w:bCs/>
          <w:i/>
          <w:iCs/>
        </w:rPr>
      </w:pPr>
      <w:r w:rsidRPr="008318C3">
        <w:rPr>
          <w:b/>
          <w:bCs/>
          <w:i/>
          <w:iCs/>
        </w:rPr>
        <w:t>3 Kiteschsee Lake</w:t>
      </w:r>
    </w:p>
    <w:p w14:paraId="6DC5A053" w14:textId="63742E50" w:rsidR="00655D5E" w:rsidRDefault="00655D5E" w:rsidP="00DB0D88">
      <w:pPr>
        <w:pStyle w:val="ListParagraph"/>
        <w:spacing w:line="240" w:lineRule="auto"/>
        <w:ind w:left="425"/>
        <w:jc w:val="both"/>
        <w:rPr>
          <w:i/>
          <w:iCs/>
        </w:rPr>
      </w:pPr>
      <w:proofErr w:type="spellStart"/>
      <w:r>
        <w:rPr>
          <w:i/>
          <w:iCs/>
        </w:rPr>
        <w:t>Age_depth_model</w:t>
      </w:r>
      <w:proofErr w:type="spellEnd"/>
      <w:r>
        <w:rPr>
          <w:i/>
          <w:iCs/>
        </w:rPr>
        <w:t xml:space="preserve"> folder –input and output txt and csv files for age-depth modelling runs from the Kiteschsee Lake record</w:t>
      </w:r>
    </w:p>
    <w:p w14:paraId="7B2194C4" w14:textId="77777777" w:rsidR="00DB0D88" w:rsidRDefault="00DB0D88" w:rsidP="00DB0D88">
      <w:pPr>
        <w:pStyle w:val="ListParagraph"/>
        <w:spacing w:line="240" w:lineRule="auto"/>
        <w:ind w:left="425"/>
        <w:jc w:val="both"/>
        <w:rPr>
          <w:i/>
          <w:iCs/>
        </w:rPr>
      </w:pPr>
    </w:p>
    <w:p w14:paraId="4BB10242" w14:textId="52551E03" w:rsidR="009159A2" w:rsidRDefault="009159A2" w:rsidP="00DB0D88">
      <w:pPr>
        <w:pStyle w:val="ListParagraph"/>
        <w:spacing w:line="240" w:lineRule="auto"/>
        <w:ind w:left="425"/>
        <w:jc w:val="both"/>
        <w:rPr>
          <w:i/>
          <w:iCs/>
        </w:rPr>
      </w:pPr>
      <w:proofErr w:type="spellStart"/>
      <w:r>
        <w:rPr>
          <w:i/>
          <w:iCs/>
        </w:rPr>
        <w:t>Kite_ITRAX</w:t>
      </w:r>
      <w:proofErr w:type="spellEnd"/>
      <w:r>
        <w:rPr>
          <w:i/>
          <w:iCs/>
        </w:rPr>
        <w:t xml:space="preserve"> – folder containing ITRAX XRF core scanning datafiles</w:t>
      </w:r>
    </w:p>
    <w:p w14:paraId="266D27D7" w14:textId="77777777" w:rsidR="00DB0D88" w:rsidRDefault="00DB0D88" w:rsidP="00DB0D88">
      <w:pPr>
        <w:pStyle w:val="ListParagraph"/>
        <w:spacing w:line="240" w:lineRule="auto"/>
        <w:ind w:left="425"/>
        <w:jc w:val="both"/>
        <w:rPr>
          <w:i/>
          <w:iCs/>
        </w:rPr>
      </w:pPr>
    </w:p>
    <w:p w14:paraId="1DFD021D" w14:textId="449E3946" w:rsidR="009159A2" w:rsidRDefault="009159A2" w:rsidP="00DB0D88">
      <w:pPr>
        <w:pStyle w:val="ListParagraph"/>
        <w:spacing w:line="240" w:lineRule="auto"/>
        <w:ind w:left="425"/>
        <w:jc w:val="both"/>
        <w:rPr>
          <w:i/>
          <w:iCs/>
        </w:rPr>
      </w:pPr>
      <w:r w:rsidRPr="009159A2">
        <w:rPr>
          <w:i/>
          <w:iCs/>
        </w:rPr>
        <w:t>KITE_ITRAX_200um_cps_TSN</w:t>
      </w:r>
      <w:r>
        <w:rPr>
          <w:i/>
          <w:iCs/>
        </w:rPr>
        <w:t xml:space="preserve">.csv – summary cps (count per second) and </w:t>
      </w:r>
      <w:r w:rsidRPr="00C05F44">
        <w:rPr>
          <w:i/>
          <w:iCs/>
        </w:rPr>
        <w:t>Total Scatter Normalised data</w:t>
      </w:r>
      <w:r>
        <w:rPr>
          <w:i/>
          <w:iCs/>
        </w:rPr>
        <w:t>, equivalent to percentage of cps (count per second) sum data for ITRAX X-ray fluorescence core scanning (XRF-CS) analysis</w:t>
      </w:r>
    </w:p>
    <w:p w14:paraId="050807ED" w14:textId="77777777" w:rsidR="00DB0D88" w:rsidRDefault="00DB0D88" w:rsidP="00DB0D88">
      <w:pPr>
        <w:pStyle w:val="ListParagraph"/>
        <w:spacing w:line="240" w:lineRule="auto"/>
        <w:ind w:left="425"/>
        <w:jc w:val="both"/>
        <w:rPr>
          <w:i/>
          <w:iCs/>
        </w:rPr>
      </w:pPr>
    </w:p>
    <w:p w14:paraId="19078EA6" w14:textId="2024CC3E" w:rsidR="009159A2" w:rsidRDefault="009159A2" w:rsidP="00DB0D88">
      <w:pPr>
        <w:pStyle w:val="ListParagraph"/>
        <w:spacing w:line="240" w:lineRule="auto"/>
        <w:ind w:left="425"/>
        <w:jc w:val="both"/>
        <w:rPr>
          <w:i/>
          <w:iCs/>
        </w:rPr>
      </w:pPr>
      <w:r w:rsidRPr="00C05F44">
        <w:rPr>
          <w:i/>
          <w:iCs/>
        </w:rPr>
        <w:t>KITE_ITRAX_200um_TSN_qc.csv – percentage Total Scatter Normalised data</w:t>
      </w:r>
      <w:r>
        <w:rPr>
          <w:i/>
          <w:iCs/>
        </w:rPr>
        <w:t xml:space="preserve">, equivalent to percentage of cps (count per second) sum </w:t>
      </w:r>
      <w:r w:rsidR="00BC6773">
        <w:rPr>
          <w:i/>
          <w:iCs/>
        </w:rPr>
        <w:t xml:space="preserve">summary </w:t>
      </w:r>
      <w:r>
        <w:rPr>
          <w:i/>
          <w:iCs/>
        </w:rPr>
        <w:t>data for ITRAX X-ray fluorescence core scanning (XRF-CS) analysis (quality controlled – qc – filtered)</w:t>
      </w:r>
    </w:p>
    <w:p w14:paraId="3EBC2264" w14:textId="77777777" w:rsidR="00DB0D88" w:rsidRPr="00BC6773" w:rsidRDefault="00DB0D88" w:rsidP="00DB0D88">
      <w:pPr>
        <w:pStyle w:val="ListParagraph"/>
        <w:spacing w:line="240" w:lineRule="auto"/>
        <w:ind w:left="425"/>
        <w:jc w:val="both"/>
        <w:rPr>
          <w:i/>
          <w:iCs/>
        </w:rPr>
      </w:pPr>
    </w:p>
    <w:p w14:paraId="70A8CA09" w14:textId="52803530" w:rsidR="009159A2" w:rsidRDefault="009159A2" w:rsidP="00DB0D88">
      <w:pPr>
        <w:pStyle w:val="ListParagraph"/>
        <w:spacing w:line="240" w:lineRule="auto"/>
        <w:ind w:left="425"/>
        <w:jc w:val="both"/>
        <w:rPr>
          <w:i/>
          <w:iCs/>
        </w:rPr>
      </w:pPr>
      <w:r w:rsidRPr="009159A2">
        <w:rPr>
          <w:i/>
          <w:iCs/>
        </w:rPr>
        <w:t xml:space="preserve">Kite1.1_basal folder – folder containing </w:t>
      </w:r>
      <w:r w:rsidR="0062237F">
        <w:rPr>
          <w:i/>
          <w:iCs/>
        </w:rPr>
        <w:t>document settings</w:t>
      </w:r>
      <w:r w:rsidR="00212895">
        <w:rPr>
          <w:i/>
          <w:iCs/>
        </w:rPr>
        <w:t xml:space="preserve"> txt file, </w:t>
      </w:r>
      <w:r w:rsidR="0062237F">
        <w:rPr>
          <w:i/>
          <w:iCs/>
        </w:rPr>
        <w:t xml:space="preserve">summary </w:t>
      </w:r>
      <w:r w:rsidRPr="009159A2">
        <w:rPr>
          <w:i/>
          <w:iCs/>
        </w:rPr>
        <w:t>output txt</w:t>
      </w:r>
      <w:r>
        <w:rPr>
          <w:i/>
          <w:iCs/>
        </w:rPr>
        <w:t xml:space="preserve"> files</w:t>
      </w:r>
      <w:r w:rsidR="00212895">
        <w:rPr>
          <w:i/>
          <w:iCs/>
        </w:rPr>
        <w:t>, summary average spectra txt file,</w:t>
      </w:r>
      <w:r>
        <w:rPr>
          <w:i/>
          <w:iCs/>
        </w:rPr>
        <w:t xml:space="preserve"> and optical and X-ray image </w:t>
      </w:r>
      <w:proofErr w:type="spellStart"/>
      <w:r>
        <w:rPr>
          <w:i/>
          <w:iCs/>
        </w:rPr>
        <w:t>tifs</w:t>
      </w:r>
      <w:proofErr w:type="spellEnd"/>
      <w:r w:rsidR="0062237F">
        <w:rPr>
          <w:i/>
          <w:iCs/>
        </w:rPr>
        <w:t xml:space="preserve"> </w:t>
      </w:r>
      <w:r w:rsidR="00BC6773">
        <w:rPr>
          <w:i/>
          <w:iCs/>
        </w:rPr>
        <w:t xml:space="preserve">and a folder with all raw XRF spectra txt files </w:t>
      </w:r>
      <w:r w:rsidR="0062237F">
        <w:rPr>
          <w:i/>
          <w:iCs/>
        </w:rPr>
        <w:t>for the Kite 1.1 core section</w:t>
      </w:r>
    </w:p>
    <w:p w14:paraId="1B854AA1" w14:textId="77777777" w:rsidR="00DB0D88" w:rsidRDefault="00DB0D88" w:rsidP="00DB0D88">
      <w:pPr>
        <w:pStyle w:val="ListParagraph"/>
        <w:spacing w:line="240" w:lineRule="auto"/>
        <w:ind w:left="425"/>
        <w:jc w:val="both"/>
        <w:rPr>
          <w:i/>
          <w:iCs/>
        </w:rPr>
      </w:pPr>
    </w:p>
    <w:p w14:paraId="4C63900C" w14:textId="638CD44F" w:rsidR="009159A2" w:rsidRDefault="0062237F" w:rsidP="00DB0D88">
      <w:pPr>
        <w:pStyle w:val="ListParagraph"/>
        <w:spacing w:line="240" w:lineRule="auto"/>
        <w:ind w:left="425"/>
        <w:jc w:val="both"/>
        <w:rPr>
          <w:i/>
          <w:iCs/>
        </w:rPr>
      </w:pPr>
      <w:r w:rsidRPr="009159A2">
        <w:rPr>
          <w:i/>
          <w:iCs/>
        </w:rPr>
        <w:t>Kite</w:t>
      </w:r>
      <w:r>
        <w:rPr>
          <w:i/>
          <w:iCs/>
        </w:rPr>
        <w:t>2</w:t>
      </w:r>
      <w:r w:rsidRPr="009159A2">
        <w:rPr>
          <w:i/>
          <w:iCs/>
        </w:rPr>
        <w:t>.1_</w:t>
      </w:r>
      <w:r>
        <w:rPr>
          <w:i/>
          <w:iCs/>
        </w:rPr>
        <w:t>top</w:t>
      </w:r>
      <w:r w:rsidRPr="009159A2">
        <w:rPr>
          <w:i/>
          <w:iCs/>
        </w:rPr>
        <w:t xml:space="preserve"> folder – </w:t>
      </w:r>
      <w:r w:rsidR="00BC6773" w:rsidRPr="009159A2">
        <w:rPr>
          <w:i/>
          <w:iCs/>
        </w:rPr>
        <w:t xml:space="preserve">folder containing </w:t>
      </w:r>
      <w:r w:rsidR="00BC6773">
        <w:rPr>
          <w:i/>
          <w:iCs/>
        </w:rPr>
        <w:t xml:space="preserve">document settings txt file, summary </w:t>
      </w:r>
      <w:r w:rsidR="00BC6773" w:rsidRPr="009159A2">
        <w:rPr>
          <w:i/>
          <w:iCs/>
        </w:rPr>
        <w:t>output txt</w:t>
      </w:r>
      <w:r w:rsidR="00BC6773">
        <w:rPr>
          <w:i/>
          <w:iCs/>
        </w:rPr>
        <w:t xml:space="preserve"> files, summary average spectra txt file, and optical and X-ray image </w:t>
      </w:r>
      <w:proofErr w:type="spellStart"/>
      <w:r w:rsidR="00BC6773">
        <w:rPr>
          <w:i/>
          <w:iCs/>
        </w:rPr>
        <w:t>tifs</w:t>
      </w:r>
      <w:proofErr w:type="spellEnd"/>
      <w:r w:rsidR="00BC6773">
        <w:rPr>
          <w:i/>
          <w:iCs/>
        </w:rPr>
        <w:t xml:space="preserve"> and a folder with all raw XRF spectra txt files </w:t>
      </w:r>
      <w:r>
        <w:rPr>
          <w:i/>
          <w:iCs/>
        </w:rPr>
        <w:t>for the Kite 2.1 core section</w:t>
      </w:r>
    </w:p>
    <w:p w14:paraId="2CB9C207" w14:textId="77777777" w:rsidR="00DB0D88" w:rsidRPr="0062237F" w:rsidRDefault="00DB0D88" w:rsidP="00DB0D88">
      <w:pPr>
        <w:pStyle w:val="ListParagraph"/>
        <w:spacing w:line="240" w:lineRule="auto"/>
        <w:ind w:left="425"/>
        <w:jc w:val="both"/>
        <w:rPr>
          <w:i/>
          <w:iCs/>
        </w:rPr>
      </w:pPr>
    </w:p>
    <w:p w14:paraId="7B9BDEB5" w14:textId="6D554C86" w:rsidR="006E0A3B" w:rsidRDefault="00C05F44" w:rsidP="00DB0D88">
      <w:pPr>
        <w:pStyle w:val="ListParagraph"/>
        <w:spacing w:line="240" w:lineRule="auto"/>
        <w:ind w:left="425"/>
        <w:jc w:val="both"/>
        <w:rPr>
          <w:i/>
          <w:iCs/>
        </w:rPr>
      </w:pPr>
      <w:r w:rsidRPr="00C05F44">
        <w:rPr>
          <w:i/>
          <w:iCs/>
        </w:rPr>
        <w:t>Kite_C14_data.csv – radiocarbon ages from the Kiteschsee Lake record</w:t>
      </w:r>
    </w:p>
    <w:p w14:paraId="7C65A38B" w14:textId="77777777" w:rsidR="00DB0D88" w:rsidRDefault="00DB0D88" w:rsidP="00DB0D88">
      <w:pPr>
        <w:pStyle w:val="ListParagraph"/>
        <w:spacing w:line="240" w:lineRule="auto"/>
        <w:ind w:left="425"/>
        <w:jc w:val="both"/>
        <w:rPr>
          <w:i/>
          <w:iCs/>
        </w:rPr>
      </w:pPr>
    </w:p>
    <w:p w14:paraId="5FAD8A3B" w14:textId="623FF6DE" w:rsidR="00C05F44" w:rsidRDefault="00C05F44" w:rsidP="00DB0D88">
      <w:pPr>
        <w:pStyle w:val="ListParagraph"/>
        <w:spacing w:line="240" w:lineRule="auto"/>
        <w:ind w:left="425"/>
        <w:jc w:val="both"/>
        <w:rPr>
          <w:i/>
          <w:iCs/>
        </w:rPr>
      </w:pPr>
      <w:r w:rsidRPr="00C05F44">
        <w:rPr>
          <w:i/>
          <w:iCs/>
        </w:rPr>
        <w:t>KITE_Diatoms_pc</w:t>
      </w:r>
      <w:r>
        <w:rPr>
          <w:i/>
          <w:iCs/>
        </w:rPr>
        <w:t xml:space="preserve">.csv – percentage count diatom data </w:t>
      </w:r>
    </w:p>
    <w:p w14:paraId="4AEE87BA" w14:textId="77777777" w:rsidR="00DB0D88" w:rsidRDefault="00DB0D88" w:rsidP="00DB0D88">
      <w:pPr>
        <w:pStyle w:val="ListParagraph"/>
        <w:spacing w:line="240" w:lineRule="auto"/>
        <w:ind w:left="425"/>
        <w:jc w:val="both"/>
        <w:rPr>
          <w:i/>
          <w:iCs/>
        </w:rPr>
      </w:pPr>
    </w:p>
    <w:p w14:paraId="315E15EE" w14:textId="3BD9C5AF" w:rsidR="00C05F44" w:rsidRDefault="00C05F44" w:rsidP="00DB0D88">
      <w:pPr>
        <w:pStyle w:val="ListParagraph"/>
        <w:spacing w:line="240" w:lineRule="auto"/>
        <w:ind w:left="425"/>
        <w:jc w:val="both"/>
        <w:rPr>
          <w:i/>
          <w:iCs/>
        </w:rPr>
      </w:pPr>
      <w:proofErr w:type="spellStart"/>
      <w:r w:rsidRPr="00C05F44">
        <w:rPr>
          <w:i/>
          <w:iCs/>
        </w:rPr>
        <w:t>KITE_Diatom_CONISS_PCA_sqrt</w:t>
      </w:r>
      <w:r>
        <w:rPr>
          <w:i/>
          <w:iCs/>
        </w:rPr>
        <w:t>.cvs</w:t>
      </w:r>
      <w:proofErr w:type="spellEnd"/>
      <w:r>
        <w:rPr>
          <w:i/>
          <w:iCs/>
        </w:rPr>
        <w:t xml:space="preserve"> – diatom data used in PCA analysis</w:t>
      </w:r>
    </w:p>
    <w:p w14:paraId="2C819F9F" w14:textId="77777777" w:rsidR="00DB0D88" w:rsidRDefault="00DB0D88" w:rsidP="00DB0D88">
      <w:pPr>
        <w:pStyle w:val="ListParagraph"/>
        <w:spacing w:line="240" w:lineRule="auto"/>
        <w:ind w:left="425"/>
        <w:jc w:val="both"/>
        <w:rPr>
          <w:i/>
          <w:iCs/>
        </w:rPr>
      </w:pPr>
    </w:p>
    <w:p w14:paraId="734FDE80" w14:textId="03D55076" w:rsidR="00C05F44" w:rsidRDefault="00C05F44" w:rsidP="00DB0D88">
      <w:pPr>
        <w:pStyle w:val="ListParagraph"/>
        <w:spacing w:line="240" w:lineRule="auto"/>
        <w:ind w:left="425"/>
        <w:jc w:val="both"/>
        <w:rPr>
          <w:i/>
          <w:iCs/>
        </w:rPr>
      </w:pPr>
      <w:proofErr w:type="spellStart"/>
      <w:r w:rsidRPr="00C05F44">
        <w:rPr>
          <w:i/>
          <w:iCs/>
        </w:rPr>
        <w:t>KITE_DMAR_MSCL_Density.csv_subsample</w:t>
      </w:r>
      <w:proofErr w:type="spellEnd"/>
      <w:r w:rsidRPr="00C05F44">
        <w:rPr>
          <w:i/>
          <w:iCs/>
        </w:rPr>
        <w:t xml:space="preserve"> </w:t>
      </w:r>
      <w:r>
        <w:rPr>
          <w:i/>
          <w:iCs/>
        </w:rPr>
        <w:t>density and GEOTEK MSCL (multi-sensor core logger) density data compared</w:t>
      </w:r>
    </w:p>
    <w:p w14:paraId="297C6D1A" w14:textId="77777777" w:rsidR="00DB0D88" w:rsidRDefault="00DB0D88" w:rsidP="00DB0D88">
      <w:pPr>
        <w:pStyle w:val="ListParagraph"/>
        <w:spacing w:line="240" w:lineRule="auto"/>
        <w:ind w:left="425"/>
        <w:jc w:val="both"/>
        <w:rPr>
          <w:i/>
          <w:iCs/>
        </w:rPr>
      </w:pPr>
    </w:p>
    <w:p w14:paraId="174D0452" w14:textId="257234B2" w:rsidR="00C05F44" w:rsidRDefault="00C05F44" w:rsidP="00DB0D88">
      <w:pPr>
        <w:pStyle w:val="ListParagraph"/>
        <w:spacing w:line="240" w:lineRule="auto"/>
        <w:ind w:left="425"/>
        <w:jc w:val="both"/>
        <w:rPr>
          <w:i/>
          <w:iCs/>
        </w:rPr>
      </w:pPr>
      <w:r w:rsidRPr="00C05F44">
        <w:rPr>
          <w:i/>
          <w:iCs/>
        </w:rPr>
        <w:t>KITE_GEOTEK_MSCL_0.5cm</w:t>
      </w:r>
      <w:r>
        <w:rPr>
          <w:i/>
          <w:iCs/>
        </w:rPr>
        <w:t>.csv – GEOTEK MSCL data</w:t>
      </w:r>
    </w:p>
    <w:p w14:paraId="295C579F" w14:textId="77777777" w:rsidR="00DB0D88" w:rsidRPr="00C05F44" w:rsidRDefault="00DB0D88" w:rsidP="00DB0D88">
      <w:pPr>
        <w:pStyle w:val="ListParagraph"/>
        <w:spacing w:line="240" w:lineRule="auto"/>
        <w:ind w:left="425"/>
        <w:jc w:val="both"/>
        <w:rPr>
          <w:i/>
          <w:iCs/>
        </w:rPr>
      </w:pPr>
    </w:p>
    <w:p w14:paraId="047CEE71" w14:textId="569A4920" w:rsidR="00655D5E" w:rsidRDefault="00655D5E" w:rsidP="00DB0D88">
      <w:pPr>
        <w:pStyle w:val="ListParagraph"/>
        <w:spacing w:line="240" w:lineRule="auto"/>
        <w:ind w:left="425"/>
        <w:jc w:val="both"/>
        <w:rPr>
          <w:i/>
          <w:iCs/>
        </w:rPr>
      </w:pPr>
      <w:r w:rsidRPr="00655D5E">
        <w:rPr>
          <w:i/>
          <w:iCs/>
        </w:rPr>
        <w:t>KITE_LOI_GrainSize.csv – grain size and lo</w:t>
      </w:r>
      <w:r>
        <w:rPr>
          <w:i/>
          <w:iCs/>
        </w:rPr>
        <w:t>ss-on-ignition data for the Kiteschsee Lake record</w:t>
      </w:r>
    </w:p>
    <w:p w14:paraId="77F42CB5" w14:textId="77777777" w:rsidR="00DB0D88" w:rsidRDefault="00DB0D88" w:rsidP="00DB0D88">
      <w:pPr>
        <w:pStyle w:val="ListParagraph"/>
        <w:spacing w:line="240" w:lineRule="auto"/>
        <w:ind w:left="425"/>
        <w:jc w:val="both"/>
        <w:rPr>
          <w:i/>
          <w:iCs/>
        </w:rPr>
      </w:pPr>
    </w:p>
    <w:p w14:paraId="1F0085A5" w14:textId="6D642505" w:rsidR="006E0A3B" w:rsidRDefault="00655D5E" w:rsidP="00DB0D88">
      <w:pPr>
        <w:pStyle w:val="ListParagraph"/>
        <w:spacing w:line="240" w:lineRule="auto"/>
        <w:ind w:left="425"/>
        <w:jc w:val="both"/>
        <w:rPr>
          <w:i/>
          <w:iCs/>
        </w:rPr>
      </w:pPr>
      <w:r w:rsidRPr="00655D5E">
        <w:rPr>
          <w:i/>
          <w:iCs/>
        </w:rPr>
        <w:t>KITE_Tephra_Count_data</w:t>
      </w:r>
      <w:r>
        <w:rPr>
          <w:i/>
          <w:iCs/>
        </w:rPr>
        <w:t>.csv – tephra shard count data for the Kiteschsee Lake record</w:t>
      </w:r>
    </w:p>
    <w:p w14:paraId="35ED2807" w14:textId="77777777" w:rsidR="00DB0D88" w:rsidRDefault="00DB0D88" w:rsidP="00DB0D88">
      <w:pPr>
        <w:pStyle w:val="ListParagraph"/>
        <w:spacing w:line="240" w:lineRule="auto"/>
        <w:ind w:left="425"/>
        <w:jc w:val="both"/>
        <w:rPr>
          <w:i/>
          <w:iCs/>
        </w:rPr>
      </w:pPr>
    </w:p>
    <w:p w14:paraId="2DAC192D" w14:textId="66256E15" w:rsidR="00B74DB7" w:rsidRPr="008318C3" w:rsidRDefault="00DD1137" w:rsidP="00DB0D88">
      <w:pPr>
        <w:pStyle w:val="ListParagraph"/>
        <w:spacing w:line="240" w:lineRule="auto"/>
        <w:ind w:left="425"/>
        <w:jc w:val="both"/>
        <w:rPr>
          <w:i/>
          <w:iCs/>
        </w:rPr>
      </w:pPr>
      <w:r>
        <w:rPr>
          <w:i/>
          <w:iCs/>
        </w:rPr>
        <w:t>EPMA_db.csv – new compilation of major element tephra shard geochemistry from South America  and the Antarctic used for data analysis and comparison tephra data from to the Kiteschsee Lake record</w:t>
      </w:r>
    </w:p>
    <w:p w14:paraId="517568FA" w14:textId="77777777" w:rsidR="00CA257C" w:rsidRPr="00DB0D88" w:rsidRDefault="705850E3" w:rsidP="00DB0D88">
      <w:pPr>
        <w:spacing w:line="240" w:lineRule="auto"/>
        <w:ind w:left="425"/>
        <w:jc w:val="both"/>
        <w:rPr>
          <w:color w:val="1F4E79" w:themeColor="accent1" w:themeShade="80"/>
        </w:rPr>
      </w:pPr>
      <w:r w:rsidRPr="00DB0D88">
        <w:rPr>
          <w:color w:val="1F4E79" w:themeColor="accent1" w:themeShade="80"/>
        </w:rPr>
        <w:t>Access constraints</w:t>
      </w:r>
    </w:p>
    <w:p w14:paraId="3700A9FE" w14:textId="6D4ED7B2" w:rsidR="004A3D24" w:rsidRPr="003824C0" w:rsidRDefault="00640EFD" w:rsidP="00DB0D88">
      <w:pPr>
        <w:pStyle w:val="ListParagraph"/>
        <w:spacing w:line="240" w:lineRule="auto"/>
        <w:ind w:left="425"/>
        <w:jc w:val="both"/>
        <w:rPr>
          <w:i/>
          <w:iCs/>
        </w:rPr>
      </w:pPr>
      <w:r>
        <w:rPr>
          <w:i/>
          <w:iCs/>
        </w:rPr>
        <w:t xml:space="preserve">None after publication but </w:t>
      </w:r>
      <w:r w:rsidR="00F329A7" w:rsidRPr="003824C0">
        <w:rPr>
          <w:i/>
          <w:iCs/>
        </w:rPr>
        <w:t>a log in for reviewers</w:t>
      </w:r>
      <w:r w:rsidR="002B41DC" w:rsidRPr="003824C0">
        <w:rPr>
          <w:i/>
          <w:iCs/>
        </w:rPr>
        <w:t xml:space="preserve"> to access an embargoed dataset is needed</w:t>
      </w:r>
      <w:r w:rsidR="00F329A7" w:rsidRPr="003824C0">
        <w:rPr>
          <w:i/>
          <w:iCs/>
        </w:rPr>
        <w:t>.</w:t>
      </w:r>
    </w:p>
    <w:p w14:paraId="53128261" w14:textId="77777777" w:rsidR="00E920D6" w:rsidRPr="003824C0" w:rsidRDefault="00E920D6" w:rsidP="00DB0D88">
      <w:pPr>
        <w:pStyle w:val="ListParagraph"/>
        <w:spacing w:line="240" w:lineRule="auto"/>
        <w:ind w:left="425"/>
        <w:jc w:val="both"/>
        <w:rPr>
          <w:i/>
        </w:rPr>
      </w:pPr>
    </w:p>
    <w:p w14:paraId="74FCEA7E" w14:textId="77777777" w:rsidR="00E920D6" w:rsidRPr="00DB0D88" w:rsidRDefault="705850E3" w:rsidP="00DB0D88">
      <w:pPr>
        <w:spacing w:line="240" w:lineRule="auto"/>
        <w:ind w:left="425"/>
        <w:jc w:val="both"/>
        <w:rPr>
          <w:color w:val="1F4E79" w:themeColor="accent1" w:themeShade="80"/>
        </w:rPr>
      </w:pPr>
      <w:r w:rsidRPr="00DB0D88">
        <w:rPr>
          <w:color w:val="1F4E79" w:themeColor="accent1" w:themeShade="80"/>
        </w:rPr>
        <w:t>Use constraints</w:t>
      </w:r>
    </w:p>
    <w:p w14:paraId="13DE2DAD" w14:textId="04C46C33" w:rsidR="00BC5B87" w:rsidRPr="003824C0" w:rsidRDefault="7729177D" w:rsidP="00DB0D88">
      <w:pPr>
        <w:pStyle w:val="ListParagraph"/>
        <w:spacing w:line="240" w:lineRule="auto"/>
        <w:ind w:left="425"/>
        <w:jc w:val="both"/>
        <w:rPr>
          <w:i/>
          <w:iCs/>
        </w:rPr>
      </w:pPr>
      <w:r w:rsidRPr="003824C0">
        <w:rPr>
          <w:i/>
          <w:iCs/>
        </w:rPr>
        <w:t xml:space="preserve">NERC-funded data, </w:t>
      </w:r>
      <w:r w:rsidR="00640EFD">
        <w:rPr>
          <w:i/>
          <w:iCs/>
        </w:rPr>
        <w:t xml:space="preserve">so </w:t>
      </w:r>
      <w:r w:rsidRPr="003824C0">
        <w:rPr>
          <w:i/>
          <w:iCs/>
        </w:rPr>
        <w:t xml:space="preserve">the </w:t>
      </w:r>
      <w:hyperlink r:id="rId12" w:history="1">
        <w:r w:rsidRPr="003824C0">
          <w:rPr>
            <w:rStyle w:val="Hyperlink"/>
            <w:i/>
            <w:iCs/>
          </w:rPr>
          <w:t>Open Government Licence</w:t>
        </w:r>
      </w:hyperlink>
      <w:r w:rsidRPr="003824C0">
        <w:rPr>
          <w:i/>
          <w:iCs/>
        </w:rPr>
        <w:t xml:space="preserve"> </w:t>
      </w:r>
      <w:r w:rsidR="00640EFD">
        <w:rPr>
          <w:i/>
          <w:iCs/>
        </w:rPr>
        <w:t>applies</w:t>
      </w:r>
      <w:r w:rsidR="007943BB" w:rsidRPr="003824C0">
        <w:rPr>
          <w:i/>
          <w:iCs/>
        </w:rPr>
        <w:t>.</w:t>
      </w:r>
    </w:p>
    <w:p w14:paraId="62486C05" w14:textId="77777777" w:rsidR="00C57E1F" w:rsidRPr="003824C0" w:rsidRDefault="00C57E1F" w:rsidP="00DB0D88">
      <w:pPr>
        <w:pStyle w:val="ListParagraph"/>
        <w:spacing w:line="240" w:lineRule="auto"/>
        <w:ind w:left="425"/>
        <w:jc w:val="both"/>
      </w:pPr>
    </w:p>
    <w:p w14:paraId="4101652C" w14:textId="5808B746" w:rsidR="001020B8" w:rsidRPr="003824C0" w:rsidRDefault="001020B8" w:rsidP="00DB0D88">
      <w:pPr>
        <w:pStyle w:val="ListParagraph"/>
        <w:spacing w:line="240" w:lineRule="auto"/>
        <w:ind w:left="425"/>
        <w:jc w:val="both"/>
      </w:pPr>
    </w:p>
    <w:sectPr w:rsidR="001020B8" w:rsidRPr="003824C0">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4B5A" w14:textId="77777777" w:rsidR="00D47651" w:rsidRDefault="00D47651">
      <w:pPr>
        <w:spacing w:after="0" w:line="240" w:lineRule="auto"/>
      </w:pPr>
      <w:r>
        <w:separator/>
      </w:r>
    </w:p>
  </w:endnote>
  <w:endnote w:type="continuationSeparator" w:id="0">
    <w:p w14:paraId="415766C9" w14:textId="77777777" w:rsidR="00D47651" w:rsidRDefault="00D4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5869D039" w14:paraId="150D2C65" w14:textId="77777777" w:rsidTr="5869D039">
      <w:tc>
        <w:tcPr>
          <w:tcW w:w="3009" w:type="dxa"/>
        </w:tcPr>
        <w:p w14:paraId="708A6FA3" w14:textId="0CBE94D3" w:rsidR="5869D039" w:rsidRDefault="5869D039" w:rsidP="00447BC6">
          <w:pPr>
            <w:pStyle w:val="Header"/>
            <w:ind w:left="426"/>
          </w:pPr>
        </w:p>
      </w:tc>
      <w:tc>
        <w:tcPr>
          <w:tcW w:w="3009" w:type="dxa"/>
        </w:tcPr>
        <w:p w14:paraId="4D114977" w14:textId="317B3F0D" w:rsidR="5869D039" w:rsidRDefault="5869D039" w:rsidP="5869D039">
          <w:pPr>
            <w:pStyle w:val="Header"/>
            <w:jc w:val="center"/>
          </w:pPr>
        </w:p>
      </w:tc>
      <w:tc>
        <w:tcPr>
          <w:tcW w:w="3009" w:type="dxa"/>
        </w:tcPr>
        <w:p w14:paraId="67D6874F" w14:textId="5BEF5D9B" w:rsidR="5869D039" w:rsidRDefault="5869D039" w:rsidP="5869D039">
          <w:pPr>
            <w:pStyle w:val="Header"/>
            <w:ind w:right="-115"/>
            <w:jc w:val="right"/>
          </w:pPr>
        </w:p>
      </w:tc>
    </w:tr>
  </w:tbl>
  <w:p w14:paraId="25F1D60F" w14:textId="38506116" w:rsidR="5869D039" w:rsidRDefault="5869D039" w:rsidP="5869D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E1E8" w14:textId="77777777" w:rsidR="00D47651" w:rsidRDefault="00D47651">
      <w:pPr>
        <w:spacing w:after="0" w:line="240" w:lineRule="auto"/>
      </w:pPr>
      <w:r>
        <w:separator/>
      </w:r>
    </w:p>
  </w:footnote>
  <w:footnote w:type="continuationSeparator" w:id="0">
    <w:p w14:paraId="53FE2474" w14:textId="77777777" w:rsidR="00D47651" w:rsidRDefault="00D47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6344"/>
    <w:multiLevelType w:val="hybridMultilevel"/>
    <w:tmpl w:val="FD9283BA"/>
    <w:lvl w:ilvl="0" w:tplc="21365B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EE459E"/>
    <w:multiLevelType w:val="hybridMultilevel"/>
    <w:tmpl w:val="8CF86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C07A8"/>
    <w:multiLevelType w:val="hybridMultilevel"/>
    <w:tmpl w:val="E80A58BC"/>
    <w:lvl w:ilvl="0" w:tplc="5ADAEDC0">
      <w:start w:val="10"/>
      <w:numFmt w:val="bullet"/>
      <w:lvlText w:val="-"/>
      <w:lvlJc w:val="left"/>
      <w:pPr>
        <w:ind w:left="1789" w:hanging="360"/>
      </w:pPr>
      <w:rPr>
        <w:rFonts w:ascii="Calibri" w:eastAsiaTheme="minorHAnsi" w:hAnsi="Calibri" w:cs="Calibri"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3F461192"/>
    <w:multiLevelType w:val="hybridMultilevel"/>
    <w:tmpl w:val="89120D8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A15559"/>
    <w:multiLevelType w:val="hybridMultilevel"/>
    <w:tmpl w:val="DC320F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561413E"/>
    <w:multiLevelType w:val="hybridMultilevel"/>
    <w:tmpl w:val="3D683CC2"/>
    <w:lvl w:ilvl="0" w:tplc="E4C87A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D8D4235"/>
    <w:multiLevelType w:val="hybridMultilevel"/>
    <w:tmpl w:val="73063D16"/>
    <w:lvl w:ilvl="0" w:tplc="5ADAEDC0">
      <w:start w:val="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014267D"/>
    <w:multiLevelType w:val="hybridMultilevel"/>
    <w:tmpl w:val="0EC4B356"/>
    <w:lvl w:ilvl="0" w:tplc="8C5053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595937"/>
    <w:multiLevelType w:val="hybridMultilevel"/>
    <w:tmpl w:val="820A519C"/>
    <w:lvl w:ilvl="0" w:tplc="ED465A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65952008">
    <w:abstractNumId w:val="1"/>
  </w:num>
  <w:num w:numId="2" w16cid:durableId="953096809">
    <w:abstractNumId w:val="3"/>
  </w:num>
  <w:num w:numId="3" w16cid:durableId="404844307">
    <w:abstractNumId w:val="4"/>
  </w:num>
  <w:num w:numId="4" w16cid:durableId="643583033">
    <w:abstractNumId w:val="6"/>
  </w:num>
  <w:num w:numId="5" w16cid:durableId="1492285767">
    <w:abstractNumId w:val="0"/>
  </w:num>
  <w:num w:numId="6" w16cid:durableId="1280525894">
    <w:abstractNumId w:val="8"/>
  </w:num>
  <w:num w:numId="7" w16cid:durableId="1501265047">
    <w:abstractNumId w:val="7"/>
  </w:num>
  <w:num w:numId="8" w16cid:durableId="2060854412">
    <w:abstractNumId w:val="2"/>
  </w:num>
  <w:num w:numId="9" w16cid:durableId="1066613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 Science_sjro&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A257C"/>
    <w:rsid w:val="00004DD2"/>
    <w:rsid w:val="000136F9"/>
    <w:rsid w:val="000204FE"/>
    <w:rsid w:val="00024283"/>
    <w:rsid w:val="00025724"/>
    <w:rsid w:val="00032C6A"/>
    <w:rsid w:val="00056EE8"/>
    <w:rsid w:val="00060466"/>
    <w:rsid w:val="00090645"/>
    <w:rsid w:val="000A26C3"/>
    <w:rsid w:val="000A30C3"/>
    <w:rsid w:val="000B189C"/>
    <w:rsid w:val="000B27D1"/>
    <w:rsid w:val="000C1A8E"/>
    <w:rsid w:val="000C22B8"/>
    <w:rsid w:val="000C23CB"/>
    <w:rsid w:val="000D52CE"/>
    <w:rsid w:val="000E3608"/>
    <w:rsid w:val="000E47AE"/>
    <w:rsid w:val="000E5178"/>
    <w:rsid w:val="00100A9E"/>
    <w:rsid w:val="001020B8"/>
    <w:rsid w:val="001174F4"/>
    <w:rsid w:val="00121D98"/>
    <w:rsid w:val="00121FBE"/>
    <w:rsid w:val="00144E9A"/>
    <w:rsid w:val="00165A3C"/>
    <w:rsid w:val="00180177"/>
    <w:rsid w:val="00182B21"/>
    <w:rsid w:val="001976B3"/>
    <w:rsid w:val="001A7F0D"/>
    <w:rsid w:val="001B01EC"/>
    <w:rsid w:val="001D4CDB"/>
    <w:rsid w:val="001F31A3"/>
    <w:rsid w:val="0020032B"/>
    <w:rsid w:val="00201768"/>
    <w:rsid w:val="002018A5"/>
    <w:rsid w:val="00201FBF"/>
    <w:rsid w:val="00212895"/>
    <w:rsid w:val="002144DD"/>
    <w:rsid w:val="002170D7"/>
    <w:rsid w:val="00236079"/>
    <w:rsid w:val="0023723B"/>
    <w:rsid w:val="00241DC5"/>
    <w:rsid w:val="00243456"/>
    <w:rsid w:val="00244A38"/>
    <w:rsid w:val="00250004"/>
    <w:rsid w:val="002506B8"/>
    <w:rsid w:val="0025207D"/>
    <w:rsid w:val="0026030F"/>
    <w:rsid w:val="002654C5"/>
    <w:rsid w:val="002660E9"/>
    <w:rsid w:val="002709A4"/>
    <w:rsid w:val="0027438A"/>
    <w:rsid w:val="00277CF3"/>
    <w:rsid w:val="002B0D38"/>
    <w:rsid w:val="002B41DC"/>
    <w:rsid w:val="002B635E"/>
    <w:rsid w:val="002C44CF"/>
    <w:rsid w:val="002C5F9D"/>
    <w:rsid w:val="002E1345"/>
    <w:rsid w:val="002E29C6"/>
    <w:rsid w:val="002E542E"/>
    <w:rsid w:val="003022FE"/>
    <w:rsid w:val="00304A4A"/>
    <w:rsid w:val="00311C3B"/>
    <w:rsid w:val="00312DFD"/>
    <w:rsid w:val="0033420D"/>
    <w:rsid w:val="003408DD"/>
    <w:rsid w:val="003411DE"/>
    <w:rsid w:val="0035186A"/>
    <w:rsid w:val="00364171"/>
    <w:rsid w:val="003824C0"/>
    <w:rsid w:val="003C26C2"/>
    <w:rsid w:val="003E7A0D"/>
    <w:rsid w:val="003F4C18"/>
    <w:rsid w:val="004000BD"/>
    <w:rsid w:val="00401D1E"/>
    <w:rsid w:val="00422AC5"/>
    <w:rsid w:val="00435E10"/>
    <w:rsid w:val="00436055"/>
    <w:rsid w:val="00446798"/>
    <w:rsid w:val="00447BC6"/>
    <w:rsid w:val="00453056"/>
    <w:rsid w:val="00455F61"/>
    <w:rsid w:val="004574D9"/>
    <w:rsid w:val="00460BD9"/>
    <w:rsid w:val="004936D2"/>
    <w:rsid w:val="00493AA8"/>
    <w:rsid w:val="00494314"/>
    <w:rsid w:val="004A3D24"/>
    <w:rsid w:val="004A7E69"/>
    <w:rsid w:val="004B2D64"/>
    <w:rsid w:val="004B393A"/>
    <w:rsid w:val="004C760F"/>
    <w:rsid w:val="004E5DA1"/>
    <w:rsid w:val="004E68F1"/>
    <w:rsid w:val="004F1D4F"/>
    <w:rsid w:val="004F4491"/>
    <w:rsid w:val="004F79BC"/>
    <w:rsid w:val="00502EB8"/>
    <w:rsid w:val="00507C39"/>
    <w:rsid w:val="00514869"/>
    <w:rsid w:val="0051760A"/>
    <w:rsid w:val="00520399"/>
    <w:rsid w:val="0052444A"/>
    <w:rsid w:val="0052556D"/>
    <w:rsid w:val="005279DD"/>
    <w:rsid w:val="00532AEA"/>
    <w:rsid w:val="00540017"/>
    <w:rsid w:val="00551D2B"/>
    <w:rsid w:val="00554547"/>
    <w:rsid w:val="005614BC"/>
    <w:rsid w:val="005653A3"/>
    <w:rsid w:val="005A256D"/>
    <w:rsid w:val="005B5513"/>
    <w:rsid w:val="005C1F6E"/>
    <w:rsid w:val="005C3B02"/>
    <w:rsid w:val="005E3331"/>
    <w:rsid w:val="005E4E08"/>
    <w:rsid w:val="005E75D6"/>
    <w:rsid w:val="005F1D11"/>
    <w:rsid w:val="005F2FEC"/>
    <w:rsid w:val="005F6C02"/>
    <w:rsid w:val="006109D9"/>
    <w:rsid w:val="00611D1E"/>
    <w:rsid w:val="006166D1"/>
    <w:rsid w:val="0062237F"/>
    <w:rsid w:val="00623543"/>
    <w:rsid w:val="00640EFD"/>
    <w:rsid w:val="006554D4"/>
    <w:rsid w:val="00655D5E"/>
    <w:rsid w:val="00666575"/>
    <w:rsid w:val="00673ECB"/>
    <w:rsid w:val="00675DAF"/>
    <w:rsid w:val="006776D3"/>
    <w:rsid w:val="00697EEE"/>
    <w:rsid w:val="006A10A1"/>
    <w:rsid w:val="006A4ACC"/>
    <w:rsid w:val="006C5267"/>
    <w:rsid w:val="006D0E40"/>
    <w:rsid w:val="006D0EC4"/>
    <w:rsid w:val="006D14AA"/>
    <w:rsid w:val="006E0A3B"/>
    <w:rsid w:val="006F26BE"/>
    <w:rsid w:val="006F52EA"/>
    <w:rsid w:val="00707013"/>
    <w:rsid w:val="00707DBD"/>
    <w:rsid w:val="00713B36"/>
    <w:rsid w:val="00764259"/>
    <w:rsid w:val="00771C84"/>
    <w:rsid w:val="00777631"/>
    <w:rsid w:val="007943BB"/>
    <w:rsid w:val="007C5CE3"/>
    <w:rsid w:val="007D2B88"/>
    <w:rsid w:val="007D5BA1"/>
    <w:rsid w:val="007F0569"/>
    <w:rsid w:val="007F3D0A"/>
    <w:rsid w:val="00805F00"/>
    <w:rsid w:val="008103AD"/>
    <w:rsid w:val="008151A0"/>
    <w:rsid w:val="00815699"/>
    <w:rsid w:val="0081702E"/>
    <w:rsid w:val="008318C3"/>
    <w:rsid w:val="00834A07"/>
    <w:rsid w:val="00867EAA"/>
    <w:rsid w:val="00894089"/>
    <w:rsid w:val="008A379A"/>
    <w:rsid w:val="008A7FAD"/>
    <w:rsid w:val="008B63A6"/>
    <w:rsid w:val="008E1C6E"/>
    <w:rsid w:val="008E2AE4"/>
    <w:rsid w:val="008F08FD"/>
    <w:rsid w:val="008F3BAD"/>
    <w:rsid w:val="009159A2"/>
    <w:rsid w:val="009334FB"/>
    <w:rsid w:val="00936ED5"/>
    <w:rsid w:val="0094369E"/>
    <w:rsid w:val="00951DE6"/>
    <w:rsid w:val="009566D6"/>
    <w:rsid w:val="009570F7"/>
    <w:rsid w:val="00961959"/>
    <w:rsid w:val="00971BE8"/>
    <w:rsid w:val="00973D8D"/>
    <w:rsid w:val="009942E6"/>
    <w:rsid w:val="009A2CCF"/>
    <w:rsid w:val="009C16AE"/>
    <w:rsid w:val="009C4ECA"/>
    <w:rsid w:val="009D6CB8"/>
    <w:rsid w:val="009E1CBF"/>
    <w:rsid w:val="009E5219"/>
    <w:rsid w:val="009F6F8D"/>
    <w:rsid w:val="00A04FF3"/>
    <w:rsid w:val="00A14388"/>
    <w:rsid w:val="00A165F5"/>
    <w:rsid w:val="00A178DD"/>
    <w:rsid w:val="00A26AE1"/>
    <w:rsid w:val="00A5498B"/>
    <w:rsid w:val="00A643E5"/>
    <w:rsid w:val="00A867E8"/>
    <w:rsid w:val="00A8726B"/>
    <w:rsid w:val="00A948D3"/>
    <w:rsid w:val="00AA3659"/>
    <w:rsid w:val="00AB090A"/>
    <w:rsid w:val="00AB5070"/>
    <w:rsid w:val="00B24090"/>
    <w:rsid w:val="00B35786"/>
    <w:rsid w:val="00B36962"/>
    <w:rsid w:val="00B53A52"/>
    <w:rsid w:val="00B646CA"/>
    <w:rsid w:val="00B74DB7"/>
    <w:rsid w:val="00B837FE"/>
    <w:rsid w:val="00B935EC"/>
    <w:rsid w:val="00BB219E"/>
    <w:rsid w:val="00BB295E"/>
    <w:rsid w:val="00BB4B83"/>
    <w:rsid w:val="00BB56EE"/>
    <w:rsid w:val="00BC471A"/>
    <w:rsid w:val="00BC5848"/>
    <w:rsid w:val="00BC5B87"/>
    <w:rsid w:val="00BC61B3"/>
    <w:rsid w:val="00BC6773"/>
    <w:rsid w:val="00BD20EE"/>
    <w:rsid w:val="00BE3546"/>
    <w:rsid w:val="00BF3996"/>
    <w:rsid w:val="00C05F44"/>
    <w:rsid w:val="00C25EFB"/>
    <w:rsid w:val="00C32993"/>
    <w:rsid w:val="00C32E2C"/>
    <w:rsid w:val="00C57E1F"/>
    <w:rsid w:val="00C86C32"/>
    <w:rsid w:val="00CA257C"/>
    <w:rsid w:val="00CA2671"/>
    <w:rsid w:val="00CA502F"/>
    <w:rsid w:val="00CB2041"/>
    <w:rsid w:val="00CD2B58"/>
    <w:rsid w:val="00CD4342"/>
    <w:rsid w:val="00CF48A8"/>
    <w:rsid w:val="00D000E1"/>
    <w:rsid w:val="00D13E75"/>
    <w:rsid w:val="00D2488C"/>
    <w:rsid w:val="00D26E05"/>
    <w:rsid w:val="00D27892"/>
    <w:rsid w:val="00D36132"/>
    <w:rsid w:val="00D44C2A"/>
    <w:rsid w:val="00D47651"/>
    <w:rsid w:val="00D51F2D"/>
    <w:rsid w:val="00D53968"/>
    <w:rsid w:val="00D723E8"/>
    <w:rsid w:val="00DA164A"/>
    <w:rsid w:val="00DB0D88"/>
    <w:rsid w:val="00DD0DE6"/>
    <w:rsid w:val="00DD1137"/>
    <w:rsid w:val="00DF439C"/>
    <w:rsid w:val="00E01BB2"/>
    <w:rsid w:val="00E07483"/>
    <w:rsid w:val="00E14EDB"/>
    <w:rsid w:val="00E16B6E"/>
    <w:rsid w:val="00E226AD"/>
    <w:rsid w:val="00E27D74"/>
    <w:rsid w:val="00E3003A"/>
    <w:rsid w:val="00E317FA"/>
    <w:rsid w:val="00E52D80"/>
    <w:rsid w:val="00E61076"/>
    <w:rsid w:val="00E75305"/>
    <w:rsid w:val="00E813EA"/>
    <w:rsid w:val="00E920D6"/>
    <w:rsid w:val="00E92FD4"/>
    <w:rsid w:val="00E93B77"/>
    <w:rsid w:val="00ED3763"/>
    <w:rsid w:val="00ED6D6F"/>
    <w:rsid w:val="00EE0A23"/>
    <w:rsid w:val="00EE76B3"/>
    <w:rsid w:val="00F04E99"/>
    <w:rsid w:val="00F20455"/>
    <w:rsid w:val="00F329A7"/>
    <w:rsid w:val="00F344D4"/>
    <w:rsid w:val="00F44EAB"/>
    <w:rsid w:val="00F51124"/>
    <w:rsid w:val="00F51825"/>
    <w:rsid w:val="00F62420"/>
    <w:rsid w:val="00F637AD"/>
    <w:rsid w:val="00F66ADA"/>
    <w:rsid w:val="00F7135A"/>
    <w:rsid w:val="00FB3121"/>
    <w:rsid w:val="00FC6E06"/>
    <w:rsid w:val="00FD46BA"/>
    <w:rsid w:val="00FF499F"/>
    <w:rsid w:val="151E33FA"/>
    <w:rsid w:val="174F6A29"/>
    <w:rsid w:val="3CA0B6E3"/>
    <w:rsid w:val="3E2A8FB9"/>
    <w:rsid w:val="5757B2EB"/>
    <w:rsid w:val="579A80FA"/>
    <w:rsid w:val="5869D039"/>
    <w:rsid w:val="5DDD8034"/>
    <w:rsid w:val="5E2A7847"/>
    <w:rsid w:val="69C99CC5"/>
    <w:rsid w:val="705850E3"/>
    <w:rsid w:val="709447D5"/>
    <w:rsid w:val="7729177D"/>
    <w:rsid w:val="7AF52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DB9C"/>
  <w15:chartTrackingRefBased/>
  <w15:docId w15:val="{D515CAAE-A531-4321-BD61-513C0061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57C"/>
    <w:pPr>
      <w:ind w:left="720"/>
      <w:contextualSpacing/>
    </w:pPr>
  </w:style>
  <w:style w:type="table" w:styleId="TableGrid">
    <w:name w:val="Table Grid"/>
    <w:basedOn w:val="TableNormal"/>
    <w:uiPriority w:val="39"/>
    <w:rsid w:val="007F3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20D6"/>
    <w:pPr>
      <w:spacing w:after="0" w:line="240" w:lineRule="auto"/>
    </w:pPr>
  </w:style>
  <w:style w:type="paragraph" w:styleId="BalloonText">
    <w:name w:val="Balloon Text"/>
    <w:basedOn w:val="Normal"/>
    <w:link w:val="BalloonTextChar"/>
    <w:uiPriority w:val="99"/>
    <w:semiHidden/>
    <w:unhideWhenUsed/>
    <w:rsid w:val="00E92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0D6"/>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43BB"/>
    <w:rPr>
      <w:b/>
      <w:bCs/>
    </w:rPr>
  </w:style>
  <w:style w:type="character" w:customStyle="1" w:styleId="CommentSubjectChar">
    <w:name w:val="Comment Subject Char"/>
    <w:basedOn w:val="CommentTextChar"/>
    <w:link w:val="CommentSubject"/>
    <w:uiPriority w:val="99"/>
    <w:semiHidden/>
    <w:rsid w:val="007943BB"/>
    <w:rPr>
      <w:b/>
      <w:bCs/>
      <w:sz w:val="20"/>
      <w:szCs w:val="20"/>
    </w:rPr>
  </w:style>
  <w:style w:type="paragraph" w:styleId="NoSpacing">
    <w:name w:val="No Spacing"/>
    <w:uiPriority w:val="1"/>
    <w:unhideWhenUsed/>
    <w:qFormat/>
    <w:rsid w:val="003E7A0D"/>
    <w:pPr>
      <w:spacing w:after="0" w:line="240" w:lineRule="auto"/>
    </w:pPr>
    <w:rPr>
      <w:rFonts w:ascii="Times New Roman" w:hAnsi="Times New Roman"/>
      <w:sz w:val="24"/>
      <w:lang w:val="en-US"/>
    </w:rPr>
  </w:style>
  <w:style w:type="character" w:styleId="UnresolvedMention">
    <w:name w:val="Unresolved Mention"/>
    <w:basedOn w:val="DefaultParagraphFont"/>
    <w:uiPriority w:val="99"/>
    <w:semiHidden/>
    <w:unhideWhenUsed/>
    <w:rsid w:val="00673ECB"/>
    <w:rPr>
      <w:color w:val="605E5C"/>
      <w:shd w:val="clear" w:color="auto" w:fill="E1DFDD"/>
    </w:rPr>
  </w:style>
  <w:style w:type="character" w:styleId="FollowedHyperlink">
    <w:name w:val="FollowedHyperlink"/>
    <w:basedOn w:val="DefaultParagraphFont"/>
    <w:uiPriority w:val="99"/>
    <w:semiHidden/>
    <w:unhideWhenUsed/>
    <w:rsid w:val="00D26E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2929">
      <w:bodyDiv w:val="1"/>
      <w:marLeft w:val="0"/>
      <w:marRight w:val="0"/>
      <w:marTop w:val="0"/>
      <w:marBottom w:val="0"/>
      <w:divBdr>
        <w:top w:val="none" w:sz="0" w:space="0" w:color="auto"/>
        <w:left w:val="none" w:sz="0" w:space="0" w:color="auto"/>
        <w:bottom w:val="none" w:sz="0" w:space="0" w:color="auto"/>
        <w:right w:val="none" w:sz="0" w:space="0" w:color="auto"/>
      </w:divBdr>
    </w:div>
    <w:div w:id="658459392">
      <w:bodyDiv w:val="1"/>
      <w:marLeft w:val="0"/>
      <w:marRight w:val="0"/>
      <w:marTop w:val="0"/>
      <w:marBottom w:val="0"/>
      <w:divBdr>
        <w:top w:val="none" w:sz="0" w:space="0" w:color="auto"/>
        <w:left w:val="none" w:sz="0" w:space="0" w:color="auto"/>
        <w:bottom w:val="none" w:sz="0" w:space="0" w:color="auto"/>
        <w:right w:val="none" w:sz="0" w:space="0" w:color="auto"/>
      </w:divBdr>
    </w:div>
    <w:div w:id="1877766865">
      <w:bodyDiv w:val="1"/>
      <w:marLeft w:val="0"/>
      <w:marRight w:val="0"/>
      <w:marTop w:val="0"/>
      <w:marBottom w:val="0"/>
      <w:divBdr>
        <w:top w:val="none" w:sz="0" w:space="0" w:color="auto"/>
        <w:left w:val="none" w:sz="0" w:space="0" w:color="auto"/>
        <w:bottom w:val="none" w:sz="0" w:space="0" w:color="auto"/>
        <w:right w:val="none" w:sz="0" w:space="0" w:color="auto"/>
      </w:divBdr>
    </w:div>
    <w:div w:id="21455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ationalarchives.gov.uk/doc/open-government-licence/version/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ithub.com/stever6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9FA22547EBB84A98E28FD638E4DC7A" ma:contentTypeVersion="13" ma:contentTypeDescription="Create a new document." ma:contentTypeScope="" ma:versionID="b8b1fb532b3ebfecaa520e2289fdfc42">
  <xsd:schema xmlns:xsd="http://www.w3.org/2001/XMLSchema" xmlns:xs="http://www.w3.org/2001/XMLSchema" xmlns:p="http://schemas.microsoft.com/office/2006/metadata/properties" xmlns:ns2="5f5008ce-241b-407f-8831-3692134e823a" xmlns:ns3="081e9600-e0d3-4ad8-9566-62209e1cdab5" targetNamespace="http://schemas.microsoft.com/office/2006/metadata/properties" ma:root="true" ma:fieldsID="009f1be38d0630598579e965e4175f5b" ns2:_="" ns3:_="">
    <xsd:import namespace="5f5008ce-241b-407f-8831-3692134e823a"/>
    <xsd:import namespace="081e9600-e0d3-4ad8-9566-62209e1cda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008ce-241b-407f-8831-3692134e8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1e9600-e0d3-4ad8-9566-62209e1cdab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EDB3D5-65C6-4AC8-8EDC-1A81AB8FE9BF}">
  <ds:schemaRefs>
    <ds:schemaRef ds:uri="http://schemas.microsoft.com/sharepoint/v3/contenttype/forms"/>
  </ds:schemaRefs>
</ds:datastoreItem>
</file>

<file path=customXml/itemProps2.xml><?xml version="1.0" encoding="utf-8"?>
<ds:datastoreItem xmlns:ds="http://schemas.openxmlformats.org/officeDocument/2006/customXml" ds:itemID="{1654350B-DF79-4E03-A216-961CC89F8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008ce-241b-407f-8831-3692134e823a"/>
    <ds:schemaRef ds:uri="081e9600-e0d3-4ad8-9566-62209e1c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D79BFB-A477-4EA1-8BF9-5D1D31FC877E}">
  <ds:schemaRefs>
    <ds:schemaRef ds:uri="http://schemas.openxmlformats.org/officeDocument/2006/bibliography"/>
  </ds:schemaRefs>
</ds:datastoreItem>
</file>

<file path=customXml/itemProps4.xml><?xml version="1.0" encoding="utf-8"?>
<ds:datastoreItem xmlns:ds="http://schemas.openxmlformats.org/officeDocument/2006/customXml" ds:itemID="{EE2BB4C9-3B79-4929-9110-B27EBC74CA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Buckland, Katy</dc:creator>
  <cp:keywords/>
  <dc:description/>
  <cp:lastModifiedBy>Stephen Roberts - BAS</cp:lastModifiedBy>
  <cp:revision>33</cp:revision>
  <dcterms:created xsi:type="dcterms:W3CDTF">2022-10-06T15:40:00Z</dcterms:created>
  <dcterms:modified xsi:type="dcterms:W3CDTF">2022-12-08T15:59:00Z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0x010100A39FA22547EBB84A98E28FD638E4DC7A</vt:lpwstr>
  </property>
</Properties>
</file>