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60"/>
        <w:jc w:val="center"/>
      </w:pPr>
      <w:r>
        <w:rPr>
          <w:rFonts w:ascii="Arial" w:cs="Arial" w:eastAsia="Arial" w:hAnsi="Arial"/>
          <w:b/>
          <w:bCs/>
          <w:color w:val="1F3864"/>
          <w:sz w:val="52"/>
          <w:szCs w:val="52"/>
        </w:rPr>
        <w:t xml:space="preserve">4. System Design Documentation</w:t>
      </w:r>
    </w:p>
    <w:p>
      <w:pPr>
        <w:spacing w:after="60"/>
        <w:jc w:val="center"/>
      </w:pPr>
      <w:r>
        <w:rPr>
          <w:rFonts w:ascii="Arial" w:cs="Arial" w:eastAsia="Arial" w:hAnsi="Arial"/>
          <w:color w:val="2E5B9A"/>
          <w:sz w:val="32"/>
          <w:szCs w:val="32"/>
        </w:rPr>
        <w:t xml:space="preserve">CoffCo Coffee Machine</w:t>
      </w:r>
    </w:p>
    <w:p>
      <w:pPr>
        <w:spacing w:after="300"/>
        <w:jc w:val="center"/>
      </w:pPr>
      <w:r>
        <w:rPr>
          <w:rFonts w:ascii="Arial" w:cs="Arial" w:eastAsia="Arial" w:hAnsi="Arial"/>
          <w:color w:val="555555"/>
          <w:sz w:val="22"/>
          <w:szCs w:val="22"/>
        </w:rPr>
        <w:t xml:space="preserve">Applied Systems Engineering Certificate Deliverable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System Design Description CoffCo Coffee Machine V1.0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Baseline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Requirements Specification CoffCo Coffee Machine V3.0 — 42 requirements</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Architecture Baseline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Architecture CoffCo Coffee Machine V2.2</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Analysis (FMECA) CoffCo Coffee Machine V1.0 | 9. Safety Analysis CoffCo Coffee Machine V2.0 | Interface Control Document CoffCo Coffee Machine V1.1</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standalone issue. System design description for four primary subsystems: Control Assembly (SS-2+SS-5), Thermal Assembly (SS-2/SS-3 part), Power Supply Unit (SS-4), and User Interface Panel (SS-1). Structured against DoD 4 criteria. Safety additions from Safety Engineering review (PRV, fuse, watchdog IC, IPX2) noted as open action for V1.1.</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1. Introduction</w:t>
      </w:r>
    </w:p>
    <w:p>
      <w:pPr>
        <w:spacing w:after="80" w:before="60"/>
        <w:jc w:val="both"/>
      </w:pPr>
      <w:r>
        <w:rPr>
          <w:rFonts w:ascii="Arial" w:cs="Arial" w:eastAsia="Arial" w:hAnsi="Arial"/>
          <w:sz w:val="20"/>
          <w:szCs w:val="20"/>
        </w:rPr>
        <w:t xml:space="preserve">This document specifies how the CoffCo coffee machine will be realised in sufficient detail to be consistent with the architecture defined in System Architecture CoffCo Coffee Machine V2.2, while remaining at system level rather than detailed component design. System-level design specifies how the system achieves its requirements and architecture within constraints, without specifying the small components that fall within the remit of discipline engineers.</w:t>
      </w:r>
    </w:p>
    <w:p>
      <w:pPr>
        <w:spacing w:after="60" w:before="60"/>
      </w:pPr>
      <w:r>
        <w:t xml:space="preserve"/>
      </w:r>
    </w:p>
    <w:p>
      <w:pPr>
        <w:spacing w:after="80" w:before="60"/>
        <w:jc w:val="both"/>
      </w:pPr>
      <w:r>
        <w:rPr>
          <w:rFonts w:ascii="Arial" w:cs="Arial" w:eastAsia="Arial" w:hAnsi="Arial"/>
          <w:sz w:val="20"/>
          <w:szCs w:val="20"/>
        </w:rPr>
        <w:t xml:space="preserve">Four subsystems are described in detail: the Control Assembly (SS-2+SS-5), the Thermal Assembly (SS-2/SS-3), the Power Supply Unit (SS-4), and the User Interface Panel (SS-1). Each description covers: purpose and responsibilities, key behaviours and modes, COTS versus bespoke decision, obsolescence consideration, Design for Reliability impact, and interfaces. An open action tracks the safety additions from the Safety Engineering review that are not yet reflected in this document.</w:t>
      </w:r>
    </w:p>
    <w:p>
      <w:pPr>
        <w:spacing w:after="60" w:before="60"/>
      </w:pPr>
      <w:r>
        <w:t xml:space="preserve"/>
      </w:r>
    </w:p>
    <w:p>
      <w:pPr>
        <w:pStyle w:val="Heading2"/>
        <w:spacing w:after="100" w:before="240"/>
      </w:pPr>
      <w:r>
        <w:rPr>
          <w:rFonts w:ascii="Arial" w:cs="Arial" w:eastAsia="Arial" w:hAnsi="Arial"/>
          <w:b/>
          <w:bCs/>
          <w:sz w:val="24"/>
          <w:szCs w:val="24"/>
        </w:rPr>
        <w:t xml:space="preserve">1.1 System Overview</w:t>
      </w:r>
    </w:p>
    <w:p>
      <w:pPr>
        <w:spacing w:after="80" w:before="60"/>
        <w:jc w:val="both"/>
      </w:pPr>
      <w:r>
        <w:rPr>
          <w:rFonts w:ascii="Arial" w:cs="Arial" w:eastAsia="Arial" w:hAnsi="Arial"/>
          <w:sz w:val="20"/>
          <w:szCs w:val="20"/>
        </w:rPr>
        <w:t xml:space="preserve">The CoffCo machine is a six-subsystem electromechanical system occupying a maximum 300×300×300mm footprint at ≤10kg (SRS 3.2, 4.10). It accepts 110–240V AC input (SRS 2.3/2.4), with a field-interchangeable regional plug module (SRS 2.6). Current Technology Readiness Level: TRL 3–4 (architecture and design specification complete; physical build not yet commenced).</w:t>
      </w:r>
    </w:p>
    <w:p>
      <w:pPr>
        <w:spacing w:after="60" w:before="60"/>
      </w:pPr>
      <w:r>
        <w:t xml:space="preserve"/>
      </w:r>
    </w:p>
    <w:p>
      <w:pPr>
        <w:pStyle w:val="Heading2"/>
        <w:spacing w:after="100" w:before="240"/>
      </w:pPr>
      <w:r>
        <w:rPr>
          <w:rFonts w:ascii="Arial" w:cs="Arial" w:eastAsia="Arial" w:hAnsi="Arial"/>
          <w:b/>
          <w:bCs/>
          <w:sz w:val="24"/>
          <w:szCs w:val="24"/>
        </w:rPr>
        <w:t xml:space="preserve">1.2 Requirements-to-Design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80"/>
        <w:gridCol w:w="2600"/>
      </w:tblGrid>
      <w:tr>
        <w:tc>
          <w:tcPr>
            <w:tcW w:type="dxa" w:w="1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 Requirement</w:t>
            </w:r>
          </w:p>
        </w:tc>
        <w:tc>
          <w:tcPr>
            <w:tcW w:type="dxa" w:w="2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30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Element</w:t>
            </w:r>
          </w:p>
        </w:tc>
        <w:tc>
          <w:tcPr>
            <w:tcW w:type="dxa" w:w="2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Characteristic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1.1, 1.5, 4.1–4.7, 4.11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coffee; regulate pressure/temp/volume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(SS-2/SS-5)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sequencing FSM; pressure/temp regulation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1.7, 1.9, 3.3, 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 monitoring; wireless transmission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(SS-2/SS-5)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 monitor; wireless module (TD-06)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1.2, 4.2, 4.3, SRS 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Froth milk; refrigerate; compensate hardness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(SS-2/SS-3)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Heating element; frother; Peltier cooler; PRV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2.7, 3.10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Dispense at clearance height; prevent burn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(SS-2/SS-3)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Dispensing outlet; insulated fluid pathway; shroud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2.3, 2.4, 2.6, 3.5, 3.8, 3.11, 4.8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isolation; EMC; shock prevention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 (SS-4)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switch-mode; IEC 60335; fuse; MOV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1.3, 1.7, 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Volume selection; status; unaided operation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Interface Panel (SS-1)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Drink-type selector; LED status; two-step brew</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2. Subsystem A — Control Assembly (SS-2 + SS-5)</w:t>
      </w:r>
    </w:p>
    <w:p>
      <w:pPr>
        <w:pStyle w:val="Heading2"/>
        <w:spacing w:after="100" w:before="240"/>
      </w:pPr>
      <w:r>
        <w:rPr>
          <w:rFonts w:ascii="Arial" w:cs="Arial" w:eastAsia="Arial" w:hAnsi="Arial"/>
          <w:b/>
          <w:bCs/>
          <w:sz w:val="24"/>
          <w:szCs w:val="24"/>
        </w:rPr>
        <w:t xml:space="preserve">2.1 Purpose and Responsibilities</w:t>
      </w:r>
    </w:p>
    <w:p>
      <w:pPr>
        <w:spacing w:after="80" w:before="60"/>
        <w:jc w:val="both"/>
      </w:pPr>
      <w:r>
        <w:rPr>
          <w:rFonts w:ascii="Arial" w:cs="Arial" w:eastAsia="Arial" w:hAnsi="Arial"/>
          <w:sz w:val="20"/>
          <w:szCs w:val="20"/>
        </w:rPr>
        <w:t xml:space="preserve">The Control Assembly is the primary decision-making element. It receives user selections from the User Interface Panel, manages the brew cycle FSM, regulates extraction pressure (0.9–1.3 bar) and brew temperature (60–90°C), measures dispensed volume, monitors system health and consumable levels, and transmits maintenance telemetry wirelessly. It is responsible for all eight operational states plus the two safety states (SAFE-SHUTDOWN and FLUID-EMPTY).</w:t>
      </w:r>
    </w:p>
    <w:p>
      <w:pPr>
        <w:spacing w:after="60" w:before="60"/>
      </w:pPr>
      <w:r>
        <w:t xml:space="preserve"/>
      </w:r>
    </w:p>
    <w:p>
      <w:pPr>
        <w:pStyle w:val="Heading2"/>
        <w:spacing w:after="100" w:before="240"/>
      </w:pPr>
      <w:r>
        <w:rPr>
          <w:rFonts w:ascii="Arial" w:cs="Arial" w:eastAsia="Arial" w:hAnsi="Arial"/>
          <w:b/>
          <w:bCs/>
          <w:sz w:val="24"/>
          <w:szCs w:val="24"/>
        </w:rPr>
        <w:t xml:space="preserve">2.2 Key Behaviours and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Behaviour / Mode</w:t>
            </w:r>
          </w:p>
        </w:tc>
        <w:tc>
          <w:tcPr>
            <w:tcW w:type="dxa" w:w="7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Brew sequencing FSM</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10-state finite state machine (Initialising, Standby, Brewing, Dispensing, Low Consumable, Empty/Unavailable, Maintenance, Fault, SAFE-SHUTDOWN, FLUID-EMPTY). All transitions documented in System Architecture V2.2 Figure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Pressure and temperature regulation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Closed-loop control of pump and heating element. Target: 0.9–1.3 bar extraction pressure; 60–90°C brew temperature. Dual-sensor cross-check (FW-SF-01) detects sensor faults.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Volume dispensing</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Measured by flow sensor; brew halted when target volume ± tolerance reached (SRS 4.6/4.7). User-selectable 200–400 ml (SRS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Safety-critical firmware functions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FW-SF-01 (dual-sensor temp check), FW-SF-02 (fluid level interlock), FW-SF-03 (watchdog heartbeat), FW-SF-04 (brew timeout), FW-SF-05 (milk temp monitor), FW-SF-06 (comms watchdog), FW-SF-07 (chassis thermistor), FW-SF-08 (pressure guard). See Safety Case V2.0.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Wireless telemetry</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Transmits health status, maintenance alerts (MILK-SPOILAGE-RISK, DRIP-TRAY-FULL, DESCALE-REQUIRED, COMMS-FAULT) to CoffCo cloud platform (SRS 1.9). Technology: TBD at TD-06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Non-volatile logging</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 N fault events and consumable level trend logged to flash memory. Persists across power cycles (housekeeping disconnection).</w:t>
            </w:r>
          </w:p>
        </w:tc>
      </w:tr>
    </w:tbl>
    <w:p>
      <w:pPr>
        <w:spacing w:after="60" w:before="60"/>
      </w:pPr>
      <w:r>
        <w:t xml:space="preserve"/>
      </w:r>
    </w:p>
    <w:p>
      <w:pPr>
        <w:pStyle w:val="Heading2"/>
        <w:spacing w:after="100" w:before="240"/>
      </w:pPr>
      <w:r>
        <w:rPr>
          <w:rFonts w:ascii="Arial" w:cs="Arial" w:eastAsia="Arial" w:hAnsi="Arial"/>
          <w:b/>
          <w:bCs/>
          <w:sz w:val="24"/>
          <w:szCs w:val="24"/>
        </w:rPr>
        <w:t xml:space="preserve">2.3 COTS vs. Bespoke and Interfaces</w:t>
      </w:r>
    </w:p>
    <w:p>
      <w:pPr>
        <w:spacing w:after="80" w:before="60"/>
        <w:jc w:val="both"/>
      </w:pPr>
      <w:r>
        <w:rPr>
          <w:rFonts w:ascii="Arial" w:cs="Arial" w:eastAsia="Arial" w:hAnsi="Arial"/>
          <w:sz w:val="20"/>
          <w:szCs w:val="20"/>
        </w:rPr>
        <w:t xml:space="preserve">COTS: contract-manufactured PCBA to CoffCo specification; wireless module (COTS — pending TD-06); hardware watchdog IC (Maxim DS1232 class, COTS, mandated by SRS 3.12). Bespoke: firmware FSM; brew sequencing logic; all safety firmware functions FW-SF-01 to FW-SF-08. Interface: digital/power to all five other subsystems; wireless to CoffCo cloud platform.</w:t>
      </w:r>
    </w:p>
    <w:p>
      <w:pPr>
        <w:spacing w:after="60" w:before="60"/>
      </w:pPr>
      <w:r>
        <w:t xml:space="preserve"/>
      </w:r>
    </w:p>
    <w:p>
      <w:pPr>
        <w:pStyle w:val="Heading2"/>
        <w:spacing w:after="100" w:before="240"/>
      </w:pPr>
      <w:r>
        <w:rPr>
          <w:rFonts w:ascii="Arial" w:cs="Arial" w:eastAsia="Arial" w:hAnsi="Arial"/>
          <w:b/>
          <w:bCs/>
          <w:sz w:val="24"/>
          <w:szCs w:val="24"/>
        </w:rPr>
        <w:t xml:space="preserve">2.4 Design for Reliability Impact</w:t>
      </w:r>
    </w:p>
    <w:p>
      <w:pPr>
        <w:spacing w:after="80" w:before="60"/>
        <w:jc w:val="both"/>
      </w:pPr>
      <w:r>
        <w:rPr>
          <w:rFonts w:ascii="Arial" w:cs="Arial" w:eastAsia="Arial" w:hAnsi="Arial"/>
          <w:sz w:val="20"/>
          <w:szCs w:val="20"/>
        </w:rPr>
        <w:t xml:space="preserve">TD-04 (integrated control assembly) reduces internal interface count — fewer connectors equals fewer failure points. COTS wireless module provides proven reliability data. Non-volatile fault logging enables proactive maintenance before failures cascade. Hardware watchdog IC (SRS 3.12) ensures actuators fail-safe on any firmware failure, protecting the heating element and pump from uncontrolled energisation.</w:t>
      </w:r>
    </w:p>
    <w:p>
      <w:r>
        <w:br w:type="page"/>
      </w:r>
    </w:p>
    <w:p>
      <w:pPr>
        <w:pStyle w:val="Heading1"/>
        <w:pBdr>
          <w:bottom w:val="single" w:color="2E5B9A" w:sz="6" w:space="2"/>
        </w:pBdr>
        <w:spacing w:after="160" w:before="360"/>
      </w:pPr>
      <w:r>
        <w:rPr>
          <w:rFonts w:ascii="Arial" w:cs="Arial" w:eastAsia="Arial" w:hAnsi="Arial"/>
          <w:b/>
          <w:bCs/>
          <w:sz w:val="32"/>
          <w:szCs w:val="32"/>
        </w:rPr>
        <w:t xml:space="preserve">3. Subsystem B — Thermal Assembly (SS-2 / SS-3 part)</w:t>
      </w:r>
    </w:p>
    <w:p>
      <w:pPr>
        <w:pStyle w:val="Heading2"/>
        <w:spacing w:after="100" w:before="240"/>
      </w:pPr>
      <w:r>
        <w:rPr>
          <w:rFonts w:ascii="Arial" w:cs="Arial" w:eastAsia="Arial" w:hAnsi="Arial"/>
          <w:b/>
          <w:bCs/>
          <w:sz w:val="24"/>
          <w:szCs w:val="24"/>
        </w:rPr>
        <w:t xml:space="preserve">3.1 Purpose and Responsibilities</w:t>
      </w:r>
    </w:p>
    <w:p>
      <w:pPr>
        <w:spacing w:after="80" w:before="60"/>
        <w:jc w:val="both"/>
      </w:pPr>
      <w:r>
        <w:rPr>
          <w:rFonts w:ascii="Arial" w:cs="Arial" w:eastAsia="Arial" w:hAnsi="Arial"/>
          <w:sz w:val="20"/>
          <w:szCs w:val="20"/>
        </w:rPr>
        <w:t xml:space="preserve">The Thermal Assembly executes the physical heating, extraction, and frothing functions. It contains the heating element, insulated fluid pathway, frother mechanism, dispensing outlet, milk refrigeration (Peltier cooler), and all fluid-handling components. It is the primary driver of the system SWAP (Size, Weight, and Power) budget and the primary CoffCo mechanical IP element.</w:t>
      </w:r>
    </w:p>
    <w:p>
      <w:pPr>
        <w:spacing w:after="60" w:before="60"/>
      </w:pPr>
      <w:r>
        <w:t xml:space="preserve"/>
      </w:r>
    </w:p>
    <w:p>
      <w:pPr>
        <w:pStyle w:val="Heading2"/>
        <w:spacing w:after="100" w:before="240"/>
      </w:pPr>
      <w:r>
        <w:rPr>
          <w:rFonts w:ascii="Arial" w:cs="Arial" w:eastAsia="Arial" w:hAnsi="Arial"/>
          <w:b/>
          <w:bCs/>
          <w:sz w:val="24"/>
          <w:szCs w:val="24"/>
        </w:rPr>
        <w:t xml:space="preserve">3.2 Key Behaviours and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228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5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 / Design Characteristic</w:t>
            </w:r>
          </w:p>
        </w:tc>
        <w:tc>
          <w:tcPr>
            <w:tcW w:type="dxa" w:w="22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 Reference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Heating element (standard resistive)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Heats water to 60–90°C within ≤180 s brew cycle. COTS commodity component — multi-sourced, low obsolescence risk.</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4.1, 4.11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Bi-metallic TCO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Non-resettable hardware thermal cutoff opens at ≥100°C independently of firmware. Mandated safety device.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Pump (≤1.3 bar COTS)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Provides extraction pressure 0.9–1.3 bar. COTS small-volume pump. Rated to maximum operating pressure; PRV provides backstop.</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1.5, 4.4, 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Pressure Relief Valve (PRV)</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PRV ≤2.5 bar; hardware-only; vents into drip tray. Firmware pressure guard at 1.5 bar (FW-SF-08) provides software-layer backstop.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Pressure transducer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In-circuit sensor at pump outlet. Feeds FW-SF-08 pressure guard firmware function.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Insulated fluid pathway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Thermoplastic channel — all fluid paths physically isolated from electrical conductors by ≥6 mm (SRS 3.11). Core mechanical IP.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 3.11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Frother mechanism</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Milk aeration to 60–90°C (SRS 4.2/4.3). Fluid-switching valve separates coffee and milk paths; auto-flush cycle prevents cross-contamination (SRS 4.9).</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1.2, 4.2, 4.3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Dispensing outlet (shrouded)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Shroud prevents direct hand contact with active beverage stream at exit point (SRS 3.10). Minimum 105 mm clearance for Vacation Stables standard mug (SRS 2.7).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2.7, 3.10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Milk refrigeration (Peltier cooler)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Maintains milk store ≤4°C (NR-05). Compact thermoelectric cooler — lower mass and noise than compressor alternative. Milk temperature sensor feeds FW-SF-05.</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NR-05, SRS 1.9</w:t>
            </w:r>
          </w:p>
        </w:tc>
      </w:tr>
    </w:tbl>
    <w:p>
      <w:pPr>
        <w:spacing w:after="60" w:before="60"/>
      </w:pPr>
      <w:r>
        <w:t xml:space="preserve"/>
      </w:r>
    </w:p>
    <w:p>
      <w:pPr>
        <w:pStyle w:val="Heading2"/>
        <w:spacing w:after="100" w:before="240"/>
      </w:pPr>
      <w:r>
        <w:rPr>
          <w:rFonts w:ascii="Arial" w:cs="Arial" w:eastAsia="Arial" w:hAnsi="Arial"/>
          <w:b/>
          <w:bCs/>
          <w:sz w:val="24"/>
          <w:szCs w:val="24"/>
        </w:rPr>
        <w:t xml:space="preserve">3.3 COTS vs. Bespoke and Interfaces</w:t>
      </w:r>
    </w:p>
    <w:p>
      <w:pPr>
        <w:spacing w:after="80" w:before="60"/>
        <w:jc w:val="both"/>
      </w:pPr>
      <w:r>
        <w:rPr>
          <w:rFonts w:ascii="Arial" w:cs="Arial" w:eastAsia="Arial" w:hAnsi="Arial"/>
          <w:sz w:val="20"/>
          <w:szCs w:val="20"/>
        </w:rPr>
        <w:t xml:space="preserve">COTS: heating element; Peltier cooler; pump (all commodity, multi-sourced); TCO (Cantherm / Emerson, certified to IEC 60691); PRV (Parker / Watts food-grade). Bespoke: fluid pathway arrangement and cross-contamination flushing mechanism — core CoffCo mechanical IP. Interface: hot water supply to dispensing outlet; cold milk to frother; drip output to Fluid Store drip tray; pressure signal to Control Assembly (FW-SF-08); temperature signal to Control Assembly (FW-SF-01).</w:t>
      </w:r>
    </w:p>
    <w:p>
      <w:pPr>
        <w:spacing w:after="60" w:before="60"/>
      </w:pPr>
      <w:r>
        <w:t xml:space="preserve"/>
      </w:r>
    </w:p>
    <w:p>
      <w:pPr>
        <w:pStyle w:val="Heading2"/>
        <w:spacing w:after="100" w:before="240"/>
      </w:pPr>
      <w:r>
        <w:rPr>
          <w:rFonts w:ascii="Arial" w:cs="Arial" w:eastAsia="Arial" w:hAnsi="Arial"/>
          <w:b/>
          <w:bCs/>
          <w:sz w:val="24"/>
          <w:szCs w:val="24"/>
        </w:rPr>
        <w:t xml:space="preserve">3.4 Design for Reliability Impact</w:t>
      </w:r>
    </w:p>
    <w:p>
      <w:pPr>
        <w:spacing w:after="80" w:before="60"/>
        <w:jc w:val="both"/>
      </w:pPr>
      <w:r>
        <w:rPr>
          <w:rFonts w:ascii="Arial" w:cs="Arial" w:eastAsia="Arial" w:hAnsi="Arial"/>
          <w:sz w:val="20"/>
          <w:szCs w:val="20"/>
        </w:rPr>
        <w:t xml:space="preserve">Thermal insulation of fluid pathways reduces heat loss (SRS 3.5 energy efficiency) and reduces thermal cycling stress — the primary reliability risk in this subsystem. The COTS Peltier cooler is lighter and simpler than a compressor unit, reducing mechanical failure points. The hardware TCO provides a fail-safe completely independent of software — directly implementing SP-09 (fail-safe default) and SP-10 (defence in depth). The PRV provides a second independent hardware layer against the overpressure failure mode (H-13).</w:t>
      </w:r>
    </w:p>
    <w:p>
      <w:r>
        <w:br w:type="page"/>
      </w:r>
    </w:p>
    <w:p>
      <w:pPr>
        <w:pStyle w:val="Heading1"/>
        <w:pBdr>
          <w:bottom w:val="single" w:color="2E5B9A" w:sz="6" w:space="2"/>
        </w:pBdr>
        <w:spacing w:after="160" w:before="360"/>
      </w:pPr>
      <w:r>
        <w:rPr>
          <w:rFonts w:ascii="Arial" w:cs="Arial" w:eastAsia="Arial" w:hAnsi="Arial"/>
          <w:b/>
          <w:bCs/>
          <w:sz w:val="32"/>
          <w:szCs w:val="32"/>
        </w:rPr>
        <w:t xml:space="preserve">4. Subsystem C — Power Supply Unit (SS-4)</w:t>
      </w:r>
    </w:p>
    <w:p>
      <w:pPr>
        <w:pStyle w:val="Heading2"/>
        <w:spacing w:after="100" w:before="240"/>
      </w:pPr>
      <w:r>
        <w:rPr>
          <w:rFonts w:ascii="Arial" w:cs="Arial" w:eastAsia="Arial" w:hAnsi="Arial"/>
          <w:b/>
          <w:bCs/>
          <w:sz w:val="24"/>
          <w:szCs w:val="24"/>
        </w:rPr>
        <w:t xml:space="preserve">4.1 Purpose and Responsibilities</w:t>
      </w:r>
    </w:p>
    <w:p>
      <w:pPr>
        <w:spacing w:after="80" w:before="60"/>
        <w:jc w:val="both"/>
      </w:pPr>
      <w:r>
        <w:rPr>
          <w:rFonts w:ascii="Arial" w:cs="Arial" w:eastAsia="Arial" w:hAnsi="Arial"/>
          <w:sz w:val="20"/>
          <w:szCs w:val="20"/>
        </w:rPr>
        <w:t xml:space="preserve">The PSU accepts 110–240V AC, 50/60Hz mains power across UK, EU, and US markets and provides regulated DC power to all other assemblies. It incorporates IEC 60335 Class II electrical isolation, EMC filtering to EN 55014 Class B, and an interchangeable plug module for regional connector variants. A mains input fuse and MOV/TVS surge protection are mandatory safety components.</w:t>
      </w:r>
    </w:p>
    <w:p>
      <w:pPr>
        <w:spacing w:after="60" w:before="60"/>
      </w:pPr>
      <w:r>
        <w:t xml:space="preserve"/>
      </w:r>
    </w:p>
    <w:p>
      <w:pPr>
        <w:pStyle w:val="Heading2"/>
        <w:spacing w:after="100" w:before="240"/>
      </w:pPr>
      <w:r>
        <w:rPr>
          <w:rFonts w:ascii="Arial" w:cs="Arial" w:eastAsia="Arial" w:hAnsi="Arial"/>
          <w:b/>
          <w:bCs/>
          <w:sz w:val="24"/>
          <w:szCs w:val="24"/>
        </w:rPr>
        <w:t xml:space="preserve">4.2 Key Design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Characteristic</w:t>
            </w:r>
          </w:p>
        </w:tc>
        <w:tc>
          <w:tcPr>
            <w:tcW w:type="dxa" w:w="64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 Detail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Universal AC input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100–240V, 50/60Hz switch-mode topology. Single PSU variant for all three markets (UK/EU/US). Interchangeable plug module on field-replaceable rear/base connector (TD-03).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60335-1 Class II isolation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accessible surface presents a live voltage under any single fault condition. COTS certified PSU module transfers type-test compliance to established supplier. Mandated by SRS 3.11.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input fuse (safety)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slow-blow fuse rated to minimum protective value for peak system load plus 20% margin. Positioned at mains inlet, accessible to field engineers only. IEC 60335-1 Cl.25 compliance. Mandated by SRS 3.11.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MOV/TVS surge protection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Metal oxide varistor in PSU primary circuit. IEC 61000-4-5 Level 2 (2 kV) surge test certificate required from PSU supplier. Mandated by SRS 2.3.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EMC filtering</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Primary-side filtering to EN 55014 Class B limits. Prevents switching noise from reaching hotel room devices (SRS 3.8).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Interchangeable plug module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BS 1363 (UK), NEMA 5-15 (US), CEE 7/16 (EU) — replaceable without PSU redesign (TD-03). Regional customisation isolated from PSU design.</w:t>
            </w:r>
          </w:p>
        </w:tc>
      </w:tr>
    </w:tbl>
    <w:p>
      <w:pPr>
        <w:spacing w:after="60" w:before="60"/>
      </w:pPr>
      <w:r>
        <w:t xml:space="preserve"/>
      </w:r>
    </w:p>
    <w:p>
      <w:pPr>
        <w:pStyle w:val="Heading2"/>
        <w:spacing w:after="100" w:before="240"/>
      </w:pPr>
      <w:r>
        <w:rPr>
          <w:rFonts w:ascii="Arial" w:cs="Arial" w:eastAsia="Arial" w:hAnsi="Arial"/>
          <w:b/>
          <w:bCs/>
          <w:sz w:val="24"/>
          <w:szCs w:val="24"/>
        </w:rPr>
        <w:t xml:space="preserve">4.3 COTS vs. Bespoke and Interfaces</w:t>
      </w:r>
    </w:p>
    <w:p>
      <w:pPr>
        <w:spacing w:after="80" w:before="60"/>
        <w:jc w:val="both"/>
      </w:pPr>
      <w:r>
        <w:rPr>
          <w:rFonts w:ascii="Arial" w:cs="Arial" w:eastAsia="Arial" w:hAnsi="Arial"/>
          <w:sz w:val="20"/>
          <w:szCs w:val="20"/>
        </w:rPr>
        <w:t xml:space="preserve">COTS: certified universal switch-mode PSU module (e.g. Mean Well, XP Power); mains fuse (Littelfuse 5×20mm T-type); MOV/TVS devices (commodity). Bespoke: interchangeable plug module (CoffCo-designed geometry; outsourced manufacture). Interface: mains AC input (via regional plug); DC rails to Control Assembly, Thermal Assembly, and UI Panel.</w:t>
      </w:r>
    </w:p>
    <w:p>
      <w:pPr>
        <w:spacing w:after="60" w:before="60"/>
      </w:pPr>
      <w:r>
        <w:t xml:space="preserve"/>
      </w:r>
    </w:p>
    <w:p>
      <w:pPr>
        <w:pStyle w:val="Heading2"/>
        <w:spacing w:after="100" w:before="240"/>
      </w:pPr>
      <w:r>
        <w:rPr>
          <w:rFonts w:ascii="Arial" w:cs="Arial" w:eastAsia="Arial" w:hAnsi="Arial"/>
          <w:b/>
          <w:bCs/>
          <w:sz w:val="24"/>
          <w:szCs w:val="24"/>
        </w:rPr>
        <w:t xml:space="preserve">4.4 Design for Reliability Impact</w:t>
      </w:r>
    </w:p>
    <w:p>
      <w:pPr>
        <w:spacing w:after="80" w:before="60"/>
        <w:jc w:val="both"/>
      </w:pPr>
      <w:r>
        <w:rPr>
          <w:rFonts w:ascii="Arial" w:cs="Arial" w:eastAsia="Arial" w:hAnsi="Arial"/>
          <w:sz w:val="20"/>
          <w:szCs w:val="20"/>
        </w:rPr>
        <w:t xml:space="preserve">Sourcing a certified COTS PSU module transfers IEC 60335 electrical safety compliance and EMC risk to an established, audited supply chain with known MTBF data. This directly supports the MTBF target (SRS 3.9). The interchangeable plug module design (TD-03) isolates the component most vulnerable to regional regulatory change, reducing obsolescence risk for the PSU module itself.</w:t>
      </w:r>
    </w:p>
    <w:p>
      <w:r>
        <w:br w:type="page"/>
      </w:r>
    </w:p>
    <w:p>
      <w:pPr>
        <w:pStyle w:val="Heading1"/>
        <w:pBdr>
          <w:bottom w:val="single" w:color="2E5B9A" w:sz="6" w:space="2"/>
        </w:pBdr>
        <w:spacing w:after="160" w:before="360"/>
      </w:pPr>
      <w:r>
        <w:rPr>
          <w:rFonts w:ascii="Arial" w:cs="Arial" w:eastAsia="Arial" w:hAnsi="Arial"/>
          <w:b/>
          <w:bCs/>
          <w:sz w:val="32"/>
          <w:szCs w:val="32"/>
        </w:rPr>
        <w:t xml:space="preserve">5. Subsystem D — User Interface Panel (SS-1)</w:t>
      </w:r>
    </w:p>
    <w:p>
      <w:pPr>
        <w:pStyle w:val="Heading2"/>
        <w:spacing w:after="100" w:before="240"/>
      </w:pPr>
      <w:r>
        <w:rPr>
          <w:rFonts w:ascii="Arial" w:cs="Arial" w:eastAsia="Arial" w:hAnsi="Arial"/>
          <w:b/>
          <w:bCs/>
          <w:sz w:val="24"/>
          <w:szCs w:val="24"/>
        </w:rPr>
        <w:t xml:space="preserve">5.1 Purpose and Responsibilities</w:t>
      </w:r>
    </w:p>
    <w:p>
      <w:pPr>
        <w:spacing w:after="80" w:before="60"/>
        <w:jc w:val="both"/>
      </w:pPr>
      <w:r>
        <w:rPr>
          <w:rFonts w:ascii="Arial" w:cs="Arial" w:eastAsia="Arial" w:hAnsi="Arial"/>
          <w:sz w:val="20"/>
          <w:szCs w:val="20"/>
        </w:rPr>
        <w:t xml:space="preserve">The User Interface Panel is the sole point of guest interaction. It must enable first-time unaided operation (SRS 2.1) across UK, EU, and US markets without language-dependent labels. It provides: drink-type selection, volume selection (200–400 ml), system status indication (7 states), and two-step brew confirmation for child misuse prevention (H-19).</w:t>
      </w:r>
    </w:p>
    <w:p>
      <w:pPr>
        <w:spacing w:after="60" w:before="60"/>
      </w:pPr>
      <w:r>
        <w:t xml:space="preserve"/>
      </w:r>
    </w:p>
    <w:p>
      <w:pPr>
        <w:pStyle w:val="Heading2"/>
        <w:spacing w:after="100" w:before="240"/>
      </w:pPr>
      <w:r>
        <w:rPr>
          <w:rFonts w:ascii="Arial" w:cs="Arial" w:eastAsia="Arial" w:hAnsi="Arial"/>
          <w:b/>
          <w:bCs/>
          <w:sz w:val="24"/>
          <w:szCs w:val="24"/>
        </w:rPr>
        <w:t xml:space="preserve">5.2 Key Design Characteristics</w:t>
      </w:r>
    </w:p>
    <w:p>
      <w:pPr>
        <w:pStyle w:val="ListParagraph"/>
        <w:numPr>
          <w:ilvl w:val="0"/>
          <w:numId w:val="2"/>
        </w:numPr>
        <w:spacing w:after="40" w:before="40"/>
      </w:pPr>
      <w:r>
        <w:rPr>
          <w:rFonts w:ascii="Arial" w:cs="Arial" w:eastAsia="Arial" w:hAnsi="Arial"/>
          <w:sz w:val="20"/>
          <w:szCs w:val="20"/>
        </w:rPr>
        <w:t xml:space="preserve">Control set: exactly three guest-facing controls — drink-type selector (americano/milk), volume selector (200–400 ml, SRS 1.3, 4.6/4.7), and two-step brew confirmation. Two-step design prevents accidental activation (H-19 child misuse mitigation).</w:t>
      </w:r>
    </w:p>
    <w:p>
      <w:pPr>
        <w:pStyle w:val="ListParagraph"/>
        <w:numPr>
          <w:ilvl w:val="0"/>
          <w:numId w:val="2"/>
        </w:numPr>
        <w:spacing w:after="40" w:before="40"/>
      </w:pPr>
      <w:r>
        <w:rPr>
          <w:rFonts w:ascii="Arial" w:cs="Arial" w:eastAsia="Arial" w:hAnsi="Arial"/>
          <w:sz w:val="20"/>
          <w:szCs w:val="20"/>
        </w:rPr>
        <w:t xml:space="preserve">Status indication: 7 required states — Ready, Brewing, Low Consumable, Empty/Unavailable, Drip-Tray-Full, Maintenance Required, Fault. All communicated by colour-coded or icon-based LED indicator — no text labels required (SRS 2.1, multi-market constraint).</w:t>
      </w:r>
    </w:p>
    <w:p>
      <w:pPr>
        <w:pStyle w:val="ListParagraph"/>
        <w:numPr>
          <w:ilvl w:val="0"/>
          <w:numId w:val="2"/>
        </w:numPr>
        <w:spacing w:after="40" w:before="40"/>
      </w:pPr>
      <w:r>
        <w:rPr>
          <w:rFonts w:ascii="Arial" w:cs="Arial" w:eastAsia="Arial" w:hAnsi="Arial"/>
          <w:sz w:val="20"/>
          <w:szCs w:val="20"/>
        </w:rPr>
        <w:t xml:space="preserve">Data structures: panel firmware captures current control positions (drink type, volume, milk on/off) and passes them to the Control Assembly as brew command parameters. No local persistence required beyond a single brew cycle.</w:t>
      </w:r>
    </w:p>
    <w:p>
      <w:pPr>
        <w:pStyle w:val="ListParagraph"/>
        <w:numPr>
          <w:ilvl w:val="0"/>
          <w:numId w:val="2"/>
        </w:numPr>
        <w:spacing w:after="40" w:before="40"/>
      </w:pPr>
      <w:r>
        <w:rPr>
          <w:rFonts w:ascii="Arial" w:cs="Arial" w:eastAsia="Arial" w:hAnsi="Arial"/>
          <w:sz w:val="20"/>
          <w:szCs w:val="20"/>
        </w:rPr>
        <w:t xml:space="preserve">Physical design: front-facing panel within the 300×300×300 mm system envelope (SRS 3.2), readable at typical hotel desk height and viewing distance.</w:t>
      </w:r>
    </w:p>
    <w:p>
      <w:pPr>
        <w:spacing w:after="60" w:before="60"/>
      </w:pPr>
      <w:r>
        <w:t xml:space="preserve"/>
      </w:r>
    </w:p>
    <w:p>
      <w:pPr>
        <w:pStyle w:val="Heading2"/>
        <w:spacing w:after="100" w:before="240"/>
      </w:pPr>
      <w:r>
        <w:rPr>
          <w:rFonts w:ascii="Arial" w:cs="Arial" w:eastAsia="Arial" w:hAnsi="Arial"/>
          <w:b/>
          <w:bCs/>
          <w:sz w:val="24"/>
          <w:szCs w:val="24"/>
        </w:rPr>
        <w:t xml:space="preserve">5.3 COTS vs. Bespoke and Interfaces</w:t>
      </w:r>
    </w:p>
    <w:p>
      <w:pPr>
        <w:spacing w:after="80" w:before="60"/>
        <w:jc w:val="both"/>
      </w:pPr>
      <w:r>
        <w:rPr>
          <w:rFonts w:ascii="Arial" w:cs="Arial" w:eastAsia="Arial" w:hAnsi="Arial"/>
          <w:sz w:val="20"/>
          <w:szCs w:val="20"/>
        </w:rPr>
        <w:t xml:space="preserve">COTS: control technology not yet fixed (physical rotary dial vs. capacitive touch vs. discrete buttons — detail design decision pending). COTS LED or display module for status indication. Bespoke: panel layout and control assignment. Interface: brew command parameters to Control Assembly; system state from Control Assembly for status display.</w:t>
      </w:r>
    </w:p>
    <w:p>
      <w:pPr>
        <w:spacing w:after="60" w:before="60"/>
      </w:pPr>
      <w:r>
        <w:t xml:space="preserve"/>
      </w:r>
    </w:p>
    <w:p>
      <w:pPr>
        <w:pStyle w:val="Heading2"/>
        <w:spacing w:after="100" w:before="240"/>
      </w:pPr>
      <w:r>
        <w:rPr>
          <w:rFonts w:ascii="Arial" w:cs="Arial" w:eastAsia="Arial" w:hAnsi="Arial"/>
          <w:b/>
          <w:bCs/>
          <w:sz w:val="24"/>
          <w:szCs w:val="24"/>
        </w:rPr>
        <w:t xml:space="preserve">5.4 Design for Reliability Impact</w:t>
      </w:r>
    </w:p>
    <w:p>
      <w:pPr>
        <w:spacing w:after="80" w:before="60"/>
        <w:jc w:val="both"/>
      </w:pPr>
      <w:r>
        <w:rPr>
          <w:rFonts w:ascii="Arial" w:cs="Arial" w:eastAsia="Arial" w:hAnsi="Arial"/>
          <w:sz w:val="20"/>
          <w:szCs w:val="20"/>
        </w:rPr>
        <w:t xml:space="preserve">Minimising control complexity (exactly three controls, no configuration menus) directly reduces user error rate and reduces software state space. An LED-based (not screen-based) status indicator has lower failure rate and higher visibility in variable ambient light conditions than a display module.</w:t>
      </w:r>
    </w:p>
    <w:p>
      <w:pPr>
        <w:spacing w:after="60" w:before="60"/>
      </w:pPr>
      <w:r>
        <w:t xml:space="preserve"/>
      </w:r>
    </w:p>
    <w:p>
      <w:pPr>
        <w:pStyle w:val="Heading2"/>
        <w:spacing w:after="100" w:before="240"/>
      </w:pPr>
      <w:r>
        <w:rPr>
          <w:rFonts w:ascii="Arial" w:cs="Arial" w:eastAsia="Arial" w:hAnsi="Arial"/>
          <w:b/>
          <w:bCs/>
          <w:sz w:val="24"/>
          <w:szCs w:val="24"/>
        </w:rPr>
        <w:t xml:space="preserve">5.5 Open Action — Safety Engineering Additions</w:t>
      </w:r>
    </w:p>
    <w:p>
      <w:pPr>
        <w:spacing w:after="80" w:before="60"/>
        <w:jc w:val="both"/>
      </w:pPr>
      <w:r>
        <w:rPr>
          <w:rFonts w:ascii="Arial" w:cs="Arial" w:eastAsia="Arial" w:hAnsi="Arial"/>
          <w:sz w:val="20"/>
          <w:szCs w:val="20"/>
        </w:rPr>
        <w:t xml:space="preserve">The following safety additions from the Safety Engineering review are not yet reflected in this document and are required for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5280"/>
      </w:tblGrid>
      <w:tr>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Subsystem</w:t>
            </w:r>
          </w:p>
        </w:tc>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Addition Required</w:t>
            </w:r>
          </w:p>
        </w:tc>
        <w:tc>
          <w:tcPr>
            <w:tcW w:type="dxa" w:w="52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 Reference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Thermal Assembly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PRV and pressure transducer added to BOM; PRV interface to drip tray documented</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Thermal Assembly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TCO interface to Control Assembly confirmed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Control Assembly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FW-SF-08 (in-circuit pressure guard) firmware function added; pressure transducer signal interface defined</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Supply Unit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mains fuse specification confirmed; fuse rating calculation documented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3.11</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Store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Drip tray level sensor BOM entry and interface to Control Assembly added</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1.7/1.9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Consumable loading interlock mechanism specification added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1.4</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Structural Chassis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IPX2 enclosure rating constraint documented; vent slot geometry specification</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3.11</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6. Definition of Done — Compliance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1440"/>
        <w:gridCol w:w="1440"/>
      </w:tblGrid>
      <w:tr>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 of Done Criterion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 least 2 major subsystems described in detail</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Sections 2–5 cover 4 subsystems: Control Assembly, Thermal Assembly, PSU, User Interface Panel</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Purpose and responsibilities of each subsystem stated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X.1 for each subsystem</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 behaviours and modes described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10-state FSM. Thermal Assembly: component-level function table. PSU: design characteristic table.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Parts / components that realise the design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3.2 table: 9 Thermal Assembly components with COTS/bespoke designation</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Interfaces (I/O, protocols, physical connections, human interactions) described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X.3 for each subsystem; ICD referenced for full interface detail</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Architecture consistency — no major gaps with architectural views</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Safety additions (PRV, fuse, watchdog IC, IPX2, drip tray sensor, consumable interlock) flagged in Section 5.5 as open action for V1.1</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Requirements covered with clear mapping</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1.2 traceability matrix; requirement column in each subsystem component table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decisions and trade-offs recorded with rationale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COTS vs. Bespoke section for each subsystem; TD-03, TD-04, TD-06 referenced</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Relevant standards, regulations, or constraints referenced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IEC 60529, IEC 61000-4-5, EN 55014, HACCP referenced throughout</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Structured so another engineer could continue the work</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Subsystem structure, BOM, interface list, and open action register provide continuity</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Gaps identified with placeholders</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PARTIAL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5.5 open action table; TD-06 (wireless) deferred with documented rationale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4. System Design Documentation — CoffCo Coffee Machine  |  V1.0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8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2026-06-27T02:23:20.195Z</dcterms:created>
  <dcterms:modified xsi:type="dcterms:W3CDTF">2026-06-27T02:23:20.206Z</dcterms:modified>
</cp:coreProperties>
</file>

<file path=docProps/custom.xml><?xml version="1.0" encoding="utf-8"?>
<Properties xmlns="http://schemas.openxmlformats.org/officeDocument/2006/custom-properties" xmlns:vt="http://schemas.openxmlformats.org/officeDocument/2006/docPropsVTypes"/>
</file>