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60"/>
        <w:jc w:val="center"/>
      </w:pPr>
      <w:r>
        <w:rPr>
          <w:rFonts w:ascii="Arial" w:cs="Arial" w:eastAsia="Arial" w:hAnsi="Arial"/>
          <w:b/>
          <w:bCs/>
          <w:color w:val="1F3864"/>
          <w:sz w:val="52"/>
          <w:szCs w:val="52"/>
        </w:rPr>
        <w:t xml:space="preserve">5. Analysis — Trade-off Studies and FMECA</w:t>
      </w:r>
    </w:p>
    <w:p>
      <w:pPr>
        <w:spacing w:after="60"/>
        <w:jc w:val="center"/>
      </w:pPr>
      <w:r>
        <w:rPr>
          <w:rFonts w:ascii="Arial" w:cs="Arial" w:eastAsia="Arial" w:hAnsi="Arial"/>
          <w:color w:val="2E5B9A"/>
          <w:sz w:val="32"/>
          <w:szCs w:val="32"/>
        </w:rPr>
        <w:t xml:space="preserve">CoffCo Coffee Machine</w:t>
      </w:r>
    </w:p>
    <w:p>
      <w:pPr>
        <w:spacing w:after="300"/>
        <w:jc w:val="center"/>
      </w:pPr>
      <w:r>
        <w:rPr>
          <w:rFonts w:ascii="Arial" w:cs="Arial" w:eastAsia="Arial" w:hAnsi="Arial"/>
          <w:color w:val="555555"/>
          <w:sz w:val="22"/>
          <w:szCs w:val="22"/>
        </w:rPr>
        <w:t xml:space="preserve">Applied Systems Engineering Certificate Deliverable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Reference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Analysis (Trade-off Studies and FMECA) CoffCo Coffee Machine V1.1</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Issue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Prepared by</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 by</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Documents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Architecture CoffCo Coffee Machine V2.2 | System Requirements Specification CoffCo Coffee Machine V3.0 | 9. Safety Analysis CoffCo Coffee Machine V2.0</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Document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2160"/>
        <w:gridCol w:w="4560"/>
        <w:gridCol w:w="84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4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standalone issue. Trade-off studies (TD-01 to TD-06) and FMECA (FM-01 to FM-09) previously embedded in SE Proposal. Extracted and structured as a dedicated deliverable against DoD 5. Design for Reliability analysis added.</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1. Introduction</w:t>
      </w:r>
    </w:p>
    <w:p>
      <w:pPr>
        <w:spacing w:after="80" w:before="60"/>
        <w:jc w:val="both"/>
      </w:pPr>
      <w:r>
        <w:rPr>
          <w:rFonts w:ascii="Arial" w:cs="Arial" w:eastAsia="Arial" w:hAnsi="Arial"/>
          <w:sz w:val="20"/>
          <w:szCs w:val="20"/>
        </w:rPr>
        <w:t xml:space="preserve">This document presents the analysis activities conducted for the CoffCo coffee machine. Two complementary analysis types are documented: (1) Architecture trade-off studies, which evaluate competing design options for major architectural decisions; and (2) FMECA (Failure Mode, Effects, and Criticality Analysis), which quantifies reliability risk and identifies design controls. Together, these analyses demonstrate that the CoffCo design meets the Design for Reliability theme, that all major architectural choices are justified with rejected alternatives documented, and that safety-critical failure modes are controlled to acceptable risk levels.</w:t>
      </w:r>
    </w:p>
    <w:p>
      <w:pPr>
        <w:spacing w:after="60" w:before="60"/>
      </w:pPr>
      <w:r>
        <w:t xml:space="preserve"/>
      </w:r>
    </w:p>
    <w:p>
      <w:pPr>
        <w:pStyle w:val="Heading2"/>
        <w:spacing w:after="100" w:before="240"/>
      </w:pPr>
      <w:r>
        <w:rPr>
          <w:rFonts w:ascii="Arial" w:cs="Arial" w:eastAsia="Arial" w:hAnsi="Arial"/>
          <w:b/>
          <w:bCs/>
          <w:sz w:val="24"/>
          <w:szCs w:val="24"/>
        </w:rPr>
        <w:t xml:space="preserve">1.1 Analysis Objectives</w:t>
      </w:r>
    </w:p>
    <w:p>
      <w:pPr>
        <w:pStyle w:val="ListParagraph"/>
        <w:numPr>
          <w:ilvl w:val="0"/>
          <w:numId w:val="2"/>
        </w:numPr>
        <w:spacing w:after="40" w:before="40"/>
      </w:pPr>
      <w:r>
        <w:rPr>
          <w:rFonts w:ascii="Arial" w:cs="Arial" w:eastAsia="Arial" w:hAnsi="Arial"/>
          <w:sz w:val="20"/>
          <w:szCs w:val="20"/>
        </w:rPr>
        <w:t xml:space="preserve">Trade-off study objective: select the implementation approach for each major architectural decision that best balances reliability, cost, certification burden, and design risk.</w:t>
      </w:r>
    </w:p>
    <w:p>
      <w:pPr>
        <w:pStyle w:val="ListParagraph"/>
        <w:numPr>
          <w:ilvl w:val="0"/>
          <w:numId w:val="2"/>
        </w:numPr>
        <w:spacing w:after="40" w:before="40"/>
      </w:pPr>
      <w:r>
        <w:rPr>
          <w:rFonts w:ascii="Arial" w:cs="Arial" w:eastAsia="Arial" w:hAnsi="Arial"/>
          <w:sz w:val="20"/>
          <w:szCs w:val="20"/>
        </w:rPr>
        <w:t xml:space="preserve">FMECA objective: identify all credible failure modes across the six subsystems, quantify their initial risk (Severity × Occurrence × Detectability = RPN), and confirm that controls reduce all RPNs to acceptable levels.</w:t>
      </w:r>
    </w:p>
    <w:p>
      <w:pPr>
        <w:pStyle w:val="ListParagraph"/>
        <w:numPr>
          <w:ilvl w:val="0"/>
          <w:numId w:val="2"/>
        </w:numPr>
        <w:spacing w:after="40" w:before="40"/>
      </w:pPr>
      <w:r>
        <w:rPr>
          <w:rFonts w:ascii="Arial" w:cs="Arial" w:eastAsia="Arial" w:hAnsi="Arial"/>
          <w:sz w:val="20"/>
          <w:szCs w:val="20"/>
        </w:rPr>
        <w:t xml:space="preserve">Design for X linkage: every analysis finding is linked to the Design for Reliability theme and to at least one SRS requirement.</w:t>
      </w:r>
    </w:p>
    <w:p>
      <w:r>
        <w:br w:type="page"/>
      </w:r>
    </w:p>
    <w:p>
      <w:pPr>
        <w:pStyle w:val="Heading1"/>
        <w:pBdr>
          <w:bottom w:val="single" w:color="2E5B9A" w:sz="6" w:space="2"/>
        </w:pBdr>
        <w:spacing w:after="160" w:before="360"/>
      </w:pPr>
      <w:r>
        <w:rPr>
          <w:rFonts w:ascii="Arial" w:cs="Arial" w:eastAsia="Arial" w:hAnsi="Arial"/>
          <w:b/>
          <w:bCs/>
          <w:sz w:val="32"/>
          <w:szCs w:val="32"/>
        </w:rPr>
        <w:t xml:space="preserve">2. Architecture Trade-off Studies (TD-01 to TD-06)</w:t>
      </w:r>
    </w:p>
    <w:p>
      <w:pPr>
        <w:spacing w:after="80" w:before="60"/>
        <w:jc w:val="both"/>
      </w:pPr>
      <w:r>
        <w:rPr>
          <w:rFonts w:ascii="Arial" w:cs="Arial" w:eastAsia="Arial" w:hAnsi="Arial"/>
          <w:sz w:val="20"/>
          <w:szCs w:val="20"/>
        </w:rPr>
        <w:t xml:space="preserve">Six trade decisions were identified during architecture definition. Each records the decision, the selected option, the rejected alternatives, and the rationale. Where an option was rejected, the reason it was eliminated is stated explicitly.</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000"/>
        <w:gridCol w:w="2000"/>
        <w:gridCol w:w="3200"/>
      </w:tblGrid>
      <w:tr>
        <w:tc>
          <w:tcPr>
            <w:tcW w:type="dxa" w:w="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20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Selected</w:t>
            </w:r>
          </w:p>
        </w:tc>
        <w:tc>
          <w:tcPr>
            <w:tcW w:type="dxa" w:w="20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Rejected (and why)</w:t>
            </w:r>
          </w:p>
        </w:tc>
        <w:tc>
          <w:tcPr>
            <w:tcW w:type="dxa" w:w="32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 and DfR Linkage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Water supply method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Removable user-filled reservoir</w:t>
            </w:r>
          </w:p>
        </w:tc>
        <w:tc>
          <w:tcPr>
            <w:tcW w:type="dxa" w:w="2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Plumbed hotel water connection; single-use cartridge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room modification (SRS 2.3/2.4 constraint). User-refillable. Lowest lifecycle waste route. Cartridge rejected: consumable supply chain complexity. Plumbed rejected: room modification required.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Thermal path 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Unified thermal assembly with fluid switching</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dedicated coffee and milk thermal paths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Lower mass and footprint in constrained 300mm envelope (SRS 3.2). Fluid switching valve manages cross-contamination (SRS 4.9). Dual-path rejected: mass and interface count unacceptable.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Regional power connectors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Universal PSU + field-interchangeable plug module</w:t>
            </w:r>
          </w:p>
        </w:tc>
        <w:tc>
          <w:tcPr>
            <w:tcW w:type="dxa" w:w="2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Market-specific PSUs; fixed cable with regional plug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Single product variant across UK/EU/US (SRS 2.3/2.4/2.6). Fixed cable rejected: cannot change market without cable. Market-specific PSU rejected: SKU complexity, inventory cost.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Control system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Single integrated control assembly (SS-2+SS-5)</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control board and monitoring 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Fewer internal interfaces reduces failure points (DfR). TD-04 directly supports MTBF target (SRS 3.9). Separate boards rejected: additional connector pairs are primary failure contributors.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Anti-theft mechanism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Cable anchor lug (Kensington-compatible)</w:t>
            </w:r>
          </w:p>
        </w:tc>
        <w:tc>
          <w:tcPr>
            <w:tcW w:type="dxa" w:w="2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Mechanical locking cradle; weight-only deterrence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key management burden for hotel housekeeping. Effective deterrent for opportunistic removal (SRS 1.8). Weight-only rejected: inadequate for opportunistic removal. Locking cradle rejected: key management overhead.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Wireless technology for telemetry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DEFERRED — Wi-Fi / BLE / Zigbee all technically feasible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 — decision pending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confirmation of Vacation Stables hotel IT infrastructure capability. EMC performance (SRS 3.8) is the primary technical discriminator. Decision required before Phase 1 PCBA layout.</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3. FMECA — Failure Mode, Effects, and Criticality Analysis</w:t>
      </w:r>
    </w:p>
    <w:p>
      <w:pPr>
        <w:pStyle w:val="Heading2"/>
        <w:spacing w:after="100" w:before="240"/>
      </w:pPr>
      <w:r>
        <w:rPr>
          <w:rFonts w:ascii="Arial" w:cs="Arial" w:eastAsia="Arial" w:hAnsi="Arial"/>
          <w:b/>
          <w:bCs/>
          <w:sz w:val="24"/>
          <w:szCs w:val="24"/>
        </w:rPr>
        <w:t xml:space="preserve">3.1 Methodology</w:t>
      </w:r>
    </w:p>
    <w:p>
      <w:pPr>
        <w:spacing w:after="80" w:before="60"/>
        <w:jc w:val="both"/>
      </w:pPr>
      <w:r>
        <w:rPr>
          <w:rFonts w:ascii="Arial" w:cs="Arial" w:eastAsia="Arial" w:hAnsi="Arial"/>
          <w:sz w:val="20"/>
          <w:szCs w:val="20"/>
        </w:rPr>
        <w:t xml:space="preserve">A qualitative FMECA was conducted across all six subsystems. Risk Priority Number (RPN) = Severity × Occurrence × Detectability, each rated 1–5. Initial RPN is calculated without controls applied. Controls are identified; residual RPN is calculated with controls in place. All residual RPNs are targeted at ≤8. High-severity, low-detectability failure modes are prioritised regardless of RPN.</w:t>
      </w:r>
    </w:p>
    <w:p>
      <w:pPr>
        <w:spacing w:after="60" w:before="60"/>
      </w:pPr>
      <w:r>
        <w:t xml:space="preserve"/>
      </w:r>
    </w:p>
    <w:p>
      <w:pPr>
        <w:pStyle w:val="Heading2"/>
        <w:spacing w:after="100" w:before="240"/>
      </w:pPr>
      <w:r>
        <w:rPr>
          <w:rFonts w:ascii="Arial" w:cs="Arial" w:eastAsia="Arial" w:hAnsi="Arial"/>
          <w:b/>
          <w:bCs/>
          <w:sz w:val="24"/>
          <w:szCs w:val="24"/>
        </w:rPr>
        <w:t xml:space="preserve">3.2 FMECA Register (FM-01 to FM-09)</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960"/>
        <w:gridCol w:w="2040"/>
        <w:gridCol w:w="1440"/>
        <w:gridCol w:w="540"/>
        <w:gridCol w:w="2760"/>
        <w:gridCol w:w="840"/>
      </w:tblGrid>
      <w:tr>
        <w:tc>
          <w:tcPr>
            <w:tcW w:type="dxa" w:w="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FM</w:t>
            </w:r>
          </w:p>
        </w:tc>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Failure Mode</w:t>
            </w:r>
          </w:p>
        </w:tc>
        <w:tc>
          <w:tcPr>
            <w:tcW w:type="dxa" w:w="9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w:t>
            </w:r>
          </w:p>
        </w:tc>
        <w:tc>
          <w:tcPr>
            <w:tcW w:type="dxa" w:w="2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w:t>
            </w:r>
          </w:p>
        </w:tc>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Cause</w:t>
            </w:r>
          </w:p>
        </w:tc>
        <w:tc>
          <w:tcPr>
            <w:tcW w:type="dxa" w:w="5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RPN</w:t>
            </w:r>
          </w:p>
        </w:tc>
        <w:tc>
          <w:tcPr>
            <w:tcW w:type="dxa" w:w="27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Control / Mitigation</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Residual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Heating element runaway</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Fluid &gt;90°C; scalding burn risk; steam/pressure release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control failure; thermocouple degradation; stuck relay. Fan et al. (2009): NTC holder PP plastic perforation at ~100°C (manufacturing quality deficiency) — steam leakage before thermostat responds. Thermostat locked is a basic event in the Fan et al. FTA.</w:t>
            </w:r>
          </w:p>
        </w:tc>
        <w:tc>
          <w:tcPr>
            <w:tcW w:type="dxa" w:w="5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Independent TCO (non-resettable, SRS 3.10); dual-sensor firmware cross-check (FW-SF-01); fault state inhibits brew</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path leak</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Hot liquid contacts electrical components; fire/shock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Seal degradation; overpressure; scale blockage. Fan et al. (2009): check valve aging and thermal melting (common failure); NTC holder sealing ring aging; eyewinker deposits blocking check valve; reverse flow from broken check valve piston (direct scald risk). Sealer error is a basic event in the Fan et al. electricity leakage FTA.</w:t>
            </w:r>
          </w:p>
        </w:tc>
        <w:tc>
          <w:tcPr>
            <w:tcW w:type="dxa" w:w="5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≥6mm fluid/electrical isolation (SRS 3.11); IPX2 enclosure (SRS 3.11); annual seal inspection</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Mains voltage exposure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Electric shock to user or housekeeping; potential fatality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Insulation failure; casing damage; connector fault. Fan et al. (2009): aging of insulating layer and insulating layer error are basic events in the electricity leakage FTA. Open circuit of wires and pipe smelting (from heater overheating) are intermediate events leading to the same top event.</w:t>
            </w:r>
          </w:p>
        </w:tc>
        <w:tc>
          <w:tcPr>
            <w:tcW w:type="dxa" w:w="5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16</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60335-1 Class II (SRS 3.11); mains fuse (SRS 3.11); no accessible live parts; chassis secondary enclosure</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Cross-contamination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Coffee/milk cross-contamination; food safety breach; allergen risk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Inadequate flush; seal failure</w:t>
            </w:r>
          </w:p>
        </w:tc>
        <w:tc>
          <w:tcPr>
            <w:tcW w:type="dxa" w:w="54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 flush cycle between paths; food-grade elastomers (SRS 4.9); HACCP documentation</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Dry-fire / empty-store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 Fluid Store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Heating element energised without fluid cooling; burnout; fire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Level sensor fault; reservoir emptied between cycles. Fan et al. (2009): outlet clogging of pod holder confirmed in simulation testing (broken creamy pod is a basic event in steam leakage FTA). Clogged outlet causes pod holder to fill with hot water under pressure; forced lid opening by user causes scald.</w:t>
            </w:r>
          </w:p>
        </w:tc>
        <w:tc>
          <w:tcPr>
            <w:tcW w:type="dxa" w:w="5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14</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Fluid level interlock (SRS 1.10); FLUID-EMPTY state within 5 s (SRS 1.10); COTS TC-008</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Hardware watchdog failure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 watchdog IC</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Firmware runaway not interrupted; uncontrolled actuator state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Watchdog IC component failure; incorrect GPIO wiring</w:t>
            </w:r>
          </w:p>
        </w:tc>
        <w:tc>
          <w:tcPr>
            <w:tcW w:type="dxa" w:w="54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Dual-source watchdog: IC + firmware loop timeout guardian (FW-SF-04); watchdog IC function verified at Phase 2</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FM-07</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Enclosure thermistor failure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Structural Chassis — SS-6</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Enclosure surface temp guard inoperative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Thermistor open-circuit; wiring fault</w:t>
            </w:r>
          </w:p>
        </w:tc>
        <w:tc>
          <w:tcPr>
            <w:tcW w:type="dxa" w:w="5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 inspection; SAF-11 surface temperature test at Phase 4 confirms overall temperature control</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system overpressure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 Fluid Store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Pressure vessel failure; scalding fluid/steam release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Pump control failure; blocked outlet; scale accumulation. Fan et al. (2009): PRV spring erosion from scale exposure (clogging of discharge outlet underpin) — PRV inoperative in simulation test, confirmed as hidden failure mode. Pump clogging from scale and debris (ranked #1 failure component). Over-pressured pipe and smelting of pipe are middle events in the Fan et al. steam leakage FTA.</w:t>
            </w:r>
          </w:p>
        </w:tc>
        <w:tc>
          <w:tcPr>
            <w:tcW w:type="dxa" w:w="54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PRV ≤2.5 bar hardware-only (SRS 3.13); firmware pressure guard 1.5 bar (FW-SF-08); pump COTS ≤1.3 bar; descale cycle (SRS 1.6)</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FM-09</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Mains overcurrent — no fuse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Sustained overcurrent; mains wiring reaches ignition temperature; fire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Internal wiring short; insulation breakdown; component failure. Fan et al. (2009): aging of insulating layer is a basic event in the electricity leakage FTA; insulating layer smelting (from heater overheat) is an intermediate event. Open circuit of wires (basic event) can cause unintended current paths.</w:t>
            </w:r>
          </w:p>
        </w:tc>
        <w:tc>
          <w:tcPr>
            <w:tcW w:type="dxa" w:w="54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8</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T-type mains fuse (SRS 3.11); IEC 60335-1 Cl.25 compliance; COTS PSU internal protection; hotel RCD assumed</w:t>
            </w:r>
          </w:p>
        </w:tc>
        <w:tc>
          <w:tcPr>
            <w:tcW w:type="dxa" w:w="8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r>
    </w:tbl>
    <w:p>
      <w:pPr>
        <w:spacing w:after="60" w:before="60"/>
      </w:pPr>
      <w:r>
        <w:t xml:space="preserve"/>
      </w:r>
    </w:p>
    <w:p>
      <w:pPr>
        <w:pStyle w:val="Heading2"/>
        <w:spacing w:after="100" w:before="240"/>
      </w:pPr>
      <w:r>
        <w:rPr>
          <w:rFonts w:ascii="Arial" w:cs="Arial" w:eastAsia="Arial" w:hAnsi="Arial"/>
          <w:b/>
          <w:bCs/>
          <w:sz w:val="24"/>
          <w:szCs w:val="24"/>
        </w:rPr>
        <w:t xml:space="preserve">3.3 FMECA Summary</w:t>
      </w:r>
    </w:p>
    <w:p>
      <w:pPr>
        <w:pStyle w:val="ListParagraph"/>
        <w:numPr>
          <w:ilvl w:val="0"/>
          <w:numId w:val="2"/>
        </w:numPr>
        <w:spacing w:after="40" w:before="40"/>
      </w:pPr>
      <w:r>
        <w:rPr>
          <w:rFonts w:ascii="Arial" w:cs="Arial" w:eastAsia="Arial" w:hAnsi="Arial"/>
          <w:sz w:val="20"/>
          <w:szCs w:val="20"/>
        </w:rPr>
        <w:t xml:space="preserve">9 failure modes identified across Thermal Assembly (FM-01, FM-02, FM-04, FM-05, FM-08), Power Supply Unit (FM-03, FM-09), Control Assembly (FM-06), and Structural Chassis (FM-07).</w:t>
      </w:r>
    </w:p>
    <w:p>
      <w:pPr>
        <w:pStyle w:val="ListParagraph"/>
        <w:numPr>
          <w:ilvl w:val="0"/>
          <w:numId w:val="2"/>
        </w:numPr>
        <w:spacing w:after="40" w:before="40"/>
      </w:pPr>
      <w:r>
        <w:rPr>
          <w:rFonts w:ascii="Arial" w:cs="Arial" w:eastAsia="Arial" w:hAnsi="Arial"/>
          <w:sz w:val="20"/>
          <w:szCs w:val="20"/>
        </w:rPr>
        <w:t xml:space="preserve">Highest initial RPNs: FM-03 (mains voltage exposure, RPN 16) and FM-02 (fluid path leak, RPN 15). Both reduced to residual RPN ≤4 by IEC 60335 Class II construction and fluid path isolation.</w:t>
      </w:r>
    </w:p>
    <w:p>
      <w:pPr>
        <w:pStyle w:val="ListParagraph"/>
        <w:numPr>
          <w:ilvl w:val="0"/>
          <w:numId w:val="2"/>
        </w:numPr>
        <w:spacing w:after="40" w:before="40"/>
      </w:pPr>
      <w:r>
        <w:rPr>
          <w:rFonts w:ascii="Arial" w:cs="Arial" w:eastAsia="Arial" w:hAnsi="Arial"/>
          <w:sz w:val="20"/>
          <w:szCs w:val="20"/>
        </w:rPr>
        <w:t xml:space="preserve">All 9 failure modes reduced to residual RPN ≤4 (LOW category). No failure mode remains above LOW after application of identified controls.</w:t>
      </w:r>
    </w:p>
    <w:p>
      <w:pPr>
        <w:pStyle w:val="ListParagraph"/>
        <w:numPr>
          <w:ilvl w:val="0"/>
          <w:numId w:val="2"/>
        </w:numPr>
        <w:spacing w:after="40" w:before="40"/>
      </w:pPr>
      <w:r>
        <w:rPr>
          <w:rFonts w:ascii="Arial" w:cs="Arial" w:eastAsia="Arial" w:hAnsi="Arial"/>
          <w:sz w:val="20"/>
          <w:szCs w:val="20"/>
        </w:rPr>
        <w:t xml:space="preserve">Safety-critical controls are hardware-based where possible (TCO for FM-01; PRV for FM-08; fuse for FM-09) consistent with SP-09 (fail-safe default) and SP-10 (defence in depth).</w:t>
      </w:r>
    </w:p>
    <w:p>
      <w:r>
        <w:br w:type="page"/>
      </w:r>
    </w:p>
    <w:p>
      <w:pPr>
        <w:pStyle w:val="Heading1"/>
        <w:pBdr>
          <w:bottom w:val="single" w:color="2E5B9A" w:sz="6" w:space="2"/>
        </w:pBdr>
        <w:spacing w:after="160" w:before="360"/>
      </w:pPr>
      <w:r>
        <w:rPr>
          <w:rFonts w:ascii="Arial" w:cs="Arial" w:eastAsia="Arial" w:hAnsi="Arial"/>
          <w:b/>
          <w:bCs/>
          <w:sz w:val="32"/>
          <w:szCs w:val="32"/>
        </w:rPr>
        <w:t xml:space="preserve">4. Design for Reliability — Analysis Conclusions</w:t>
      </w:r>
    </w:p>
    <w:p>
      <w:pPr>
        <w:spacing w:after="80" w:before="60"/>
        <w:jc w:val="both"/>
      </w:pPr>
      <w:r>
        <w:rPr>
          <w:rFonts w:ascii="Arial" w:cs="Arial" w:eastAsia="Arial" w:hAnsi="Arial"/>
          <w:sz w:val="20"/>
          <w:szCs w:val="20"/>
        </w:rPr>
        <w:t xml:space="preserve">Both analysis types directly demonstrate the Design for Reliability theme. The FMECA shows that all residual failure mode risks are LOW after controls. The trade-off studies show that reliability was a decisive factor in every major architectural choice.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DfR Principle</w:t>
            </w:r>
          </w:p>
        </w:tc>
        <w:tc>
          <w:tcPr>
            <w:tcW w:type="dxa" w:w="64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Analysis Evidence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Modular, replaceable physical elements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TD-02 (unified thermal assembly), TD-03 (interchangeable plug), TD-04 (integrated control) all chose architectures that minimise internal interfaces — the primary reliability risk in electromechanical systems.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COTS from established suppliers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TD-01 (reservoir), TD-03 (PSU), TD-04 (PCBA) chose COTS options with known MTBF data. FM-01 to FM-09 controls specify multi-sourced COTS safety devices (TCO, fuse, WDT IC, PRV).</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Fail-safe defaults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FM-01 (TCO), FM-03 (fuse), FM-06 (watchdog), FM-08 (PRV): all controls default to de-energised state on failure — actuators cannot remain energised in any undefined system state (SP-09).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Defence in depth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FM-01: firmware cross-check + hardware TCO. FM-08: firmware pressure guard (1.5 bar) + mechanical PRV (2.5 bar). No single safety function relies on one mechanism (SP-10).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Design for maintainability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TD-04 (single control assembly) and TD-03 (interchangeable plug) both reduce MTTR. FM-06 (watchdog): hardware WDT IC is a replaceable COTS component supporting field-engineer assembly-swap maintenance model.</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5. Definition of Done — Compliance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1440"/>
        <w:gridCol w:w="1440"/>
      </w:tblGrid>
      <w:tr>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 of Done Criterion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Analysis question/objective clearly stated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1.1 — three explicit analysis objectives with DfX linkage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input data, and constraints listed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trade-off table: Rejected column states why alternatives were eliminated; constraints referenced (SRS, mass limits, room modification prohibition)</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 for X theme (DfR) addressed — architectures and designs validated against theme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4 — 5-row DfR linkage table; all 6 trade decisions evaluated against reliability; all 9 FMECA controls specified as DfR measures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Results presented clearly with units and scales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FMECA table: RPN = S×O×D, initial and residual; colour-coded by risk level. Trade-off table: selected/rejected with explicit reasons.</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Conclusions linked to requirements, architecture, and design</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4 conclusion table; each row links to SP principles, SRS requirements, and FM references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 CoffCo	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of </w:t>
    </w:r>
    <w:r>
      <w:rPr>
        <w:rFonts w:ascii="Arial" w:cs="Arial" w:eastAsia="Arial" w:hAnsi="Arial"/>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5. Analysis — Trade-off Studies and FMECA — CoffCo Coffee Machine  |  V1.0  |  June 2026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B9A"/>
      <w:sz w:val="24"/>
      <w:szCs w:val="24"/>
    </w:rPr>
  </w:style>
  <w:style w:type="paragraph" w:styleId="Heading3">
    <w:name w:val="Heading 3"/>
    <w:basedOn w:val="Normal"/>
    <w:next w:val="Normal"/>
    <w:qFormat/>
    <w:pPr>
      <w:spacing w:after="80" w:before="18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2026-06-27T02:23:20.214Z</dcterms:created>
  <dcterms:modified xsi:type="dcterms:W3CDTF">2026-06-27T02:23:20.214Z</dcterms:modified>
</cp:coreProperties>
</file>

<file path=docProps/custom.xml><?xml version="1.0" encoding="utf-8"?>
<Properties xmlns="http://schemas.openxmlformats.org/officeDocument/2006/custom-properties" xmlns:vt="http://schemas.openxmlformats.org/officeDocument/2006/docPropsVTypes"/>
</file>