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after="80"/>
        <w:jc w:val="center"/>
      </w:pPr>
      <w:r>
        <w:rPr>
          <w:rFonts w:ascii="Arial" w:cs="Arial" w:eastAsia="Arial" w:hAnsi="Arial"/>
          <w:b/>
          <w:bCs/>
          <w:color w:val="1F3864"/>
          <w:sz w:val="60"/>
          <w:szCs w:val="60"/>
        </w:rPr>
        <w:t xml:space="preserve">Disposal Plan</w:t>
      </w:r>
    </w:p>
    <w:p>
      <w:pPr>
        <w:spacing w:after="60"/>
        <w:jc w:val="center"/>
      </w:pPr>
      <w:r>
        <w:rPr>
          <w:rFonts w:ascii="Arial" w:cs="Arial" w:eastAsia="Arial" w:hAnsi="Arial"/>
          <w:color w:val="2E5B9A"/>
          <w:sz w:val="36"/>
          <w:szCs w:val="36"/>
        </w:rPr>
        <w:t xml:space="preserve">CoffCo Coffee Machine</w:t>
      </w:r>
    </w:p>
    <w:p>
      <w:pPr>
        <w:spacing w:after="300"/>
        <w:jc w:val="center"/>
      </w:pPr>
      <w:r>
        <w:rPr>
          <w:rFonts w:ascii="Arial" w:cs="Arial" w:eastAsia="Arial" w:hAnsi="Arial"/>
          <w:color w:val="555555"/>
          <w:sz w:val="22"/>
          <w:szCs w:val="22"/>
        </w:rPr>
        <w:t xml:space="preserve">End-of-Life Strategy  |  Circular Economy Approach  |  V1.0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7380"/>
      </w:tblGrid>
      <w:tr>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73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Detail</w:t>
            </w:r>
          </w:p>
        </w:tc>
      </w:tr>
      <w:tr>
        <w:tc>
          <w:tcPr>
            <w:tcW w:type="dxa" w:w="27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Document Reference</w:t>
            </w:r>
          </w:p>
        </w:tc>
        <w:tc>
          <w:tcPr>
            <w:tcW w:type="dxa" w:w="738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Disposal Plan CoffCo Coffee Machine V1.0</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Issue</w:t>
            </w:r>
          </w:p>
        </w:tc>
        <w:tc>
          <w:tcPr>
            <w:tcW w:type="dxa" w:w="7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1.0</w:t>
            </w:r>
          </w:p>
        </w:tc>
      </w:tr>
      <w:tr>
        <w:tc>
          <w:tcPr>
            <w:tcW w:type="dxa" w:w="27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Date</w:t>
            </w:r>
          </w:p>
        </w:tc>
        <w:tc>
          <w:tcPr>
            <w:tcW w:type="dxa" w:w="738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June 2026</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Prepared by</w:t>
            </w:r>
          </w:p>
        </w:tc>
        <w:tc>
          <w:tcPr>
            <w:tcW w:type="dxa" w:w="7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CoffCo Systems Team / School of Systems Engineering Secondment</w:t>
            </w:r>
          </w:p>
        </w:tc>
      </w:tr>
      <w:tr>
        <w:tc>
          <w:tcPr>
            <w:tcW w:type="dxa" w:w="27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Approved by</w:t>
            </w:r>
          </w:p>
        </w:tc>
        <w:tc>
          <w:tcPr>
            <w:tcW w:type="dxa" w:w="738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Pending - Systems Design Authority (SDA)</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Scope</w:t>
            </w:r>
          </w:p>
        </w:tc>
        <w:tc>
          <w:tcPr>
            <w:tcW w:type="dxa" w:w="7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End-of-life disposal, mid-life upgrades, and consumable waste - full machine lifecycle</w:t>
            </w:r>
          </w:p>
        </w:tc>
      </w:tr>
      <w:tr>
        <w:tc>
          <w:tcPr>
            <w:tcW w:type="dxa" w:w="27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Design Principle</w:t>
            </w:r>
          </w:p>
        </w:tc>
        <w:tc>
          <w:tcPr>
            <w:tcW w:type="dxa" w:w="738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Circular economy - zero landfill target (SRS 3.7). Design for Disposal embedded from requirements phase.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Related SRS</w:t>
            </w:r>
          </w:p>
        </w:tc>
        <w:tc>
          <w:tcPr>
            <w:tcW w:type="dxa" w:w="7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SRS 3.4 (min 50% recycled content) | SRS 3.7 (zero landfill) | SRS 4.8 (IEC 60335) | SRS 4.9 (food safety)</w:t>
            </w:r>
          </w:p>
        </w:tc>
      </w:tr>
      <w:tr>
        <w:tc>
          <w:tcPr>
            <w:tcW w:type="dxa" w:w="27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Related Documents</w:t>
            </w:r>
          </w:p>
        </w:tc>
        <w:tc>
          <w:tcPr>
            <w:tcW w:type="dxa" w:w="738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IPS Plan CoffCo V3.0 | Transition Plan CoffCo V1.2 | Safety Analysis CoffCo V2.0 | SRS CoffCo V3.0</w:t>
            </w:r>
          </w:p>
        </w:tc>
      </w:tr>
    </w:tbl>
    <w:p>
      <w:r>
        <w:br w:type="page"/>
      </w:r>
    </w:p>
    <w:p>
      <w:pPr>
        <w:pStyle w:val="Heading1"/>
        <w:pBdr>
          <w:bottom w:val="single" w:color="2E5B9A" w:sz="6" w:space="2"/>
        </w:pBdr>
        <w:spacing w:after="160" w:before="360"/>
      </w:pPr>
      <w:r>
        <w:rPr>
          <w:rFonts w:ascii="Arial" w:cs="Arial" w:eastAsia="Arial" w:hAnsi="Arial"/>
          <w:b/>
          <w:bCs/>
          <w:sz w:val="32"/>
          <w:szCs w:val="32"/>
        </w:rPr>
        <w:t xml:space="preserve">Document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1680"/>
        <w:gridCol w:w="2160"/>
        <w:gridCol w:w="4560"/>
        <w:gridCol w:w="840"/>
      </w:tblGrid>
      <w:tr>
        <w:tc>
          <w:tcPr>
            <w:tcW w:type="dxa" w:w="84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Issue</w:t>
            </w:r>
          </w:p>
        </w:tc>
        <w:tc>
          <w:tcPr>
            <w:tcW w:type="dxa" w:w="168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Date</w:t>
            </w:r>
          </w:p>
        </w:tc>
        <w:tc>
          <w:tcPr>
            <w:tcW w:type="dxa" w:w="216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Author</w:t>
            </w:r>
          </w:p>
        </w:tc>
        <w:tc>
          <w:tcPr>
            <w:tcW w:type="dxa" w:w="456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c>
          <w:tcPr>
            <w:tcW w:type="dxa" w:w="84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Approved</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1.0</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June 2026</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CoffCo / SSE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Initial issue. Disposal Plan covering all eight required sections: LRU and midlife upgrades, environmental considerations, resource management, health and safety, regulatory compliance, stakeholder engagement, long-term considerations, and disposal timeline. Structured around circular economy principles and traceable to SRS 3.4 and 3.7.</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Pending</w:t>
            </w:r>
          </w:p>
        </w:tc>
      </w:tr>
    </w:tbl>
    <w:p>
      <w:r>
        <w:br w:type="page"/>
      </w:r>
    </w:p>
    <w:p>
      <w:pPr>
        <w:pStyle w:val="Heading1"/>
        <w:pBdr>
          <w:bottom w:val="single" w:color="2E5B9A" w:sz="6" w:space="2"/>
        </w:pBdr>
        <w:spacing w:after="160" w:before="360"/>
      </w:pPr>
      <w:r>
        <w:rPr>
          <w:rFonts w:ascii="Arial" w:cs="Arial" w:eastAsia="Arial" w:hAnsi="Arial"/>
          <w:b/>
          <w:bCs/>
          <w:sz w:val="32"/>
          <w:szCs w:val="32"/>
        </w:rPr>
        <w:t xml:space="preserve">Introduction</w:t>
      </w:r>
    </w:p>
    <w:p>
      <w:pPr>
        <w:spacing w:after="80" w:before="60"/>
        <w:jc w:val="both"/>
      </w:pPr>
      <w:r>
        <w:rPr>
          <w:rFonts w:ascii="Arial" w:cs="Arial" w:eastAsia="Arial" w:hAnsi="Arial"/>
          <w:sz w:val="20"/>
          <w:szCs w:val="20"/>
        </w:rPr>
        <w:t xml:space="preserve">This plan defines the disposal strategy for the CoffCo in-room hotel coffee machine across its full lifecycle - from mid-life component upgrades through to end-of-life decommissioning. Disposal is not an afterthought: the circular economy approach requires that end-of-life considerations are embedded in the design from the requirements phase. The zero-landfill target (SRS 3.7) and minimum 50% recycled content requirement (SRS 3.4) are direct expressions of this philosophy, traceable to the Vacation Stables 2030 sustainability commitment.</w:t>
      </w:r>
    </w:p>
    <w:p>
      <w:pPr>
        <w:spacing w:after="40" w:before="40"/>
      </w:pPr>
      <w:r>
        <w:t xml:space="preserve"/>
      </w:r>
    </w:p>
    <w:p>
      <w:pPr>
        <w:spacing w:after="80" w:before="60"/>
        <w:jc w:val="both"/>
      </w:pPr>
      <w:r>
        <w:rPr>
          <w:rFonts w:ascii="Arial" w:cs="Arial" w:eastAsia="Arial" w:hAnsi="Arial"/>
          <w:sz w:val="20"/>
          <w:szCs w:val="20"/>
        </w:rPr>
        <w:t xml:space="preserve">The modular physical architecture (SP-02) - designed primarily for maintainability - also directly enables selective component recovery and targeted mid-life upgrades. The anti-theft cable lug (TD-05) is designed for tool-free removal at end of life. These design decisions pay disposal dividends without additional cost.</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80"/>
        <w:gridCol w:w="9000"/>
      </w:tblGrid>
      <w:tr>
        <w:tc>
          <w:tcPr>
            <w:tcW w:type="dxa" w:w="1080"/>
            <w:tcBorders>
              <w:top w:val="single" w:color="CCCCCC" w:sz="1"/>
              <w:left w:val="single" w:color="CCCCCC" w:sz="1"/>
              <w:bottom w:val="single" w:color="CCCCCC" w:sz="1"/>
              <w:right w:val="single" w:color="CCCCCC" w:sz="1"/>
            </w:tcBorders>
            <w:shd w:fill="1A5C2A" w:val="clear"/>
            <w:tcMar>
              <w:top w:type="dxa" w:w="80"/>
              <w:left w:type="dxa" w:w="100"/>
              <w:bottom w:type="dxa" w:w="80"/>
              <w:right w:type="dxa" w:w="100"/>
            </w:tcMar>
          </w:tcPr>
          <w:p>
            <w:pPr>
              <w:jc w:val="center"/>
            </w:pPr>
            <w:r>
              <w:rPr>
                <w:rFonts w:ascii="Arial" w:cs="Arial" w:eastAsia="Arial" w:hAnsi="Arial"/>
                <w:b/>
                <w:bCs/>
                <w:color w:val="FFFFFF"/>
                <w:sz w:val="36"/>
                <w:szCs w:val="36"/>
              </w:rPr>
              <w:t xml:space="preserve">1</w:t>
            </w:r>
          </w:p>
        </w:tc>
        <w:tc>
          <w:tcPr>
            <w:tcW w:type="dxa" w:w="9000"/>
            <w:tcBorders>
              <w:top w:val="single" w:color="CCCCCC" w:sz="1"/>
              <w:left w:val="single" w:color="CCCCCC" w:sz="1"/>
              <w:bottom w:val="single" w:color="CCCCCC" w:sz="1"/>
              <w:right w:val="single" w:color="CCCCCC" w:sz="1"/>
            </w:tcBorders>
            <w:shd w:fill="1A5C2A" w:val="clear"/>
            <w:tcMar>
              <w:top w:type="dxa" w:w="80"/>
              <w:left w:type="dxa" w:w="160"/>
              <w:bottom w:type="dxa" w:w="80"/>
              <w:right w:type="dxa" w:w="120"/>
            </w:tcMar>
          </w:tcPr>
          <w:p>
            <w:r>
              <w:rPr>
                <w:rFonts w:ascii="Arial" w:cs="Arial" w:eastAsia="Arial" w:hAnsi="Arial"/>
                <w:b/>
                <w:bCs/>
                <w:color w:val="FFFFFF"/>
                <w:sz w:val="24"/>
                <w:szCs w:val="24"/>
              </w:rPr>
              <w:t xml:space="preserve">LRU and Mid-Life Upgrades</w:t>
            </w:r>
          </w:p>
          <w:p>
            <w:r>
              <w:rPr>
                <w:rFonts w:ascii="Arial" w:cs="Arial" w:eastAsia="Arial" w:hAnsi="Arial"/>
                <w:color w:val="DDDDDD"/>
                <w:sz w:val="16"/>
                <w:szCs w:val="16"/>
              </w:rPr>
              <w:t xml:space="preserve">Modular replacement and technology refresh over the 5-7 year service life</w:t>
            </w:r>
          </w:p>
        </w:tc>
      </w:tr>
    </w:tbl>
    <w:p>
      <w:pPr>
        <w:spacing w:after="40" w:before="40"/>
      </w:pPr>
      <w:r>
        <w:t xml:space="preserve"/>
      </w:r>
    </w:p>
    <w:p>
      <w:pPr>
        <w:pStyle w:val="Heading2"/>
        <w:spacing w:after="100" w:before="240"/>
      </w:pPr>
      <w:r>
        <w:rPr>
          <w:rFonts w:ascii="Arial" w:cs="Arial" w:eastAsia="Arial" w:hAnsi="Arial"/>
          <w:b/>
          <w:bCs/>
          <w:sz w:val="24"/>
          <w:szCs w:val="24"/>
        </w:rPr>
        <w:t xml:space="preserve">1.1 Line Replaceable Units (LRUs)</w:t>
      </w:r>
    </w:p>
    <w:p>
      <w:pPr>
        <w:spacing w:after="80" w:before="60"/>
        <w:jc w:val="both"/>
      </w:pPr>
      <w:r>
        <w:rPr>
          <w:rFonts w:ascii="Arial" w:cs="Arial" w:eastAsia="Arial" w:hAnsi="Arial"/>
          <w:sz w:val="20"/>
          <w:szCs w:val="20"/>
        </w:rPr>
        <w:t xml:space="preserve">The CoffCo assembly-swap maintenance model means all three primary assemblies are already defined and treated as LRUs. Each can be removed and replaced by a qualified field engineer in under 4 hours (MTTR target). At end of assembly life the unit returns to depot for assessment - refurbished if viable, disposed of if beyond economical repair (BER).</w:t>
      </w:r>
    </w:p>
    <w:p>
      <w:pPr>
        <w:spacing w:after="40" w:before="40"/>
      </w:pPr>
      <w:r>
        <w:t xml:space="preserve"/>
      </w:r>
    </w:p>
    <w:p>
      <w:pPr>
        <w:pStyle w:val="ListParagraph"/>
        <w:numPr>
          <w:ilvl w:val="0"/>
          <w:numId w:val="2"/>
        </w:numPr>
        <w:spacing w:after="50" w:before="50"/>
      </w:pPr>
      <w:r>
        <w:rPr>
          <w:rFonts w:ascii="Arial" w:cs="Arial" w:eastAsia="Arial" w:hAnsi="Arial"/>
          <w:b/>
          <w:bCs/>
          <w:color w:val="000000"/>
          <w:sz w:val="20"/>
          <w:szCs w:val="20"/>
        </w:rPr>
        <w:t xml:space="preserve">Control Assembly</w:t>
      </w:r>
      <w:r>
        <w:rPr>
          <w:rFonts w:ascii="Arial" w:cs="Arial" w:eastAsia="Arial" w:hAnsi="Arial"/>
          <w:sz w:val="20"/>
          <w:szCs w:val="20"/>
        </w:rPr>
        <w:t xml:space="preserve">  - PCB, firmware, wireless module, NTC sensor. Target life: 5-7 years. Refurbishment: component replacement at depot. BER trigger: corrosion, physical damage, or obsolete firmware platform with no upgrade path.</w:t>
      </w:r>
    </w:p>
    <w:p>
      <w:pPr>
        <w:pStyle w:val="ListParagraph"/>
        <w:numPr>
          <w:ilvl w:val="0"/>
          <w:numId w:val="2"/>
        </w:numPr>
        <w:spacing w:after="50" w:before="50"/>
      </w:pPr>
      <w:r>
        <w:rPr>
          <w:rFonts w:ascii="Arial" w:cs="Arial" w:eastAsia="Arial" w:hAnsi="Arial"/>
          <w:b/>
          <w:bCs/>
          <w:color w:val="000000"/>
          <w:sz w:val="20"/>
          <w:szCs w:val="20"/>
        </w:rPr>
        <w:t xml:space="preserve">Thermal Assembly</w:t>
      </w:r>
      <w:r>
        <w:rPr>
          <w:rFonts w:ascii="Arial" w:cs="Arial" w:eastAsia="Arial" w:hAnsi="Arial"/>
          <w:sz w:val="20"/>
          <w:szCs w:val="20"/>
        </w:rPr>
        <w:t xml:space="preserve">  - Heating element, pump, PRV, seals, check valve, frother. Target life: 5-7 years (seals replaced annually at PM-03). BER trigger: heater tube wall failure, pump casing craze, or irreparable scale damage.</w:t>
      </w:r>
    </w:p>
    <w:p>
      <w:pPr>
        <w:pStyle w:val="ListParagraph"/>
        <w:numPr>
          <w:ilvl w:val="0"/>
          <w:numId w:val="2"/>
        </w:numPr>
        <w:spacing w:after="50" w:before="50"/>
      </w:pPr>
      <w:r>
        <w:rPr>
          <w:rFonts w:ascii="Arial" w:cs="Arial" w:eastAsia="Arial" w:hAnsi="Arial"/>
          <w:b/>
          <w:bCs/>
          <w:color w:val="000000"/>
          <w:sz w:val="20"/>
          <w:szCs w:val="20"/>
        </w:rPr>
        <w:t xml:space="preserve">Power Supply Unit (PSU)</w:t>
      </w:r>
      <w:r>
        <w:rPr>
          <w:rFonts w:ascii="Arial" w:cs="Arial" w:eastAsia="Arial" w:hAnsi="Arial"/>
          <w:sz w:val="20"/>
          <w:szCs w:val="20"/>
        </w:rPr>
        <w:t xml:space="preserve">  - Universal switch-mode module, plug modules. Target life: 5-7 years (electrical integrity check at PM-07 Year 5). BER trigger: insulation resistance below 1 MOhm or failed IEC 60335 retest.</w:t>
      </w:r>
    </w:p>
    <w:p>
      <w:pPr>
        <w:pStyle w:val="ListParagraph"/>
        <w:numPr>
          <w:ilvl w:val="0"/>
          <w:numId w:val="2"/>
        </w:numPr>
        <w:spacing w:after="50" w:before="50"/>
      </w:pPr>
      <w:r>
        <w:rPr>
          <w:rFonts w:ascii="Arial" w:cs="Arial" w:eastAsia="Arial" w:hAnsi="Arial"/>
          <w:b/>
          <w:bCs/>
          <w:color w:val="000000"/>
          <w:sz w:val="20"/>
          <w:szCs w:val="20"/>
        </w:rPr>
        <w:t xml:space="preserve">Plug modules</w:t>
      </w:r>
      <w:r>
        <w:rPr>
          <w:rFonts w:ascii="Arial" w:cs="Arial" w:eastAsia="Arial" w:hAnsi="Arial"/>
          <w:sz w:val="20"/>
          <w:szCs w:val="20"/>
        </w:rPr>
        <w:t xml:space="preserve">  - Regional plug variants (UK/EU/US). Treated as consumables. Replaced on damage or regional standard change. Low value - no refurbishment; direct to recycling.</w:t>
      </w:r>
    </w:p>
    <w:p>
      <w:pPr>
        <w:pStyle w:val="ListParagraph"/>
        <w:numPr>
          <w:ilvl w:val="0"/>
          <w:numId w:val="2"/>
        </w:numPr>
        <w:spacing w:after="50" w:before="50"/>
      </w:pPr>
      <w:r>
        <w:rPr>
          <w:rFonts w:ascii="Arial" w:cs="Arial" w:eastAsia="Arial" w:hAnsi="Arial"/>
          <w:b/>
          <w:bCs/>
          <w:color w:val="000000"/>
          <w:sz w:val="20"/>
          <w:szCs w:val="20"/>
        </w:rPr>
        <w:t xml:space="preserve">Fluid path seals</w:t>
      </w:r>
      <w:r>
        <w:rPr>
          <w:rFonts w:ascii="Arial" w:cs="Arial" w:eastAsia="Arial" w:hAnsi="Arial"/>
          <w:sz w:val="20"/>
          <w:szCs w:val="20"/>
        </w:rPr>
        <w:t xml:space="preserve">  - FKM O-rings and gaskets. Consumable. Annual scheduled replacement at PM-03. Old seals to waste stream - no recovery value.</w:t>
      </w:r>
    </w:p>
    <w:p>
      <w:pPr>
        <w:spacing w:after="40" w:before="40"/>
      </w:pPr>
      <w:r>
        <w:t xml:space="preserve"/>
      </w:r>
    </w:p>
    <w:p>
      <w:pPr>
        <w:pStyle w:val="Heading2"/>
        <w:spacing w:after="100" w:before="240"/>
      </w:pPr>
      <w:r>
        <w:rPr>
          <w:rFonts w:ascii="Arial" w:cs="Arial" w:eastAsia="Arial" w:hAnsi="Arial"/>
          <w:b/>
          <w:bCs/>
          <w:sz w:val="24"/>
          <w:szCs w:val="24"/>
        </w:rPr>
        <w:t xml:space="preserve">1.2 Mid-Life Upgrades</w:t>
      </w:r>
    </w:p>
    <w:p>
      <w:pPr>
        <w:spacing w:after="80" w:before="60"/>
        <w:jc w:val="both"/>
      </w:pPr>
      <w:r>
        <w:rPr>
          <w:rFonts w:ascii="Arial" w:cs="Arial" w:eastAsia="Arial" w:hAnsi="Arial"/>
          <w:sz w:val="20"/>
          <w:szCs w:val="20"/>
        </w:rPr>
        <w:t xml:space="preserve">The 5-7 year service life spans multiple technology generations for wireless connectivity, firmware capability, and regulatory standards. Mid-life upgrades address technology obsolescence without full machine replacement, consistent with Design for Longevity.</w:t>
      </w:r>
    </w:p>
    <w:p>
      <w:pPr>
        <w:spacing w:after="40" w:before="40"/>
      </w:pPr>
      <w:r>
        <w:t xml:space="preserve"/>
      </w:r>
    </w:p>
    <w:p>
      <w:pPr>
        <w:pStyle w:val="ListParagraph"/>
        <w:numPr>
          <w:ilvl w:val="0"/>
          <w:numId w:val="2"/>
        </w:numPr>
        <w:spacing w:after="50" w:before="50"/>
      </w:pPr>
      <w:r>
        <w:rPr>
          <w:rFonts w:ascii="Arial" w:cs="Arial" w:eastAsia="Arial" w:hAnsi="Arial"/>
          <w:b/>
          <w:bCs/>
          <w:color w:val="000000"/>
          <w:sz w:val="20"/>
          <w:szCs w:val="20"/>
        </w:rPr>
        <w:t xml:space="preserve">Wireless module upgrade</w:t>
      </w:r>
      <w:r>
        <w:rPr>
          <w:rFonts w:ascii="Arial" w:cs="Arial" w:eastAsia="Arial" w:hAnsi="Arial"/>
          <w:sz w:val="20"/>
          <w:szCs w:val="20"/>
        </w:rPr>
        <w:t xml:space="preserve">  - TD-06 (wireless technology selection) is already deferred. The wireless module is a discrete COTS component within the Control Assembly. Replacement of the module at mid-life (Year 3-4) allows technology refresh (e.g. Wi-Fi to next-generation standard) without Control Assembly replacement. Old module to certified e-waste recycler.</w:t>
      </w:r>
    </w:p>
    <w:p>
      <w:pPr>
        <w:pStyle w:val="ListParagraph"/>
        <w:numPr>
          <w:ilvl w:val="0"/>
          <w:numId w:val="2"/>
        </w:numPr>
        <w:spacing w:after="50" w:before="50"/>
      </w:pPr>
      <w:r>
        <w:rPr>
          <w:rFonts w:ascii="Arial" w:cs="Arial" w:eastAsia="Arial" w:hAnsi="Arial"/>
          <w:b/>
          <w:bCs/>
          <w:color w:val="000000"/>
          <w:sz w:val="20"/>
          <w:szCs w:val="20"/>
        </w:rPr>
        <w:t xml:space="preserve">Firmware platform refresh</w:t>
      </w:r>
      <w:r>
        <w:rPr>
          <w:rFonts w:ascii="Arial" w:cs="Arial" w:eastAsia="Arial" w:hAnsi="Arial"/>
          <w:sz w:val="20"/>
          <w:szCs w:val="20"/>
        </w:rPr>
        <w:t xml:space="preserve">  - Delivered via OTA update (SRS 1.11, FW-SF-09) wherever possible - no hardware change required. If firmware platform becomes unsupported (e.g. RTOS end-of-life), Control Assembly swap carries the upgraded platform. Firmware change documented in cloud platform asset register.</w:t>
      </w:r>
    </w:p>
    <w:p>
      <w:pPr>
        <w:pStyle w:val="ListParagraph"/>
        <w:numPr>
          <w:ilvl w:val="0"/>
          <w:numId w:val="2"/>
        </w:numPr>
        <w:spacing w:after="50" w:before="50"/>
      </w:pPr>
      <w:r>
        <w:rPr>
          <w:rFonts w:ascii="Arial" w:cs="Arial" w:eastAsia="Arial" w:hAnsi="Arial"/>
          <w:b/>
          <w:bCs/>
          <w:color w:val="000000"/>
          <w:sz w:val="20"/>
          <w:szCs w:val="20"/>
        </w:rPr>
        <w:t xml:space="preserve">NTC holder material upgrade</w:t>
      </w:r>
      <w:r>
        <w:rPr>
          <w:rFonts w:ascii="Arial" w:cs="Arial" w:eastAsia="Arial" w:hAnsi="Arial"/>
          <w:sz w:val="20"/>
          <w:szCs w:val="20"/>
        </w:rPr>
        <w:t xml:space="preserve">  - OA-IPS-01 flagged upgrading NTC holder from PP to PPS plastic (Fan et al. evidence). When next Control Assembly refurbishment batch occurs, all NTC holders upgraded to PPS specification. No machine downtime - implemented at depot refurbishment stage.</w:t>
      </w:r>
    </w:p>
    <w:p>
      <w:pPr>
        <w:pStyle w:val="ListParagraph"/>
        <w:numPr>
          <w:ilvl w:val="0"/>
          <w:numId w:val="2"/>
        </w:numPr>
        <w:spacing w:after="50" w:before="50"/>
      </w:pPr>
      <w:r>
        <w:rPr>
          <w:rFonts w:ascii="Arial" w:cs="Arial" w:eastAsia="Arial" w:hAnsi="Arial"/>
          <w:b/>
          <w:bCs/>
          <w:color w:val="000000"/>
          <w:sz w:val="20"/>
          <w:szCs w:val="20"/>
        </w:rPr>
        <w:t xml:space="preserve">Regional regulatory adaptation</w:t>
      </w:r>
      <w:r>
        <w:rPr>
          <w:rFonts w:ascii="Arial" w:cs="Arial" w:eastAsia="Arial" w:hAnsi="Arial"/>
          <w:sz w:val="20"/>
          <w:szCs w:val="20"/>
        </w:rPr>
        <w:t xml:space="preserve">  - Plug standard changes (e.g. UK BS 1363 revision) or energy efficiency rating changes (EU energy label update) may require plug module or PSU replacement. Interchangeable plug module design (TD-03) isolates this to a single low-cost component.</w:t>
      </w:r>
    </w:p>
    <w:p>
      <w:pPr>
        <w:pStyle w:val="ListParagraph"/>
        <w:numPr>
          <w:ilvl w:val="0"/>
          <w:numId w:val="2"/>
        </w:numPr>
        <w:spacing w:after="50" w:before="50"/>
      </w:pPr>
      <w:r>
        <w:rPr>
          <w:rFonts w:ascii="Arial" w:cs="Arial" w:eastAsia="Arial" w:hAnsi="Arial"/>
          <w:b/>
          <w:bCs/>
          <w:color w:val="000000"/>
          <w:sz w:val="20"/>
          <w:szCs w:val="20"/>
        </w:rPr>
        <w:t xml:space="preserve">Consumable format upgrade</w:t>
      </w:r>
      <w:r>
        <w:rPr>
          <w:rFonts w:ascii="Arial" w:cs="Arial" w:eastAsia="Arial" w:hAnsi="Arial"/>
          <w:sz w:val="20"/>
          <w:szCs w:val="20"/>
        </w:rPr>
        <w:t xml:space="preserve">  - If CoffCo refreshes the consumable format (CoffCo IP), the extraction chamber interlock (SRS 1.4 keyed geometry) may require update. This is a Thermal Assembly or Fluid Store change only - does not affect Control Assembly or PSU.</w:t>
      </w:r>
    </w:p>
    <w:p>
      <w:pPr>
        <w:pStyle w:val="ListParagraph"/>
        <w:numPr>
          <w:ilvl w:val="0"/>
          <w:numId w:val="2"/>
        </w:numPr>
        <w:spacing w:after="50" w:before="50"/>
      </w:pPr>
      <w:r>
        <w:rPr>
          <w:rFonts w:ascii="Arial" w:cs="Arial" w:eastAsia="Arial" w:hAnsi="Arial"/>
          <w:b/>
          <w:bCs/>
          <w:color w:val="000000"/>
          <w:sz w:val="20"/>
          <w:szCs w:val="20"/>
        </w:rPr>
        <w:t xml:space="preserve">Refrigeration upgrade</w:t>
      </w:r>
      <w:r>
        <w:rPr>
          <w:rFonts w:ascii="Arial" w:cs="Arial" w:eastAsia="Arial" w:hAnsi="Arial"/>
          <w:sz w:val="20"/>
          <w:szCs w:val="20"/>
        </w:rPr>
        <w:t xml:space="preserve">  - Peltier cooler technology improving rapidly. Mid-life swap to higher-efficiency Peltier module reduces energy consumption and supports Vacation Stables 2030 sustainability target.</w:t>
      </w:r>
    </w:p>
    <w:p>
      <w:pPr>
        <w:spacing w:after="40" w:before="40"/>
      </w:pPr>
      <w:r>
        <w:t xml:space="preserve"/>
      </w:r>
    </w:p>
    <w:p>
      <w:pPr>
        <w:spacing w:after="80" w:before="60"/>
        <w:jc w:val="both"/>
      </w:pPr>
      <w:r>
        <w:rPr>
          <w:rFonts w:ascii="Arial" w:cs="Arial" w:eastAsia="Arial" w:hAnsi="Arial"/>
          <w:sz w:val="20"/>
          <w:szCs w:val="20"/>
        </w:rPr>
        <w:t xml:space="preserve">All mid-life upgrade activities produce waste assemblies or components. Each is subject to the same disposal process as end-of-life material. Upgrade scope and waste volumes are documented in the cloud platform asset register per machine.</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80"/>
        <w:gridCol w:w="9000"/>
      </w:tblGrid>
      <w:tr>
        <w:tc>
          <w:tcPr>
            <w:tcW w:type="dxa" w:w="1080"/>
            <w:tcBorders>
              <w:top w:val="single" w:color="CCCCCC" w:sz="1"/>
              <w:left w:val="single" w:color="CCCCCC" w:sz="1"/>
              <w:bottom w:val="single" w:color="CCCCCC" w:sz="1"/>
              <w:right w:val="single" w:color="CCCCCC" w:sz="1"/>
            </w:tcBorders>
            <w:shd w:fill="0D5C5C" w:val="clear"/>
            <w:tcMar>
              <w:top w:type="dxa" w:w="80"/>
              <w:left w:type="dxa" w:w="100"/>
              <w:bottom w:type="dxa" w:w="80"/>
              <w:right w:type="dxa" w:w="100"/>
            </w:tcMar>
          </w:tcPr>
          <w:p>
            <w:pPr>
              <w:jc w:val="center"/>
            </w:pPr>
            <w:r>
              <w:rPr>
                <w:rFonts w:ascii="Arial" w:cs="Arial" w:eastAsia="Arial" w:hAnsi="Arial"/>
                <w:b/>
                <w:bCs/>
                <w:color w:val="FFFFFF"/>
                <w:sz w:val="36"/>
                <w:szCs w:val="36"/>
              </w:rPr>
              <w:t xml:space="preserve">2</w:t>
            </w:r>
          </w:p>
        </w:tc>
        <w:tc>
          <w:tcPr>
            <w:tcW w:type="dxa" w:w="9000"/>
            <w:tcBorders>
              <w:top w:val="single" w:color="CCCCCC" w:sz="1"/>
              <w:left w:val="single" w:color="CCCCCC" w:sz="1"/>
              <w:bottom w:val="single" w:color="CCCCCC" w:sz="1"/>
              <w:right w:val="single" w:color="CCCCCC" w:sz="1"/>
            </w:tcBorders>
            <w:shd w:fill="0D5C5C" w:val="clear"/>
            <w:tcMar>
              <w:top w:type="dxa" w:w="80"/>
              <w:left w:type="dxa" w:w="160"/>
              <w:bottom w:type="dxa" w:w="80"/>
              <w:right w:type="dxa" w:w="120"/>
            </w:tcMar>
          </w:tcPr>
          <w:p>
            <w:r>
              <w:rPr>
                <w:rFonts w:ascii="Arial" w:cs="Arial" w:eastAsia="Arial" w:hAnsi="Arial"/>
                <w:b/>
                <w:bCs/>
                <w:color w:val="FFFFFF"/>
                <w:sz w:val="24"/>
                <w:szCs w:val="24"/>
              </w:rPr>
              <w:t xml:space="preserve">Environmental Considerations</w:t>
            </w:r>
          </w:p>
          <w:p>
            <w:r>
              <w:rPr>
                <w:rFonts w:ascii="Arial" w:cs="Arial" w:eastAsia="Arial" w:hAnsi="Arial"/>
                <w:color w:val="DDDDDD"/>
                <w:sz w:val="16"/>
                <w:szCs w:val="16"/>
              </w:rPr>
              <w:t xml:space="preserve">Minimising environmental impact throughout the disposal process</w:t>
            </w:r>
          </w:p>
        </w:tc>
      </w:tr>
    </w:tbl>
    <w:p>
      <w:pPr>
        <w:spacing w:after="40" w:before="40"/>
      </w:pPr>
      <w:r>
        <w:t xml:space="preserve"/>
      </w:r>
    </w:p>
    <w:p>
      <w:pPr>
        <w:pStyle w:val="ListParagraph"/>
        <w:numPr>
          <w:ilvl w:val="0"/>
          <w:numId w:val="2"/>
        </w:numPr>
        <w:spacing w:after="50" w:before="50"/>
      </w:pPr>
      <w:r>
        <w:rPr>
          <w:rFonts w:ascii="Arial" w:cs="Arial" w:eastAsia="Arial" w:hAnsi="Arial"/>
          <w:b/>
          <w:bCs/>
          <w:color w:val="000000"/>
          <w:sz w:val="20"/>
          <w:szCs w:val="20"/>
        </w:rPr>
        <w:t xml:space="preserve">Zero-landfill target</w:t>
      </w:r>
      <w:r>
        <w:rPr>
          <w:rFonts w:ascii="Arial" w:cs="Arial" w:eastAsia="Arial" w:hAnsi="Arial"/>
          <w:sz w:val="20"/>
          <w:szCs w:val="20"/>
        </w:rPr>
        <w:t xml:space="preserve">  - SRS 3.7 mandates that all waste streams from operation and disposal have a confirmed recycling, reuse, or recovery route. No CoffCo waste stream is permitted to go to landfill. This applies to machine assemblies, consumable packaging, fluid path residues, and descale waste.</w:t>
      </w:r>
    </w:p>
    <w:p>
      <w:pPr>
        <w:pStyle w:val="ListParagraph"/>
        <w:numPr>
          <w:ilvl w:val="0"/>
          <w:numId w:val="2"/>
        </w:numPr>
        <w:spacing w:after="50" w:before="50"/>
      </w:pPr>
      <w:r>
        <w:rPr>
          <w:rFonts w:ascii="Arial" w:cs="Arial" w:eastAsia="Arial" w:hAnsi="Arial"/>
          <w:b/>
          <w:bCs/>
          <w:color w:val="000000"/>
          <w:sz w:val="20"/>
          <w:szCs w:val="20"/>
        </w:rPr>
        <w:t xml:space="preserve">Circular economy design</w:t>
      </w:r>
      <w:r>
        <w:rPr>
          <w:rFonts w:ascii="Arial" w:cs="Arial" w:eastAsia="Arial" w:hAnsi="Arial"/>
          <w:sz w:val="20"/>
          <w:szCs w:val="20"/>
        </w:rPr>
        <w:t xml:space="preserve">  - SRS 3.4 (min 50% recycled content) means the machine casing is already partly recycled polymer. End-of-life recycling closes this loop - shredded polymer casing re-enters the recycled polymer supply chain as secondary raw material.</w:t>
      </w:r>
    </w:p>
    <w:p>
      <w:pPr>
        <w:pStyle w:val="ListParagraph"/>
        <w:numPr>
          <w:ilvl w:val="0"/>
          <w:numId w:val="2"/>
        </w:numPr>
        <w:spacing w:after="50" w:before="50"/>
      </w:pPr>
      <w:r>
        <w:rPr>
          <w:rFonts w:ascii="Arial" w:cs="Arial" w:eastAsia="Arial" w:hAnsi="Arial"/>
          <w:b/>
          <w:bCs/>
          <w:color w:val="000000"/>
          <w:sz w:val="20"/>
          <w:szCs w:val="20"/>
        </w:rPr>
        <w:t xml:space="preserve">Greenhouse gas reduction</w:t>
      </w:r>
      <w:r>
        <w:rPr>
          <w:rFonts w:ascii="Arial" w:cs="Arial" w:eastAsia="Arial" w:hAnsi="Arial"/>
          <w:sz w:val="20"/>
          <w:szCs w:val="20"/>
        </w:rPr>
        <w:t xml:space="preserve">  - Aligned to Vacation Stables 2030 carbon footprint reduction target (50%). Disposal activities: field engineer travel minimised by grouping machine collections; packaging return logistics combined with assembly swap returns; digital documentation eliminates paper waste in disposal process.</w:t>
      </w:r>
    </w:p>
    <w:p>
      <w:pPr>
        <w:pStyle w:val="ListParagraph"/>
        <w:numPr>
          <w:ilvl w:val="0"/>
          <w:numId w:val="2"/>
        </w:numPr>
        <w:spacing w:after="50" w:before="50"/>
      </w:pPr>
      <w:r>
        <w:rPr>
          <w:rFonts w:ascii="Arial" w:cs="Arial" w:eastAsia="Arial" w:hAnsi="Arial"/>
          <w:b/>
          <w:bCs/>
          <w:color w:val="000000"/>
          <w:sz w:val="20"/>
          <w:szCs w:val="20"/>
        </w:rPr>
        <w:t xml:space="preserve">Electronic waste (e-waste)</w:t>
      </w:r>
      <w:r>
        <w:rPr>
          <w:rFonts w:ascii="Arial" w:cs="Arial" w:eastAsia="Arial" w:hAnsi="Arial"/>
          <w:sz w:val="20"/>
          <w:szCs w:val="20"/>
        </w:rPr>
        <w:t xml:space="preserve">  - PCBAs contain precious metals (gold, silver, palladium on connector contacts and PCB pads). All PCBAs to certified WEEE-compliant e-waste recycler for precious metal recovery - this has positive residual value, partially offsetting disposal cost.</w:t>
      </w:r>
    </w:p>
    <w:p>
      <w:pPr>
        <w:pStyle w:val="ListParagraph"/>
        <w:numPr>
          <w:ilvl w:val="0"/>
          <w:numId w:val="2"/>
        </w:numPr>
        <w:spacing w:after="50" w:before="50"/>
      </w:pPr>
      <w:r>
        <w:rPr>
          <w:rFonts w:ascii="Arial" w:cs="Arial" w:eastAsia="Arial" w:hAnsi="Arial"/>
          <w:b/>
          <w:bCs/>
          <w:color w:val="000000"/>
          <w:sz w:val="20"/>
          <w:szCs w:val="20"/>
        </w:rPr>
        <w:t xml:space="preserve">Refrigerant (Peltier cooler)</w:t>
      </w:r>
      <w:r>
        <w:rPr>
          <w:rFonts w:ascii="Arial" w:cs="Arial" w:eastAsia="Arial" w:hAnsi="Arial"/>
          <w:sz w:val="20"/>
          <w:szCs w:val="20"/>
        </w:rPr>
        <w:t xml:space="preserve">  - Peltier cooler contains no F-gases or refrigerant fluid - it is a solid-state thermoelectric device. No refrigerant disposal obligations. Advantage over compressor-based milk refrigeration.</w:t>
      </w:r>
    </w:p>
    <w:p>
      <w:pPr>
        <w:pStyle w:val="ListParagraph"/>
        <w:numPr>
          <w:ilvl w:val="0"/>
          <w:numId w:val="2"/>
        </w:numPr>
        <w:spacing w:after="50" w:before="50"/>
      </w:pPr>
      <w:r>
        <w:rPr>
          <w:rFonts w:ascii="Arial" w:cs="Arial" w:eastAsia="Arial" w:hAnsi="Arial"/>
          <w:b/>
          <w:bCs/>
          <w:color w:val="000000"/>
          <w:sz w:val="20"/>
          <w:szCs w:val="20"/>
        </w:rPr>
        <w:t xml:space="preserve">Fluid residues</w:t>
      </w:r>
      <w:r>
        <w:rPr>
          <w:rFonts w:ascii="Arial" w:cs="Arial" w:eastAsia="Arial" w:hAnsi="Arial"/>
          <w:sz w:val="20"/>
          <w:szCs w:val="20"/>
        </w:rPr>
        <w:t xml:space="preserve">  - Thermal Assembly fluid path contains water residues and potentially scale deposits. HACCP clean performed before dispatch. Descale fluid (citric acid-based) is non-hazardous for disposal but must be flushed to drain, not to landfill. Rinse water routed to hotel drain system.</w:t>
      </w:r>
    </w:p>
    <w:p>
      <w:pPr>
        <w:pStyle w:val="ListParagraph"/>
        <w:numPr>
          <w:ilvl w:val="0"/>
          <w:numId w:val="2"/>
        </w:numPr>
        <w:spacing w:after="50" w:before="50"/>
      </w:pPr>
      <w:r>
        <w:rPr>
          <w:rFonts w:ascii="Arial" w:cs="Arial" w:eastAsia="Arial" w:hAnsi="Arial"/>
          <w:b/>
          <w:bCs/>
          <w:color w:val="000000"/>
          <w:sz w:val="20"/>
          <w:szCs w:val="20"/>
        </w:rPr>
        <w:t xml:space="preserve">Packaging disposal</w:t>
      </w:r>
      <w:r>
        <w:rPr>
          <w:rFonts w:ascii="Arial" w:cs="Arial" w:eastAsia="Arial" w:hAnsi="Arial"/>
          <w:sz w:val="20"/>
          <w:szCs w:val="20"/>
        </w:rPr>
        <w:t xml:space="preserve">  - All packaging materials specified as either recyclable or returnable (return carton scheme). No single-use plastic film. Foam inserts: expanded polypropylene (EPP) - recyclable. Carton: corrugated cardboard - recyclable.</w:t>
      </w:r>
    </w:p>
    <w:p>
      <w:pPr>
        <w:pStyle w:val="ListParagraph"/>
        <w:numPr>
          <w:ilvl w:val="0"/>
          <w:numId w:val="2"/>
        </w:numPr>
        <w:spacing w:after="50" w:before="50"/>
      </w:pPr>
      <w:r>
        <w:rPr>
          <w:rFonts w:ascii="Arial" w:cs="Arial" w:eastAsia="Arial" w:hAnsi="Arial"/>
          <w:b/>
          <w:bCs/>
          <w:color w:val="000000"/>
          <w:sz w:val="20"/>
          <w:szCs w:val="20"/>
        </w:rPr>
        <w:t xml:space="preserve">Carbon accounting</w:t>
      </w:r>
      <w:r>
        <w:rPr>
          <w:rFonts w:ascii="Arial" w:cs="Arial" w:eastAsia="Arial" w:hAnsi="Arial"/>
          <w:sz w:val="20"/>
          <w:szCs w:val="20"/>
        </w:rPr>
        <w:t xml:space="preserve">  - Disposal activities included in CoffCo lifecycle carbon model. Transport emissions from machine collection logged. Recycler certified to ISO 14001.</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80"/>
        <w:gridCol w:w="9000"/>
      </w:tblGrid>
      <w:tr>
        <w:tc>
          <w:tcPr>
            <w:tcW w:type="dxa" w:w="1080"/>
            <w:tcBorders>
              <w:top w:val="single" w:color="CCCCCC" w:sz="1"/>
              <w:left w:val="single" w:color="CCCCCC" w:sz="1"/>
              <w:bottom w:val="single" w:color="CCCCCC" w:sz="1"/>
              <w:right w:val="single" w:color="CCCCCC" w:sz="1"/>
            </w:tcBorders>
            <w:shd w:fill="2E5B9A" w:val="clear"/>
            <w:tcMar>
              <w:top w:type="dxa" w:w="80"/>
              <w:left w:type="dxa" w:w="100"/>
              <w:bottom w:type="dxa" w:w="80"/>
              <w:right w:type="dxa" w:w="100"/>
            </w:tcMar>
          </w:tcPr>
          <w:p>
            <w:pPr>
              <w:jc w:val="center"/>
            </w:pPr>
            <w:r>
              <w:rPr>
                <w:rFonts w:ascii="Arial" w:cs="Arial" w:eastAsia="Arial" w:hAnsi="Arial"/>
                <w:b/>
                <w:bCs/>
                <w:color w:val="FFFFFF"/>
                <w:sz w:val="36"/>
                <w:szCs w:val="36"/>
              </w:rPr>
              <w:t xml:space="preserve">3</w:t>
            </w:r>
          </w:p>
        </w:tc>
        <w:tc>
          <w:tcPr>
            <w:tcW w:type="dxa" w:w="9000"/>
            <w:tcBorders>
              <w:top w:val="single" w:color="CCCCCC" w:sz="1"/>
              <w:left w:val="single" w:color="CCCCCC" w:sz="1"/>
              <w:bottom w:val="single" w:color="CCCCCC" w:sz="1"/>
              <w:right w:val="single" w:color="CCCCCC" w:sz="1"/>
            </w:tcBorders>
            <w:shd w:fill="2E5B9A" w:val="clear"/>
            <w:tcMar>
              <w:top w:type="dxa" w:w="80"/>
              <w:left w:type="dxa" w:w="160"/>
              <w:bottom w:type="dxa" w:w="80"/>
              <w:right w:type="dxa" w:w="120"/>
            </w:tcMar>
          </w:tcPr>
          <w:p>
            <w:r>
              <w:rPr>
                <w:rFonts w:ascii="Arial" w:cs="Arial" w:eastAsia="Arial" w:hAnsi="Arial"/>
                <w:b/>
                <w:bCs/>
                <w:color w:val="FFFFFF"/>
                <w:sz w:val="24"/>
                <w:szCs w:val="24"/>
              </w:rPr>
              <w:t xml:space="preserve">Resource Management</w:t>
            </w:r>
          </w:p>
          <w:p>
            <w:r>
              <w:rPr>
                <w:rFonts w:ascii="Arial" w:cs="Arial" w:eastAsia="Arial" w:hAnsi="Arial"/>
                <w:color w:val="DDDDDD"/>
                <w:sz w:val="16"/>
                <w:szCs w:val="16"/>
              </w:rPr>
              <w:t xml:space="preserve">Maximising material recovery and resource efficiency at end of life</w:t>
            </w:r>
          </w:p>
        </w:tc>
      </w:tr>
    </w:tbl>
    <w:p>
      <w:pPr>
        <w:spacing w:after="40" w:before="40"/>
      </w:pPr>
      <w:r>
        <w:t xml:space="preserve"/>
      </w:r>
    </w:p>
    <w:p>
      <w:pPr>
        <w:pStyle w:val="ListParagraph"/>
        <w:numPr>
          <w:ilvl w:val="0"/>
          <w:numId w:val="2"/>
        </w:numPr>
        <w:spacing w:after="50" w:before="50"/>
      </w:pPr>
      <w:r>
        <w:rPr>
          <w:rFonts w:ascii="Arial" w:cs="Arial" w:eastAsia="Arial" w:hAnsi="Arial"/>
          <w:b/>
          <w:bCs/>
          <w:color w:val="000000"/>
          <w:sz w:val="20"/>
          <w:szCs w:val="20"/>
        </w:rPr>
        <w:t xml:space="preserve">Refurbishment-first principle</w:t>
      </w:r>
      <w:r>
        <w:rPr>
          <w:rFonts w:ascii="Arial" w:cs="Arial" w:eastAsia="Arial" w:hAnsi="Arial"/>
          <w:sz w:val="20"/>
          <w:szCs w:val="20"/>
        </w:rPr>
        <w:t xml:space="preserve">  - Target: 60% of machines refurbished and redeployed rather than scrapped. Refurbishment is the highest-value recovery route - the machine chassis, structural casing, and non-worn assemblies retain most of their value. BER declaration is a last resort, not a default.</w:t>
      </w:r>
    </w:p>
    <w:p>
      <w:pPr>
        <w:pStyle w:val="ListParagraph"/>
        <w:numPr>
          <w:ilvl w:val="0"/>
          <w:numId w:val="2"/>
        </w:numPr>
        <w:spacing w:after="50" w:before="50"/>
      </w:pPr>
      <w:r>
        <w:rPr>
          <w:rFonts w:ascii="Arial" w:cs="Arial" w:eastAsia="Arial" w:hAnsi="Arial"/>
          <w:b/>
          <w:bCs/>
          <w:color w:val="000000"/>
          <w:sz w:val="20"/>
          <w:szCs w:val="20"/>
        </w:rPr>
        <w:t xml:space="preserve">Material recovery hierarchy</w:t>
      </w:r>
      <w:r>
        <w:rPr>
          <w:rFonts w:ascii="Arial" w:cs="Arial" w:eastAsia="Arial" w:hAnsi="Arial"/>
          <w:sz w:val="20"/>
          <w:szCs w:val="20"/>
        </w:rPr>
        <w:t xml:space="preserve">  - Priority 1: Reuse (whole assembly refurbishment). Priority 2: Remanufacture (component-level repair at depot). Priority 3: Recycle (material recovery from BER assemblies). Priority 4: Energy recovery (where material recycling is not viable). Priority 5: Landfill - prohibited.</w:t>
      </w:r>
    </w:p>
    <w:p>
      <w:pPr>
        <w:pStyle w:val="ListParagraph"/>
        <w:numPr>
          <w:ilvl w:val="0"/>
          <w:numId w:val="2"/>
        </w:numPr>
        <w:spacing w:after="50" w:before="50"/>
      </w:pPr>
      <w:r>
        <w:rPr>
          <w:rFonts w:ascii="Arial" w:cs="Arial" w:eastAsia="Arial" w:hAnsi="Arial"/>
          <w:b/>
          <w:bCs/>
          <w:color w:val="000000"/>
          <w:sz w:val="20"/>
          <w:szCs w:val="20"/>
        </w:rPr>
        <w:t xml:space="preserve">Precious metal recovery</w:t>
      </w:r>
      <w:r>
        <w:rPr>
          <w:rFonts w:ascii="Arial" w:cs="Arial" w:eastAsia="Arial" w:hAnsi="Arial"/>
          <w:sz w:val="20"/>
          <w:szCs w:val="20"/>
        </w:rPr>
        <w:t xml:space="preserve">  - Control Assembly PCBAs yield approx. 0.1-0.3g of gold per board (contact plating, PCB surface finish). At scale, PCBA recycling generates positive recovery value. All PCBAs to London Metal Exchange-registered recycler with documented recovery rates.</w:t>
      </w:r>
    </w:p>
    <w:p>
      <w:pPr>
        <w:pStyle w:val="ListParagraph"/>
        <w:numPr>
          <w:ilvl w:val="0"/>
          <w:numId w:val="2"/>
        </w:numPr>
        <w:spacing w:after="50" w:before="50"/>
      </w:pPr>
      <w:r>
        <w:rPr>
          <w:rFonts w:ascii="Arial" w:cs="Arial" w:eastAsia="Arial" w:hAnsi="Arial"/>
          <w:b/>
          <w:bCs/>
          <w:color w:val="000000"/>
          <w:sz w:val="20"/>
          <w:szCs w:val="20"/>
        </w:rPr>
        <w:t xml:space="preserve">Polymer recovery</w:t>
      </w:r>
      <w:r>
        <w:rPr>
          <w:rFonts w:ascii="Arial" w:cs="Arial" w:eastAsia="Arial" w:hAnsi="Arial"/>
          <w:sz w:val="20"/>
          <w:szCs w:val="20"/>
        </w:rPr>
        <w:t xml:space="preserve">  - PPS casing (lid, chassis) and recycled polymer body: material-separated before processing. PPS has high intrinsic value as a recycled polymer - routed to specialist PPS recycler rather than general plastics stream. PP/ABS components to general polymer recycler.</w:t>
      </w:r>
    </w:p>
    <w:p>
      <w:pPr>
        <w:pStyle w:val="ListParagraph"/>
        <w:numPr>
          <w:ilvl w:val="0"/>
          <w:numId w:val="2"/>
        </w:numPr>
        <w:spacing w:after="50" w:before="50"/>
      </w:pPr>
      <w:r>
        <w:rPr>
          <w:rFonts w:ascii="Arial" w:cs="Arial" w:eastAsia="Arial" w:hAnsi="Arial"/>
          <w:b/>
          <w:bCs/>
          <w:color w:val="000000"/>
          <w:sz w:val="20"/>
          <w:szCs w:val="20"/>
        </w:rPr>
        <w:t xml:space="preserve">Metal recovery</w:t>
      </w:r>
      <w:r>
        <w:rPr>
          <w:rFonts w:ascii="Arial" w:cs="Arial" w:eastAsia="Arial" w:hAnsi="Arial"/>
          <w:sz w:val="20"/>
          <w:szCs w:val="20"/>
        </w:rPr>
        <w:t xml:space="preserve">  - Stainless steel (thermal pathway), copper (wiring), aluminium (heater tube, chassis reinforcement): separated by material type at disassembly. All to certified metal recycler.</w:t>
      </w:r>
    </w:p>
    <w:p>
      <w:pPr>
        <w:pStyle w:val="ListParagraph"/>
        <w:numPr>
          <w:ilvl w:val="0"/>
          <w:numId w:val="2"/>
        </w:numPr>
        <w:spacing w:after="50" w:before="50"/>
      </w:pPr>
      <w:r>
        <w:rPr>
          <w:rFonts w:ascii="Arial" w:cs="Arial" w:eastAsia="Arial" w:hAnsi="Arial"/>
          <w:b/>
          <w:bCs/>
          <w:color w:val="000000"/>
          <w:sz w:val="20"/>
          <w:szCs w:val="20"/>
        </w:rPr>
        <w:t xml:space="preserve">Consumable waste</w:t>
      </w:r>
      <w:r>
        <w:rPr>
          <w:rFonts w:ascii="Arial" w:cs="Arial" w:eastAsia="Arial" w:hAnsi="Arial"/>
          <w:sz w:val="20"/>
          <w:szCs w:val="20"/>
        </w:rPr>
        <w:t xml:space="preserve">  - CoffCo consumable supply partner operates a take-back scheme as a contractual condition of supply (SRS 3.7). Used consumables collected in recycling pouches by housekeeping, collected by supply partner on next delivery. Coffee grounds: composting route. Packaging: recyclable.</w:t>
      </w:r>
    </w:p>
    <w:p>
      <w:pPr>
        <w:pStyle w:val="ListParagraph"/>
        <w:numPr>
          <w:ilvl w:val="0"/>
          <w:numId w:val="2"/>
        </w:numPr>
        <w:spacing w:after="50" w:before="50"/>
      </w:pPr>
      <w:r>
        <w:rPr>
          <w:rFonts w:ascii="Arial" w:cs="Arial" w:eastAsia="Arial" w:hAnsi="Arial"/>
          <w:b/>
          <w:bCs/>
          <w:color w:val="000000"/>
          <w:sz w:val="20"/>
          <w:szCs w:val="20"/>
        </w:rPr>
        <w:t xml:space="preserve">Milk packaging waste</w:t>
      </w:r>
      <w:r>
        <w:rPr>
          <w:rFonts w:ascii="Arial" w:cs="Arial" w:eastAsia="Arial" w:hAnsi="Arial"/>
          <w:sz w:val="20"/>
          <w:szCs w:val="20"/>
        </w:rPr>
        <w:t xml:space="preserve">  - Guest-provided milk packaging (carton/bottle): hotel waste stream. Vacation Stables responsible for routing to recycling per local authority scheme.</w:t>
      </w:r>
    </w:p>
    <w:p>
      <w:pPr>
        <w:pStyle w:val="ListParagraph"/>
        <w:numPr>
          <w:ilvl w:val="0"/>
          <w:numId w:val="2"/>
        </w:numPr>
        <w:spacing w:after="50" w:before="50"/>
      </w:pPr>
      <w:r>
        <w:rPr>
          <w:rFonts w:ascii="Arial" w:cs="Arial" w:eastAsia="Arial" w:hAnsi="Arial"/>
          <w:b/>
          <w:bCs/>
          <w:color w:val="000000"/>
          <w:sz w:val="20"/>
          <w:szCs w:val="20"/>
        </w:rPr>
        <w:t xml:space="preserve">Data sanitisation</w:t>
      </w:r>
      <w:r>
        <w:rPr>
          <w:rFonts w:ascii="Arial" w:cs="Arial" w:eastAsia="Arial" w:hAnsi="Arial"/>
          <w:sz w:val="20"/>
          <w:szCs w:val="20"/>
        </w:rPr>
        <w:t xml:space="preserve">  - Control Assembly non-volatile memory holds machine config data (water hardness calibration, firmware version, brew count) and fault log. No guest personal data stored (GDPR). Cloud platform deregisters machine on collection; local flash memory overwritten to zero. No physical destruction of PCB required for data sanitisation.</w:t>
      </w:r>
    </w:p>
    <w:p>
      <w:pPr>
        <w:pStyle w:val="ListParagraph"/>
        <w:numPr>
          <w:ilvl w:val="0"/>
          <w:numId w:val="2"/>
        </w:numPr>
        <w:spacing w:after="50" w:before="50"/>
      </w:pPr>
      <w:r>
        <w:rPr>
          <w:rFonts w:ascii="Arial" w:cs="Arial" w:eastAsia="Arial" w:hAnsi="Arial"/>
          <w:b/>
          <w:bCs/>
          <w:color w:val="000000"/>
          <w:sz w:val="20"/>
          <w:szCs w:val="20"/>
        </w:rPr>
        <w:t xml:space="preserve">Descale fluid residue</w:t>
      </w:r>
      <w:r>
        <w:rPr>
          <w:rFonts w:ascii="Arial" w:cs="Arial" w:eastAsia="Arial" w:hAnsi="Arial"/>
          <w:sz w:val="20"/>
          <w:szCs w:val="20"/>
        </w:rPr>
        <w:t xml:space="preserve">  - Citric acid-based descale fluid flushed to hotel drain. No hazardous waste classification. Documented per COSHH assessment.</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80"/>
        <w:gridCol w:w="9000"/>
      </w:tblGrid>
      <w:tr>
        <w:tc>
          <w:tcPr>
            <w:tcW w:type="dxa" w:w="1080"/>
            <w:tcBorders>
              <w:top w:val="single" w:color="CCCCCC" w:sz="1"/>
              <w:left w:val="single" w:color="CCCCCC" w:sz="1"/>
              <w:bottom w:val="single" w:color="CCCCCC" w:sz="1"/>
              <w:right w:val="single" w:color="CCCCCC" w:sz="1"/>
            </w:tcBorders>
            <w:shd w:fill="C00000" w:val="clear"/>
            <w:tcMar>
              <w:top w:type="dxa" w:w="80"/>
              <w:left w:type="dxa" w:w="100"/>
              <w:bottom w:type="dxa" w:w="80"/>
              <w:right w:type="dxa" w:w="100"/>
            </w:tcMar>
          </w:tcPr>
          <w:p>
            <w:pPr>
              <w:jc w:val="center"/>
            </w:pPr>
            <w:r>
              <w:rPr>
                <w:rFonts w:ascii="Arial" w:cs="Arial" w:eastAsia="Arial" w:hAnsi="Arial"/>
                <w:b/>
                <w:bCs/>
                <w:color w:val="FFFFFF"/>
                <w:sz w:val="36"/>
                <w:szCs w:val="36"/>
              </w:rPr>
              <w:t xml:space="preserve">4</w:t>
            </w:r>
          </w:p>
        </w:tc>
        <w:tc>
          <w:tcPr>
            <w:tcW w:type="dxa" w:w="9000"/>
            <w:tcBorders>
              <w:top w:val="single" w:color="CCCCCC" w:sz="1"/>
              <w:left w:val="single" w:color="CCCCCC" w:sz="1"/>
              <w:bottom w:val="single" w:color="CCCCCC" w:sz="1"/>
              <w:right w:val="single" w:color="CCCCCC" w:sz="1"/>
            </w:tcBorders>
            <w:shd w:fill="C00000" w:val="clear"/>
            <w:tcMar>
              <w:top w:type="dxa" w:w="80"/>
              <w:left w:type="dxa" w:w="160"/>
              <w:bottom w:type="dxa" w:w="80"/>
              <w:right w:type="dxa" w:w="120"/>
            </w:tcMar>
          </w:tcPr>
          <w:p>
            <w:r>
              <w:rPr>
                <w:rFonts w:ascii="Arial" w:cs="Arial" w:eastAsia="Arial" w:hAnsi="Arial"/>
                <w:b/>
                <w:bCs/>
                <w:color w:val="FFFFFF"/>
                <w:sz w:val="24"/>
                <w:szCs w:val="24"/>
              </w:rPr>
              <w:t xml:space="preserve">Health and Safety</w:t>
            </w:r>
          </w:p>
          <w:p>
            <w:r>
              <w:rPr>
                <w:rFonts w:ascii="Arial" w:cs="Arial" w:eastAsia="Arial" w:hAnsi="Arial"/>
                <w:color w:val="DDDDDD"/>
                <w:sz w:val="16"/>
                <w:szCs w:val="16"/>
              </w:rPr>
              <w:t xml:space="preserve">Protecting workers and the community throughout disposal activities</w:t>
            </w:r>
          </w:p>
        </w:tc>
      </w:tr>
    </w:tbl>
    <w:p>
      <w:pPr>
        <w:spacing w:after="40" w:before="40"/>
      </w:pPr>
      <w:r>
        <w:t xml:space="preserve"/>
      </w:r>
    </w:p>
    <w:p>
      <w:pPr>
        <w:pStyle w:val="ListParagraph"/>
        <w:numPr>
          <w:ilvl w:val="0"/>
          <w:numId w:val="2"/>
        </w:numPr>
        <w:spacing w:after="50" w:before="50"/>
      </w:pPr>
      <w:r>
        <w:rPr>
          <w:rFonts w:ascii="Arial" w:cs="Arial" w:eastAsia="Arial" w:hAnsi="Arial"/>
          <w:b/>
          <w:bCs/>
          <w:color w:val="000000"/>
          <w:sz w:val="20"/>
          <w:szCs w:val="20"/>
        </w:rPr>
        <w:t xml:space="preserve">COSHH compliance</w:t>
      </w:r>
      <w:r>
        <w:rPr>
          <w:rFonts w:ascii="Arial" w:cs="Arial" w:eastAsia="Arial" w:hAnsi="Arial"/>
          <w:sz w:val="20"/>
          <w:szCs w:val="20"/>
        </w:rPr>
        <w:t xml:space="preserve">  - Control of Substances Hazardous to Health Regulations 2002 applies to disposal workers handling descale fluid (citric acid - irritant, GHS07), solder flux residues on PCBAs (low hazard but ventilation required), and cleaning agents. COSHH assessment completed by CoffCo before disposal activities commence. Appropriate PPE specified.</w:t>
      </w:r>
    </w:p>
    <w:p>
      <w:pPr>
        <w:pStyle w:val="ListParagraph"/>
        <w:numPr>
          <w:ilvl w:val="0"/>
          <w:numId w:val="2"/>
        </w:numPr>
        <w:spacing w:after="50" w:before="50"/>
      </w:pPr>
      <w:r>
        <w:rPr>
          <w:rFonts w:ascii="Arial" w:cs="Arial" w:eastAsia="Arial" w:hAnsi="Arial"/>
          <w:b/>
          <w:bCs/>
          <w:color w:val="000000"/>
          <w:sz w:val="20"/>
          <w:szCs w:val="20"/>
        </w:rPr>
        <w:t xml:space="preserve">Electrical safety</w:t>
      </w:r>
      <w:r>
        <w:rPr>
          <w:rFonts w:ascii="Arial" w:cs="Arial" w:eastAsia="Arial" w:hAnsi="Arial"/>
          <w:sz w:val="20"/>
          <w:szCs w:val="20"/>
        </w:rPr>
        <w:t xml:space="preserve">  - All machines fully de-energised before collection. Field engineer confirms mains cable removed and machine is powered down. Visual confirmation that machine is not plugged in at time of packaging. IPX2 enclosure provides protection against residual fluid during handling. IEC 60335-1 Class II construction means no accessible live voltage in de-energised state.</w:t>
      </w:r>
    </w:p>
    <w:p>
      <w:pPr>
        <w:pStyle w:val="ListParagraph"/>
        <w:numPr>
          <w:ilvl w:val="0"/>
          <w:numId w:val="2"/>
        </w:numPr>
        <w:spacing w:after="50" w:before="50"/>
      </w:pPr>
      <w:r>
        <w:rPr>
          <w:rFonts w:ascii="Arial" w:cs="Arial" w:eastAsia="Arial" w:hAnsi="Arial"/>
          <w:b/>
          <w:bCs/>
          <w:color w:val="000000"/>
          <w:sz w:val="20"/>
          <w:szCs w:val="20"/>
        </w:rPr>
        <w:t xml:space="preserve">Thermal hazard</w:t>
      </w:r>
      <w:r>
        <w:rPr>
          <w:rFonts w:ascii="Arial" w:cs="Arial" w:eastAsia="Arial" w:hAnsi="Arial"/>
          <w:sz w:val="20"/>
          <w:szCs w:val="20"/>
        </w:rPr>
        <w:t xml:space="preserve">  - Thermal Assembly may retain heat if machine recently operated. Minimum 30-minute cool-down after last use before collection. Field engineer uses calibrated thermocouple to confirm surface temperature below 40 degrees C before packaging. Insulated handling gloves specified for Thermal Assembly transit.</w:t>
      </w:r>
    </w:p>
    <w:p>
      <w:pPr>
        <w:pStyle w:val="ListParagraph"/>
        <w:numPr>
          <w:ilvl w:val="0"/>
          <w:numId w:val="2"/>
        </w:numPr>
        <w:spacing w:after="50" w:before="50"/>
      </w:pPr>
      <w:r>
        <w:rPr>
          <w:rFonts w:ascii="Arial" w:cs="Arial" w:eastAsia="Arial" w:hAnsi="Arial"/>
          <w:b/>
          <w:bCs/>
          <w:color w:val="000000"/>
          <w:sz w:val="20"/>
          <w:szCs w:val="20"/>
        </w:rPr>
        <w:t xml:space="preserve">Manual handling</w:t>
      </w:r>
      <w:r>
        <w:rPr>
          <w:rFonts w:ascii="Arial" w:cs="Arial" w:eastAsia="Arial" w:hAnsi="Arial"/>
          <w:sz w:val="20"/>
          <w:szCs w:val="20"/>
        </w:rPr>
        <w:t xml:space="preserve">  - Machine maximum mass 10 kg (SRS 4.10) - within single-person lift guidelines for a trained operative. Thermal Assembly maximum 4 kg. No mechanical handling aids required for routine machine collection. Sack truck used for multi-floor hotel removal without lift access.</w:t>
      </w:r>
    </w:p>
    <w:p>
      <w:pPr>
        <w:pStyle w:val="ListParagraph"/>
        <w:numPr>
          <w:ilvl w:val="0"/>
          <w:numId w:val="2"/>
        </w:numPr>
        <w:spacing w:after="50" w:before="50"/>
      </w:pPr>
      <w:r>
        <w:rPr>
          <w:rFonts w:ascii="Arial" w:cs="Arial" w:eastAsia="Arial" w:hAnsi="Arial"/>
          <w:b/>
          <w:bCs/>
          <w:color w:val="000000"/>
          <w:sz w:val="20"/>
          <w:szCs w:val="20"/>
        </w:rPr>
        <w:t xml:space="preserve">Food safety (HACCP) during disposal</w:t>
      </w:r>
      <w:r>
        <w:rPr>
          <w:rFonts w:ascii="Arial" w:cs="Arial" w:eastAsia="Arial" w:hAnsi="Arial"/>
          <w:sz w:val="20"/>
          <w:szCs w:val="20"/>
        </w:rPr>
        <w:t xml:space="preserve">  - Thermal Assembly fluid path contains food-contact surfaces. HACCP cleaning performed before dispatch from hotel. Disposable food-grade gloves worn during any fluid path handling. Assembly sealed in food-grade bag for transit. Depot refurbishment team holds HACCP food handler certificate.</w:t>
      </w:r>
    </w:p>
    <w:p>
      <w:pPr>
        <w:pStyle w:val="ListParagraph"/>
        <w:numPr>
          <w:ilvl w:val="0"/>
          <w:numId w:val="2"/>
        </w:numPr>
        <w:spacing w:after="50" w:before="50"/>
      </w:pPr>
      <w:r>
        <w:rPr>
          <w:rFonts w:ascii="Arial" w:cs="Arial" w:eastAsia="Arial" w:hAnsi="Arial"/>
          <w:b/>
          <w:bCs/>
          <w:color w:val="000000"/>
          <w:sz w:val="20"/>
          <w:szCs w:val="20"/>
        </w:rPr>
        <w:t xml:space="preserve">E-waste safety</w:t>
      </w:r>
      <w:r>
        <w:rPr>
          <w:rFonts w:ascii="Arial" w:cs="Arial" w:eastAsia="Arial" w:hAnsi="Arial"/>
          <w:sz w:val="20"/>
          <w:szCs w:val="20"/>
        </w:rPr>
        <w:t xml:space="preserve">  - PCBAs may contain trace quantities of lead solder (pre-RoHS legacy if any returned assemblies are from pre-production batches), beryllium (in some relay types), and nickel (contacts). Certified e-waste recycler handles these under their own environmental permit. CoffCo field engineers do not perform PCBA-level disassembly - this is depot and recycler scope only.</w:t>
      </w:r>
    </w:p>
    <w:p>
      <w:pPr>
        <w:pStyle w:val="ListParagraph"/>
        <w:numPr>
          <w:ilvl w:val="0"/>
          <w:numId w:val="2"/>
        </w:numPr>
        <w:spacing w:after="50" w:before="50"/>
      </w:pPr>
      <w:r>
        <w:rPr>
          <w:rFonts w:ascii="Arial" w:cs="Arial" w:eastAsia="Arial" w:hAnsi="Arial"/>
          <w:b/>
          <w:bCs/>
          <w:color w:val="000000"/>
          <w:sz w:val="20"/>
          <w:szCs w:val="20"/>
        </w:rPr>
        <w:t xml:space="preserve">Worker safety training</w:t>
      </w:r>
      <w:r>
        <w:rPr>
          <w:rFonts w:ascii="Arial" w:cs="Arial" w:eastAsia="Arial" w:hAnsi="Arial"/>
          <w:sz w:val="20"/>
          <w:szCs w:val="20"/>
        </w:rPr>
        <w:t xml:space="preserve">  - All depot staff and field engineers involved in disposal activities receive: COSHH awareness briefing; manual handling training; electrical safety awareness (IEC 60335); HACCP food safety certificate; specific CoffCo disposal SOP familiarisation. Training records maintained by CoffCo HR.</w:t>
      </w:r>
    </w:p>
    <w:p>
      <w:pPr>
        <w:pStyle w:val="ListParagraph"/>
        <w:numPr>
          <w:ilvl w:val="0"/>
          <w:numId w:val="2"/>
        </w:numPr>
        <w:spacing w:after="50" w:before="50"/>
      </w:pPr>
      <w:r>
        <w:rPr>
          <w:rFonts w:ascii="Arial" w:cs="Arial" w:eastAsia="Arial" w:hAnsi="Arial"/>
          <w:b/>
          <w:bCs/>
          <w:color w:val="000000"/>
          <w:sz w:val="20"/>
          <w:szCs w:val="20"/>
        </w:rPr>
        <w:t xml:space="preserve">Community protection</w:t>
      </w:r>
      <w:r>
        <w:rPr>
          <w:rFonts w:ascii="Arial" w:cs="Arial" w:eastAsia="Arial" w:hAnsi="Arial"/>
          <w:sz w:val="20"/>
          <w:szCs w:val="20"/>
        </w:rPr>
        <w:t xml:space="preserve">  - No outdoor disposal activities. All disassembly performed at enclosed CoffCo regional depot. Fluid residues to drain - not to ground or surface water. Recycler certified to EA environmental permit.</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80"/>
        <w:gridCol w:w="9000"/>
      </w:tblGrid>
      <w:tr>
        <w:tc>
          <w:tcPr>
            <w:tcW w:type="dxa" w:w="1080"/>
            <w:tcBorders>
              <w:top w:val="single" w:color="CCCCCC" w:sz="1"/>
              <w:left w:val="single" w:color="CCCCCC" w:sz="1"/>
              <w:bottom w:val="single" w:color="CCCCCC" w:sz="1"/>
              <w:right w:val="single" w:color="CCCCCC" w:sz="1"/>
            </w:tcBorders>
            <w:shd w:fill="7A4E0D" w:val="clear"/>
            <w:tcMar>
              <w:top w:type="dxa" w:w="80"/>
              <w:left w:type="dxa" w:w="100"/>
              <w:bottom w:type="dxa" w:w="80"/>
              <w:right w:type="dxa" w:w="100"/>
            </w:tcMar>
          </w:tcPr>
          <w:p>
            <w:pPr>
              <w:jc w:val="center"/>
            </w:pPr>
            <w:r>
              <w:rPr>
                <w:rFonts w:ascii="Arial" w:cs="Arial" w:eastAsia="Arial" w:hAnsi="Arial"/>
                <w:b/>
                <w:bCs/>
                <w:color w:val="FFFFFF"/>
                <w:sz w:val="36"/>
                <w:szCs w:val="36"/>
              </w:rPr>
              <w:t xml:space="preserve">5</w:t>
            </w:r>
          </w:p>
        </w:tc>
        <w:tc>
          <w:tcPr>
            <w:tcW w:type="dxa" w:w="9000"/>
            <w:tcBorders>
              <w:top w:val="single" w:color="CCCCCC" w:sz="1"/>
              <w:left w:val="single" w:color="CCCCCC" w:sz="1"/>
              <w:bottom w:val="single" w:color="CCCCCC" w:sz="1"/>
              <w:right w:val="single" w:color="CCCCCC" w:sz="1"/>
            </w:tcBorders>
            <w:shd w:fill="7A4E0D" w:val="clear"/>
            <w:tcMar>
              <w:top w:type="dxa" w:w="80"/>
              <w:left w:type="dxa" w:w="160"/>
              <w:bottom w:type="dxa" w:w="80"/>
              <w:right w:type="dxa" w:w="120"/>
            </w:tcMar>
          </w:tcPr>
          <w:p>
            <w:r>
              <w:rPr>
                <w:rFonts w:ascii="Arial" w:cs="Arial" w:eastAsia="Arial" w:hAnsi="Arial"/>
                <w:b/>
                <w:bCs/>
                <w:color w:val="FFFFFF"/>
                <w:sz w:val="24"/>
                <w:szCs w:val="24"/>
              </w:rPr>
              <w:t xml:space="preserve">Regulatory Compliance</w:t>
            </w:r>
          </w:p>
          <w:p>
            <w:r>
              <w:rPr>
                <w:rFonts w:ascii="Arial" w:cs="Arial" w:eastAsia="Arial" w:hAnsi="Arial"/>
                <w:color w:val="DDDDDD"/>
                <w:sz w:val="16"/>
                <w:szCs w:val="16"/>
              </w:rPr>
              <w:t xml:space="preserve">Legislative requirements governing disposal in UK, EU, and US markets</w:t>
            </w:r>
          </w:p>
        </w:tc>
      </w:tr>
    </w:tbl>
    <w:p>
      <w:pPr>
        <w:spacing w:after="40" w:before="40"/>
      </w:pPr>
      <w:r>
        <w:t xml:space="preserve"/>
      </w:r>
    </w:p>
    <w:p>
      <w:pPr>
        <w:pStyle w:val="ListParagraph"/>
        <w:numPr>
          <w:ilvl w:val="0"/>
          <w:numId w:val="2"/>
        </w:numPr>
        <w:spacing w:after="50" w:before="50"/>
      </w:pPr>
      <w:r>
        <w:rPr>
          <w:rFonts w:ascii="Arial" w:cs="Arial" w:eastAsia="Arial" w:hAnsi="Arial"/>
          <w:b/>
          <w:bCs/>
          <w:color w:val="000000"/>
          <w:sz w:val="20"/>
          <w:szCs w:val="20"/>
        </w:rPr>
        <w:t xml:space="preserve">WEEE Directive (EU) / WEEE Regulations (UK)</w:t>
      </w:r>
      <w:r>
        <w:rPr>
          <w:rFonts w:ascii="Arial" w:cs="Arial" w:eastAsia="Arial" w:hAnsi="Arial"/>
          <w:sz w:val="20"/>
          <w:szCs w:val="20"/>
        </w:rPr>
        <w:t xml:space="preserve">  - CoffCo is the producer and therefore has the WEEE take-back obligation. Machine is Category 1 (Large Household Appliances) or Category 3 (IT and Telecommunications Equipment) - confirmed at design stage. CoffCo registered with approved Producer Compliance Scheme (PCS). Evidence: WEEE registration number displayed on product and recorded in cloud platform.</w:t>
      </w:r>
    </w:p>
    <w:p>
      <w:pPr>
        <w:pStyle w:val="ListParagraph"/>
        <w:numPr>
          <w:ilvl w:val="0"/>
          <w:numId w:val="2"/>
        </w:numPr>
        <w:spacing w:after="50" w:before="50"/>
      </w:pPr>
      <w:r>
        <w:rPr>
          <w:rFonts w:ascii="Arial" w:cs="Arial" w:eastAsia="Arial" w:hAnsi="Arial"/>
          <w:b/>
          <w:bCs/>
          <w:color w:val="000000"/>
          <w:sz w:val="20"/>
          <w:szCs w:val="20"/>
        </w:rPr>
        <w:t xml:space="preserve">RoHS Directive (UK/EU) / RoHS 3 (2015/863/EU)</w:t>
      </w:r>
      <w:r>
        <w:rPr>
          <w:rFonts w:ascii="Arial" w:cs="Arial" w:eastAsia="Arial" w:hAnsi="Arial"/>
          <w:sz w:val="20"/>
          <w:szCs w:val="20"/>
        </w:rPr>
        <w:t xml:space="preserve">  - All restricted hazardous substances (lead, mercury, cadmium, hexavalent chromium, PBB, PBDE, DEHP, BBP, DBP, DIBP) confirmed absent from design at SRS stage. RoHS compliance declaration held by CoffCo and supplied to recycler to confirm material safety.</w:t>
      </w:r>
    </w:p>
    <w:p>
      <w:pPr>
        <w:pStyle w:val="ListParagraph"/>
        <w:numPr>
          <w:ilvl w:val="0"/>
          <w:numId w:val="2"/>
        </w:numPr>
        <w:spacing w:after="50" w:before="50"/>
      </w:pPr>
      <w:r>
        <w:rPr>
          <w:rFonts w:ascii="Arial" w:cs="Arial" w:eastAsia="Arial" w:hAnsi="Arial"/>
          <w:b/>
          <w:bCs/>
          <w:color w:val="000000"/>
          <w:sz w:val="20"/>
          <w:szCs w:val="20"/>
        </w:rPr>
        <w:t xml:space="preserve">REACH Regulation (EU) / UK REACH</w:t>
      </w:r>
      <w:r>
        <w:rPr>
          <w:rFonts w:ascii="Arial" w:cs="Arial" w:eastAsia="Arial" w:hAnsi="Arial"/>
          <w:sz w:val="20"/>
          <w:szCs w:val="20"/>
        </w:rPr>
        <w:t xml:space="preserve">  - Substances of Very High Concern (SVHC) in polymer casing identified and disclosed per REACH Article 33. Recycler notified of SVHC content to enable correct sorting. No SVHC above 0.1% w/w threshold permitted in product (design constraint).</w:t>
      </w:r>
    </w:p>
    <w:p>
      <w:pPr>
        <w:pStyle w:val="ListParagraph"/>
        <w:numPr>
          <w:ilvl w:val="0"/>
          <w:numId w:val="2"/>
        </w:numPr>
        <w:spacing w:after="50" w:before="50"/>
      </w:pPr>
      <w:r>
        <w:rPr>
          <w:rFonts w:ascii="Arial" w:cs="Arial" w:eastAsia="Arial" w:hAnsi="Arial"/>
          <w:b/>
          <w:bCs/>
          <w:color w:val="000000"/>
          <w:sz w:val="20"/>
          <w:szCs w:val="20"/>
        </w:rPr>
        <w:t xml:space="preserve">Basel Convention</w:t>
      </w:r>
      <w:r>
        <w:rPr>
          <w:rFonts w:ascii="Arial" w:cs="Arial" w:eastAsia="Arial" w:hAnsi="Arial"/>
          <w:sz w:val="20"/>
          <w:szCs w:val="20"/>
        </w:rPr>
        <w:t xml:space="preserve">  - If assemblies or e-waste exported internationally for recycling (e.g. from UK to EU recycler or US to UK), Basel Convention prior informed consent (PIC) procedure applies for hazardous waste. CoffCo compliance team confirms classification before any cross-border waste shipment.</w:t>
      </w:r>
    </w:p>
    <w:p>
      <w:pPr>
        <w:pStyle w:val="ListParagraph"/>
        <w:numPr>
          <w:ilvl w:val="0"/>
          <w:numId w:val="2"/>
        </w:numPr>
        <w:spacing w:after="50" w:before="50"/>
      </w:pPr>
      <w:r>
        <w:rPr>
          <w:rFonts w:ascii="Arial" w:cs="Arial" w:eastAsia="Arial" w:hAnsi="Arial"/>
          <w:b/>
          <w:bCs/>
          <w:color w:val="000000"/>
          <w:sz w:val="20"/>
          <w:szCs w:val="20"/>
        </w:rPr>
        <w:t xml:space="preserve">IEC 60335-1</w:t>
      </w:r>
      <w:r>
        <w:rPr>
          <w:rFonts w:ascii="Arial" w:cs="Arial" w:eastAsia="Arial" w:hAnsi="Arial"/>
          <w:sz w:val="20"/>
          <w:szCs w:val="20"/>
        </w:rPr>
        <w:t xml:space="preserve">  - Type-test certificate retained on file. CE/UKCA/UL Declaration of Conformity archived for minimum 10 years from end of production. Required for WEEE and product liability purposes. Cloud platform retains machine-level serial number to certificate mapping.</w:t>
      </w:r>
    </w:p>
    <w:p>
      <w:pPr>
        <w:pStyle w:val="ListParagraph"/>
        <w:numPr>
          <w:ilvl w:val="0"/>
          <w:numId w:val="2"/>
        </w:numPr>
        <w:spacing w:after="50" w:before="50"/>
      </w:pPr>
      <w:r>
        <w:rPr>
          <w:rFonts w:ascii="Arial" w:cs="Arial" w:eastAsia="Arial" w:hAnsi="Arial"/>
          <w:b/>
          <w:bCs/>
          <w:color w:val="000000"/>
          <w:sz w:val="20"/>
          <w:szCs w:val="20"/>
        </w:rPr>
        <w:t xml:space="preserve">Hazardous Waste Regulations (UK) / EPA (US)</w:t>
      </w:r>
      <w:r>
        <w:rPr>
          <w:rFonts w:ascii="Arial" w:cs="Arial" w:eastAsia="Arial" w:hAnsi="Arial"/>
          <w:sz w:val="20"/>
          <w:szCs w:val="20"/>
        </w:rPr>
        <w:t xml:space="preserve">  - E-waste classified as hazardous waste in UK if containing above-threshold heavy metals. Only permitted to transfer to licensed waste carrier and licensed disposal facility. Carrier and facility details logged per machine disposal event.</w:t>
      </w:r>
    </w:p>
    <w:p>
      <w:pPr>
        <w:pStyle w:val="ListParagraph"/>
        <w:numPr>
          <w:ilvl w:val="0"/>
          <w:numId w:val="2"/>
        </w:numPr>
        <w:spacing w:after="50" w:before="50"/>
      </w:pPr>
      <w:r>
        <w:rPr>
          <w:rFonts w:ascii="Arial" w:cs="Arial" w:eastAsia="Arial" w:hAnsi="Arial"/>
          <w:b/>
          <w:bCs/>
          <w:color w:val="000000"/>
          <w:sz w:val="20"/>
          <w:szCs w:val="20"/>
        </w:rPr>
        <w:t xml:space="preserve">Environment Act 2021 (UK) / EU Green Deal</w:t>
      </w:r>
      <w:r>
        <w:rPr>
          <w:rFonts w:ascii="Arial" w:cs="Arial" w:eastAsia="Arial" w:hAnsi="Arial"/>
          <w:sz w:val="20"/>
          <w:szCs w:val="20"/>
        </w:rPr>
        <w:t xml:space="preserve">  - Extended Producer Responsibility (EPR) for packaging applies to CoffCo packaging and consumable packaging. EPR fees paid as applicable. Reports submitted to Environment Agency annually.</w:t>
      </w:r>
    </w:p>
    <w:p>
      <w:pPr>
        <w:pStyle w:val="ListParagraph"/>
        <w:numPr>
          <w:ilvl w:val="0"/>
          <w:numId w:val="2"/>
        </w:numPr>
        <w:spacing w:after="50" w:before="50"/>
      </w:pPr>
      <w:r>
        <w:rPr>
          <w:rFonts w:ascii="Arial" w:cs="Arial" w:eastAsia="Arial" w:hAnsi="Arial"/>
          <w:b/>
          <w:bCs/>
          <w:color w:val="000000"/>
          <w:sz w:val="20"/>
          <w:szCs w:val="20"/>
        </w:rPr>
        <w:t xml:space="preserve">US market additional requirements</w:t>
      </w:r>
      <w:r>
        <w:rPr>
          <w:rFonts w:ascii="Arial" w:cs="Arial" w:eastAsia="Arial" w:hAnsi="Arial"/>
          <w:sz w:val="20"/>
          <w:szCs w:val="20"/>
        </w:rPr>
        <w:t xml:space="preserve">  - State-level e-waste legislation varies (California SB 20, New York E-Waste law etc.). US-deployed machines returned to US-based certified recycler or shipped back to CoffCo UK under Basel notification. UL/ETL certification documentation retained 10 years.</w:t>
      </w:r>
    </w:p>
    <w:p>
      <w:pPr>
        <w:pStyle w:val="ListParagraph"/>
        <w:numPr>
          <w:ilvl w:val="0"/>
          <w:numId w:val="2"/>
        </w:numPr>
        <w:spacing w:after="50" w:before="50"/>
      </w:pPr>
      <w:r>
        <w:rPr>
          <w:rFonts w:ascii="Arial" w:cs="Arial" w:eastAsia="Arial" w:hAnsi="Arial"/>
          <w:b/>
          <w:bCs/>
          <w:color w:val="000000"/>
          <w:sz w:val="20"/>
          <w:szCs w:val="20"/>
        </w:rPr>
        <w:t xml:space="preserve">Documentation retention</w:t>
      </w:r>
      <w:r>
        <w:rPr>
          <w:rFonts w:ascii="Arial" w:cs="Arial" w:eastAsia="Arial" w:hAnsi="Arial"/>
          <w:sz w:val="20"/>
          <w:szCs w:val="20"/>
        </w:rPr>
        <w:t xml:space="preserve">  - All disposal records retained minimum 10 years: WEEE transfer notes, hazardous waste consignment notes, recycler certificates of destruction, cloud platform disposal events. Accessible to regulators on request.</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80"/>
        <w:gridCol w:w="9000"/>
      </w:tblGrid>
      <w:tr>
        <w:tc>
          <w:tcPr>
            <w:tcW w:type="dxa" w:w="1080"/>
            <w:tcBorders>
              <w:top w:val="single" w:color="CCCCCC" w:sz="1"/>
              <w:left w:val="single" w:color="CCCCCC" w:sz="1"/>
              <w:bottom w:val="single" w:color="CCCCCC" w:sz="1"/>
              <w:right w:val="single" w:color="CCCCCC" w:sz="1"/>
            </w:tcBorders>
            <w:shd w:fill="3D2D7A" w:val="clear"/>
            <w:tcMar>
              <w:top w:type="dxa" w:w="80"/>
              <w:left w:type="dxa" w:w="100"/>
              <w:bottom w:type="dxa" w:w="80"/>
              <w:right w:type="dxa" w:w="100"/>
            </w:tcMar>
          </w:tcPr>
          <w:p>
            <w:pPr>
              <w:jc w:val="center"/>
            </w:pPr>
            <w:r>
              <w:rPr>
                <w:rFonts w:ascii="Arial" w:cs="Arial" w:eastAsia="Arial" w:hAnsi="Arial"/>
                <w:b/>
                <w:bCs/>
                <w:color w:val="FFFFFF"/>
                <w:sz w:val="36"/>
                <w:szCs w:val="36"/>
              </w:rPr>
              <w:t xml:space="preserve">6</w:t>
            </w:r>
          </w:p>
        </w:tc>
        <w:tc>
          <w:tcPr>
            <w:tcW w:type="dxa" w:w="9000"/>
            <w:tcBorders>
              <w:top w:val="single" w:color="CCCCCC" w:sz="1"/>
              <w:left w:val="single" w:color="CCCCCC" w:sz="1"/>
              <w:bottom w:val="single" w:color="CCCCCC" w:sz="1"/>
              <w:right w:val="single" w:color="CCCCCC" w:sz="1"/>
            </w:tcBorders>
            <w:shd w:fill="3D2D7A" w:val="clear"/>
            <w:tcMar>
              <w:top w:type="dxa" w:w="80"/>
              <w:left w:type="dxa" w:w="160"/>
              <w:bottom w:type="dxa" w:w="80"/>
              <w:right w:type="dxa" w:w="120"/>
            </w:tcMar>
          </w:tcPr>
          <w:p>
            <w:r>
              <w:rPr>
                <w:rFonts w:ascii="Arial" w:cs="Arial" w:eastAsia="Arial" w:hAnsi="Arial"/>
                <w:b/>
                <w:bCs/>
                <w:color w:val="FFFFFF"/>
                <w:sz w:val="24"/>
                <w:szCs w:val="24"/>
              </w:rPr>
              <w:t xml:space="preserve">Stakeholder, Supplier and Subcontractor Engagement</w:t>
            </w:r>
          </w:p>
          <w:p>
            <w:r>
              <w:rPr>
                <w:rFonts w:ascii="Arial" w:cs="Arial" w:eastAsia="Arial" w:hAnsi="Arial"/>
                <w:color w:val="DDDDDD"/>
                <w:sz w:val="16"/>
                <w:szCs w:val="16"/>
              </w:rPr>
              <w:t xml:space="preserve">Roles and responsibilities across the disposal supply chain</w:t>
            </w:r>
          </w:p>
        </w:tc>
      </w:tr>
    </w:tbl>
    <w:p>
      <w:pPr>
        <w:spacing w:after="40" w:before="40"/>
      </w:pPr>
      <w:r>
        <w:t xml:space="preserve"/>
      </w:r>
    </w:p>
    <w:p>
      <w:pPr>
        <w:pStyle w:val="ListParagraph"/>
        <w:numPr>
          <w:ilvl w:val="0"/>
          <w:numId w:val="2"/>
        </w:numPr>
        <w:spacing w:after="50" w:before="50"/>
      </w:pPr>
      <w:r>
        <w:rPr>
          <w:rFonts w:ascii="Arial" w:cs="Arial" w:eastAsia="Arial" w:hAnsi="Arial"/>
          <w:b/>
          <w:bCs/>
          <w:color w:val="000000"/>
          <w:sz w:val="20"/>
          <w:szCs w:val="20"/>
        </w:rPr>
        <w:t xml:space="preserve">CoffCo (primary disposal authority)</w:t>
      </w:r>
      <w:r>
        <w:rPr>
          <w:rFonts w:ascii="Arial" w:cs="Arial" w:eastAsia="Arial" w:hAnsi="Arial"/>
          <w:sz w:val="20"/>
          <w:szCs w:val="20"/>
        </w:rPr>
        <w:t xml:space="preserve">  - Owns all WEEE take-back and disposal obligations. Operates the machine collection logistics. Manages regional depot disassembly and assessment. Contracts certified e-waste recycler and polymer recycler. Archives all compliance documentation. CoffCo disposal manager named before first deployment.</w:t>
      </w:r>
    </w:p>
    <w:p>
      <w:pPr>
        <w:pStyle w:val="ListParagraph"/>
        <w:numPr>
          <w:ilvl w:val="0"/>
          <w:numId w:val="2"/>
        </w:numPr>
        <w:spacing w:after="50" w:before="50"/>
      </w:pPr>
      <w:r>
        <w:rPr>
          <w:rFonts w:ascii="Arial" w:cs="Arial" w:eastAsia="Arial" w:hAnsi="Arial"/>
          <w:b/>
          <w:bCs/>
          <w:color w:val="000000"/>
          <w:sz w:val="20"/>
          <w:szCs w:val="20"/>
        </w:rPr>
        <w:t xml:space="preserve">Vacation Stables (operational customer)</w:t>
      </w:r>
      <w:r>
        <w:rPr>
          <w:rFonts w:ascii="Arial" w:cs="Arial" w:eastAsia="Arial" w:hAnsi="Arial"/>
          <w:sz w:val="20"/>
          <w:szCs w:val="20"/>
        </w:rPr>
        <w:t xml:space="preserve">  - Notifies CoffCo of machines reaching end of contract or requiring replacement. Ensures machine is de-energised and accessible for collection. Routes consumable waste through CoffCo recycling scheme via housekeeping SOP. Responsible for hotel-generated packaging waste (milk cartons, water bottles) via local authority recycling.</w:t>
      </w:r>
    </w:p>
    <w:p>
      <w:pPr>
        <w:pStyle w:val="ListParagraph"/>
        <w:numPr>
          <w:ilvl w:val="0"/>
          <w:numId w:val="2"/>
        </w:numPr>
        <w:spacing w:after="50" w:before="50"/>
      </w:pPr>
      <w:r>
        <w:rPr>
          <w:rFonts w:ascii="Arial" w:cs="Arial" w:eastAsia="Arial" w:hAnsi="Arial"/>
          <w:b/>
          <w:bCs/>
          <w:color w:val="000000"/>
          <w:sz w:val="20"/>
          <w:szCs w:val="20"/>
        </w:rPr>
        <w:t xml:space="preserve">CoffCo field engineer</w:t>
      </w:r>
      <w:r>
        <w:rPr>
          <w:rFonts w:ascii="Arial" w:cs="Arial" w:eastAsia="Arial" w:hAnsi="Arial"/>
          <w:sz w:val="20"/>
          <w:szCs w:val="20"/>
        </w:rPr>
        <w:t xml:space="preserve">  - Collects machine from hotel property. Completes disposal collection record in cloud platform (serial number, condition, date, reason for disposal). Performs pre-dispatch de-energisation check and cool-down verification. Packages machine in return carton for depot transport.</w:t>
      </w:r>
    </w:p>
    <w:p>
      <w:pPr>
        <w:pStyle w:val="ListParagraph"/>
        <w:numPr>
          <w:ilvl w:val="0"/>
          <w:numId w:val="2"/>
        </w:numPr>
        <w:spacing w:after="50" w:before="50"/>
      </w:pPr>
      <w:r>
        <w:rPr>
          <w:rFonts w:ascii="Arial" w:cs="Arial" w:eastAsia="Arial" w:hAnsi="Arial"/>
          <w:b/>
          <w:bCs/>
          <w:color w:val="000000"/>
          <w:sz w:val="20"/>
          <w:szCs w:val="20"/>
        </w:rPr>
        <w:t xml:space="preserve">CoffCo regional depot (subcontractor or in-house)</w:t>
      </w:r>
      <w:r>
        <w:rPr>
          <w:rFonts w:ascii="Arial" w:cs="Arial" w:eastAsia="Arial" w:hAnsi="Arial"/>
          <w:sz w:val="20"/>
          <w:szCs w:val="20"/>
        </w:rPr>
        <w:t xml:space="preserve">  - Receives returned machines. Performs condition assessment: refurbish or BER decision. Disassembles BER machines to component level. Segregates material streams (PCBA, polymer, metal, seals, fluids). Manages COSHH and HACCP requirements during disassembly. Transfers material streams to approved recyclers with waste transfer notes.</w:t>
      </w:r>
    </w:p>
    <w:p>
      <w:pPr>
        <w:pStyle w:val="ListParagraph"/>
        <w:numPr>
          <w:ilvl w:val="0"/>
          <w:numId w:val="2"/>
        </w:numPr>
        <w:spacing w:after="50" w:before="50"/>
      </w:pPr>
      <w:r>
        <w:rPr>
          <w:rFonts w:ascii="Arial" w:cs="Arial" w:eastAsia="Arial" w:hAnsi="Arial"/>
          <w:b/>
          <w:bCs/>
          <w:color w:val="000000"/>
          <w:sz w:val="20"/>
          <w:szCs w:val="20"/>
        </w:rPr>
        <w:t xml:space="preserve">Certified e-waste recycler (subcontractor)</w:t>
      </w:r>
      <w:r>
        <w:rPr>
          <w:rFonts w:ascii="Arial" w:cs="Arial" w:eastAsia="Arial" w:hAnsi="Arial"/>
          <w:sz w:val="20"/>
          <w:szCs w:val="20"/>
        </w:rPr>
        <w:t xml:space="preserve">  - Handles PCBAs, Control Assembly, PSU electronics. Must hold: Environment Agency waste carrier licence; ISO 14001 environmental management certification; BS 8887-2 or equivalent remanufacturing standard. Provides certificates of destruction and recovery rate documentation to CoffCo. Annual audit by CoffCo procurement.</w:t>
      </w:r>
    </w:p>
    <w:p>
      <w:pPr>
        <w:pStyle w:val="ListParagraph"/>
        <w:numPr>
          <w:ilvl w:val="0"/>
          <w:numId w:val="2"/>
        </w:numPr>
        <w:spacing w:after="50" w:before="50"/>
      </w:pPr>
      <w:r>
        <w:rPr>
          <w:rFonts w:ascii="Arial" w:cs="Arial" w:eastAsia="Arial" w:hAnsi="Arial"/>
          <w:b/>
          <w:bCs/>
          <w:color w:val="000000"/>
          <w:sz w:val="20"/>
          <w:szCs w:val="20"/>
        </w:rPr>
        <w:t xml:space="preserve">Polymer recycler (subcontractor)</w:t>
      </w:r>
      <w:r>
        <w:rPr>
          <w:rFonts w:ascii="Arial" w:cs="Arial" w:eastAsia="Arial" w:hAnsi="Arial"/>
          <w:sz w:val="20"/>
          <w:szCs w:val="20"/>
        </w:rPr>
        <w:t xml:space="preserve">  - Handles PPS casing and polymer casing materials. PPS requires specialist recycler (not general plastics stream). Must demonstrate material-separation capability. Provides recovery certificates.</w:t>
      </w:r>
    </w:p>
    <w:p>
      <w:pPr>
        <w:pStyle w:val="ListParagraph"/>
        <w:numPr>
          <w:ilvl w:val="0"/>
          <w:numId w:val="2"/>
        </w:numPr>
        <w:spacing w:after="50" w:before="50"/>
      </w:pPr>
      <w:r>
        <w:rPr>
          <w:rFonts w:ascii="Arial" w:cs="Arial" w:eastAsia="Arial" w:hAnsi="Arial"/>
          <w:b/>
          <w:bCs/>
          <w:color w:val="000000"/>
          <w:sz w:val="20"/>
          <w:szCs w:val="20"/>
        </w:rPr>
        <w:t xml:space="preserve">Consumable supply partner</w:t>
      </w:r>
      <w:r>
        <w:rPr>
          <w:rFonts w:ascii="Arial" w:cs="Arial" w:eastAsia="Arial" w:hAnsi="Arial"/>
          <w:sz w:val="20"/>
          <w:szCs w:val="20"/>
        </w:rPr>
        <w:t xml:space="preserve">  - Contractually required to operate a take-back scheme for used consumables (SRS 3.7 condition of supply). Operates collection logistics and demonstrates recycling route for coffee grounds and packaging. Annual sustainability report to CoffCo.</w:t>
      </w:r>
    </w:p>
    <w:p>
      <w:pPr>
        <w:pStyle w:val="ListParagraph"/>
        <w:numPr>
          <w:ilvl w:val="0"/>
          <w:numId w:val="2"/>
        </w:numPr>
        <w:spacing w:after="50" w:before="50"/>
      </w:pPr>
      <w:r>
        <w:rPr>
          <w:rFonts w:ascii="Arial" w:cs="Arial" w:eastAsia="Arial" w:hAnsi="Arial"/>
          <w:b/>
          <w:bCs/>
          <w:color w:val="000000"/>
          <w:sz w:val="20"/>
          <w:szCs w:val="20"/>
        </w:rPr>
        <w:t xml:space="preserve">Regulatory authorities</w:t>
      </w:r>
      <w:r>
        <w:rPr>
          <w:rFonts w:ascii="Arial" w:cs="Arial" w:eastAsia="Arial" w:hAnsi="Arial"/>
          <w:sz w:val="20"/>
          <w:szCs w:val="20"/>
        </w:rPr>
        <w:t xml:space="preserve">  - Environment Agency (UK): WEEE compliance submissions, hazardous waste audit rights. HSE (UK): COSHH and manual handling compliance. EU competent authorities (per market): WEEE, REACH, RoHS reporting. Engagement via CoffCo compliance team - not field engineers or hotel staff.</w:t>
      </w:r>
    </w:p>
    <w:p>
      <w:pPr>
        <w:pStyle w:val="ListParagraph"/>
        <w:numPr>
          <w:ilvl w:val="0"/>
          <w:numId w:val="2"/>
        </w:numPr>
        <w:spacing w:after="50" w:before="50"/>
      </w:pPr>
      <w:r>
        <w:rPr>
          <w:rFonts w:ascii="Arial" w:cs="Arial" w:eastAsia="Arial" w:hAnsi="Arial"/>
          <w:b/>
          <w:bCs/>
          <w:color w:val="000000"/>
          <w:sz w:val="20"/>
          <w:szCs w:val="20"/>
        </w:rPr>
        <w:t xml:space="preserve">Vacation Stables' sustainability team</w:t>
      </w:r>
      <w:r>
        <w:rPr>
          <w:rFonts w:ascii="Arial" w:cs="Arial" w:eastAsia="Arial" w:hAnsi="Arial"/>
          <w:sz w:val="20"/>
          <w:szCs w:val="20"/>
        </w:rPr>
        <w:t xml:space="preserve">  - CoffCo to provide annual disposal sustainability report to Vacation Stables sustainability team: machines collected, refurbishment rate, materials recovered, consumable waste diverted from landfill. Feeds into Vacation Stables ESG reporting and 2030 carbon commitment tracking.</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80"/>
        <w:gridCol w:w="9000"/>
      </w:tblGrid>
      <w:tr>
        <w:tc>
          <w:tcPr>
            <w:tcW w:type="dxa" w:w="1080"/>
            <w:tcBorders>
              <w:top w:val="single" w:color="CCCCCC" w:sz="1"/>
              <w:left w:val="single" w:color="CCCCCC" w:sz="1"/>
              <w:bottom w:val="single" w:color="CCCCCC" w:sz="1"/>
              <w:right w:val="single" w:color="CCCCCC" w:sz="1"/>
            </w:tcBorders>
            <w:shd w:fill="555555" w:val="clear"/>
            <w:tcMar>
              <w:top w:type="dxa" w:w="80"/>
              <w:left w:type="dxa" w:w="100"/>
              <w:bottom w:type="dxa" w:w="80"/>
              <w:right w:type="dxa" w:w="100"/>
            </w:tcMar>
          </w:tcPr>
          <w:p>
            <w:pPr>
              <w:jc w:val="center"/>
            </w:pPr>
            <w:r>
              <w:rPr>
                <w:rFonts w:ascii="Arial" w:cs="Arial" w:eastAsia="Arial" w:hAnsi="Arial"/>
                <w:b/>
                <w:bCs/>
                <w:color w:val="FFFFFF"/>
                <w:sz w:val="36"/>
                <w:szCs w:val="36"/>
              </w:rPr>
              <w:t xml:space="preserve">7</w:t>
            </w:r>
          </w:p>
        </w:tc>
        <w:tc>
          <w:tcPr>
            <w:tcW w:type="dxa" w:w="9000"/>
            <w:tcBorders>
              <w:top w:val="single" w:color="CCCCCC" w:sz="1"/>
              <w:left w:val="single" w:color="CCCCCC" w:sz="1"/>
              <w:bottom w:val="single" w:color="CCCCCC" w:sz="1"/>
              <w:right w:val="single" w:color="CCCCCC" w:sz="1"/>
            </w:tcBorders>
            <w:shd w:fill="555555" w:val="clear"/>
            <w:tcMar>
              <w:top w:type="dxa" w:w="80"/>
              <w:left w:type="dxa" w:w="160"/>
              <w:bottom w:type="dxa" w:w="80"/>
              <w:right w:type="dxa" w:w="120"/>
            </w:tcMar>
          </w:tcPr>
          <w:p>
            <w:r>
              <w:rPr>
                <w:rFonts w:ascii="Arial" w:cs="Arial" w:eastAsia="Arial" w:hAnsi="Arial"/>
                <w:b/>
                <w:bCs/>
                <w:color w:val="FFFFFF"/>
                <w:sz w:val="24"/>
                <w:szCs w:val="24"/>
              </w:rPr>
              <w:t xml:space="preserve">Long-Term Considerations</w:t>
            </w:r>
          </w:p>
          <w:p>
            <w:r>
              <w:rPr>
                <w:rFonts w:ascii="Arial" w:cs="Arial" w:eastAsia="Arial" w:hAnsi="Arial"/>
                <w:color w:val="DDDDDD"/>
                <w:sz w:val="16"/>
                <w:szCs w:val="16"/>
              </w:rPr>
              <w:t xml:space="preserve">Post-disposal obligations and future-proofing the disposal strategy</w:t>
            </w:r>
          </w:p>
        </w:tc>
      </w:tr>
    </w:tbl>
    <w:p>
      <w:pPr>
        <w:spacing w:after="40" w:before="40"/>
      </w:pPr>
      <w:r>
        <w:t xml:space="preserve"/>
      </w:r>
    </w:p>
    <w:p>
      <w:pPr>
        <w:pStyle w:val="ListParagraph"/>
        <w:numPr>
          <w:ilvl w:val="0"/>
          <w:numId w:val="2"/>
        </w:numPr>
        <w:spacing w:after="50" w:before="50"/>
      </w:pPr>
      <w:r>
        <w:rPr>
          <w:rFonts w:ascii="Arial" w:cs="Arial" w:eastAsia="Arial" w:hAnsi="Arial"/>
          <w:b/>
          <w:bCs/>
          <w:color w:val="000000"/>
          <w:sz w:val="20"/>
          <w:szCs w:val="20"/>
        </w:rPr>
        <w:t xml:space="preserve">Regulatory evolution</w:t>
      </w:r>
      <w:r>
        <w:rPr>
          <w:rFonts w:ascii="Arial" w:cs="Arial" w:eastAsia="Arial" w:hAnsi="Arial"/>
          <w:sz w:val="20"/>
          <w:szCs w:val="20"/>
        </w:rPr>
        <w:t xml:space="preserve">  - WEEE, RoHS, REACH, and EPR regulations evolve continuously. CoffCo compliance team monitors UK and EU legislative pipeline. Disposal plan reviewed annually against current regulatory baseline. If regulations change mid-product-life (e.g. new restricted substance identified), disposal plan updated and communicated to depot and recyclers within 90 days of regulation change.</w:t>
      </w:r>
    </w:p>
    <w:p>
      <w:pPr>
        <w:pStyle w:val="ListParagraph"/>
        <w:numPr>
          <w:ilvl w:val="0"/>
          <w:numId w:val="2"/>
        </w:numPr>
        <w:spacing w:after="50" w:before="50"/>
      </w:pPr>
      <w:r>
        <w:rPr>
          <w:rFonts w:ascii="Arial" w:cs="Arial" w:eastAsia="Arial" w:hAnsi="Arial"/>
          <w:b/>
          <w:bCs/>
          <w:color w:val="000000"/>
          <w:sz w:val="20"/>
          <w:szCs w:val="20"/>
        </w:rPr>
        <w:t xml:space="preserve">Documentation longevity</w:t>
      </w:r>
      <w:r>
        <w:rPr>
          <w:rFonts w:ascii="Arial" w:cs="Arial" w:eastAsia="Arial" w:hAnsi="Arial"/>
          <w:sz w:val="20"/>
          <w:szCs w:val="20"/>
        </w:rPr>
        <w:t xml:space="preserve">  - Design documentation, compliance certificates, and disposal records retained minimum 10 years from last machine disposal event. Cloud platform asset register serves as primary record. Archive copy held offline by CoffCo legal/compliance team. Records must survive CoffCo corporate events (merger, acquisition) - contractual obligation on successor entity.</w:t>
      </w:r>
    </w:p>
    <w:p>
      <w:pPr>
        <w:pStyle w:val="ListParagraph"/>
        <w:numPr>
          <w:ilvl w:val="0"/>
          <w:numId w:val="2"/>
        </w:numPr>
        <w:spacing w:after="50" w:before="50"/>
      </w:pPr>
      <w:r>
        <w:rPr>
          <w:rFonts w:ascii="Arial" w:cs="Arial" w:eastAsia="Arial" w:hAnsi="Arial"/>
          <w:b/>
          <w:bCs/>
          <w:color w:val="000000"/>
          <w:sz w:val="20"/>
          <w:szCs w:val="20"/>
        </w:rPr>
        <w:t xml:space="preserve">Obsolescence and spare parts</w:t>
      </w:r>
      <w:r>
        <w:rPr>
          <w:rFonts w:ascii="Arial" w:cs="Arial" w:eastAsia="Arial" w:hAnsi="Arial"/>
          <w:sz w:val="20"/>
          <w:szCs w:val="20"/>
        </w:rPr>
        <w:t xml:space="preserve">  - When COTS components (pump, PRV, NTC holder, watchdog IC) become obsolete, last-time-buy (LTB) exercise triggered. LTB quantity calculated from remaining fleet size x expected annual failure rate x remaining service life. LTB stock held at depot until fleet decommissioned.</w:t>
      </w:r>
    </w:p>
    <w:p>
      <w:pPr>
        <w:pStyle w:val="ListParagraph"/>
        <w:numPr>
          <w:ilvl w:val="0"/>
          <w:numId w:val="2"/>
        </w:numPr>
        <w:spacing w:after="50" w:before="50"/>
      </w:pPr>
      <w:r>
        <w:rPr>
          <w:rFonts w:ascii="Arial" w:cs="Arial" w:eastAsia="Arial" w:hAnsi="Arial"/>
          <w:b/>
          <w:bCs/>
          <w:color w:val="000000"/>
          <w:sz w:val="20"/>
          <w:szCs w:val="20"/>
        </w:rPr>
        <w:t xml:space="preserve">Cloud platform decommissioning</w:t>
      </w:r>
      <w:r>
        <w:rPr>
          <w:rFonts w:ascii="Arial" w:cs="Arial" w:eastAsia="Arial" w:hAnsi="Arial"/>
          <w:sz w:val="20"/>
          <w:szCs w:val="20"/>
        </w:rPr>
        <w:t xml:space="preserve">  - CoffCo cloud platform holds the fleet asset register, telemetry history, and disposal records. If CoffCo cloud platform is itself retired, all machine records exported and archived in regulatory-accessible format (PDF/A) before platform shutdown. Contractual data retention clause with cloud provider.</w:t>
      </w:r>
    </w:p>
    <w:p>
      <w:pPr>
        <w:pStyle w:val="ListParagraph"/>
        <w:numPr>
          <w:ilvl w:val="0"/>
          <w:numId w:val="2"/>
        </w:numPr>
        <w:spacing w:after="50" w:before="50"/>
      </w:pPr>
      <w:r>
        <w:rPr>
          <w:rFonts w:ascii="Arial" w:cs="Arial" w:eastAsia="Arial" w:hAnsi="Arial"/>
          <w:b/>
          <w:bCs/>
          <w:color w:val="000000"/>
          <w:sz w:val="20"/>
          <w:szCs w:val="20"/>
        </w:rPr>
        <w:t xml:space="preserve">Material value evolution</w:t>
      </w:r>
      <w:r>
        <w:rPr>
          <w:rFonts w:ascii="Arial" w:cs="Arial" w:eastAsia="Arial" w:hAnsi="Arial"/>
          <w:sz w:val="20"/>
          <w:szCs w:val="20"/>
        </w:rPr>
        <w:t xml:space="preserve">  - Precious metal and polymer commodity prices change. Residual value calculations for BER assemblies updated annually. If recovered material value increases (e.g. PCB gold price rises), disposal cost model updated and potentially generates revenue. If decreases, disposal budget adjusted accordingly.</w:t>
      </w:r>
    </w:p>
    <w:p>
      <w:pPr>
        <w:pStyle w:val="ListParagraph"/>
        <w:numPr>
          <w:ilvl w:val="0"/>
          <w:numId w:val="2"/>
        </w:numPr>
        <w:spacing w:after="50" w:before="50"/>
      </w:pPr>
      <w:r>
        <w:rPr>
          <w:rFonts w:ascii="Arial" w:cs="Arial" w:eastAsia="Arial" w:hAnsi="Arial"/>
          <w:b/>
          <w:bCs/>
          <w:color w:val="000000"/>
          <w:sz w:val="20"/>
          <w:szCs w:val="20"/>
        </w:rPr>
        <w:t xml:space="preserve">Next-generation product transition</w:t>
      </w:r>
      <w:r>
        <w:rPr>
          <w:rFonts w:ascii="Arial" w:cs="Arial" w:eastAsia="Arial" w:hAnsi="Arial"/>
          <w:sz w:val="20"/>
          <w:szCs w:val="20"/>
        </w:rPr>
        <w:t xml:space="preserve">  - When CoffCo Gen 2 machine launches, Gen 1 machines enter accelerated disposal/upgrade programme. Gen 1 machines with valid service life may receive control assembly upgrade to Gen 2 platform if chassis is compatible. Machines past 5-year life replaced with Gen 2 units. Disposal programme for Gen 1 fleet planned 12 months before Gen 2 commercial launch.</w:t>
      </w:r>
    </w:p>
    <w:p>
      <w:pPr>
        <w:pStyle w:val="ListParagraph"/>
        <w:numPr>
          <w:ilvl w:val="0"/>
          <w:numId w:val="2"/>
        </w:numPr>
        <w:spacing w:after="50" w:before="50"/>
      </w:pPr>
      <w:r>
        <w:rPr>
          <w:rFonts w:ascii="Arial" w:cs="Arial" w:eastAsia="Arial" w:hAnsi="Arial"/>
          <w:b/>
          <w:bCs/>
          <w:color w:val="000000"/>
          <w:sz w:val="20"/>
          <w:szCs w:val="20"/>
        </w:rPr>
        <w:t xml:space="preserve">Environmental monitoring</w:t>
      </w:r>
      <w:r>
        <w:rPr>
          <w:rFonts w:ascii="Arial" w:cs="Arial" w:eastAsia="Arial" w:hAnsi="Arial"/>
          <w:sz w:val="20"/>
          <w:szCs w:val="20"/>
        </w:rPr>
        <w:t xml:space="preserve">  - No ongoing environmental monitoring required post-disposal (unlike nuclear or chemical systems). However, recycler environmental permit conditions (e.g. groundwater monitoring at recycling site) are the recycler's responsibility. CoffCo annual recycler audit confirms permit compliance.</w:t>
      </w:r>
    </w:p>
    <w:p>
      <w:pPr>
        <w:pStyle w:val="ListParagraph"/>
        <w:numPr>
          <w:ilvl w:val="0"/>
          <w:numId w:val="2"/>
        </w:numPr>
        <w:spacing w:after="50" w:before="50"/>
      </w:pPr>
      <w:r>
        <w:rPr>
          <w:rFonts w:ascii="Arial" w:cs="Arial" w:eastAsia="Arial" w:hAnsi="Arial"/>
          <w:b/>
          <w:bCs/>
          <w:color w:val="000000"/>
          <w:sz w:val="20"/>
          <w:szCs w:val="20"/>
        </w:rPr>
        <w:t xml:space="preserve">Corporate Social Responsibility (CSR) reporting</w:t>
      </w:r>
      <w:r>
        <w:rPr>
          <w:rFonts w:ascii="Arial" w:cs="Arial" w:eastAsia="Arial" w:hAnsi="Arial"/>
          <w:sz w:val="20"/>
          <w:szCs w:val="20"/>
        </w:rPr>
        <w:t xml:space="preserve">  - Annual disposal sustainability metrics published in CoffCo CSR/ESG report: machines collected, refurbishment rate achieved (target 60%), percentage materials recovered by weight, consumable waste diverted from landfill, carbon emissions from disposal logistics. Feeds into Vacation Stables ESG score.</w:t>
      </w:r>
    </w:p>
    <w:p>
      <w:pPr>
        <w:pStyle w:val="ListParagraph"/>
        <w:numPr>
          <w:ilvl w:val="0"/>
          <w:numId w:val="2"/>
        </w:numPr>
        <w:spacing w:after="50" w:before="50"/>
      </w:pPr>
      <w:r>
        <w:rPr>
          <w:rFonts w:ascii="Arial" w:cs="Arial" w:eastAsia="Arial" w:hAnsi="Arial"/>
          <w:b/>
          <w:bCs/>
          <w:color w:val="000000"/>
          <w:sz w:val="20"/>
          <w:szCs w:val="20"/>
        </w:rPr>
        <w:t xml:space="preserve">COSHH monitoring</w:t>
      </w:r>
      <w:r>
        <w:rPr>
          <w:rFonts w:ascii="Arial" w:cs="Arial" w:eastAsia="Arial" w:hAnsi="Arial"/>
          <w:sz w:val="20"/>
          <w:szCs w:val="20"/>
        </w:rPr>
        <w:t xml:space="preserve">  - COSHH assessments reviewed annually or when new substances are introduced (e.g. new descale fluid formulation, new cleaning agent). Depot health monitoring programme: annual occupational health checks for depot staff with regular exposure to electronics disassembly activities.</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80"/>
        <w:gridCol w:w="9000"/>
      </w:tblGrid>
      <w:tr>
        <w:tc>
          <w:tcPr>
            <w:tcW w:type="dxa" w:w="108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36"/>
                <w:szCs w:val="36"/>
              </w:rPr>
              <w:t xml:space="preserve">8</w:t>
            </w:r>
          </w:p>
        </w:tc>
        <w:tc>
          <w:tcPr>
            <w:tcW w:type="dxa" w:w="90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20"/>
            </w:tcMar>
          </w:tcPr>
          <w:p>
            <w:r>
              <w:rPr>
                <w:rFonts w:ascii="Arial" w:cs="Arial" w:eastAsia="Arial" w:hAnsi="Arial"/>
                <w:b/>
                <w:bCs/>
                <w:color w:val="FFFFFF"/>
                <w:sz w:val="24"/>
                <w:szCs w:val="24"/>
              </w:rPr>
              <w:t xml:space="preserve">Disposal Timeline</w:t>
            </w:r>
          </w:p>
          <w:p>
            <w:r>
              <w:rPr>
                <w:rFonts w:ascii="Arial" w:cs="Arial" w:eastAsia="Arial" w:hAnsi="Arial"/>
                <w:color w:val="DDDDDD"/>
                <w:sz w:val="16"/>
                <w:szCs w:val="16"/>
              </w:rPr>
              <w:t xml:space="preserve">Key milestones and activities from deployment to final disposal</w:t>
            </w:r>
          </w:p>
        </w:tc>
      </w:tr>
    </w:tbl>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5040"/>
        <w:gridCol w:w="1440"/>
      </w:tblGrid>
      <w:tr>
        <w:tc>
          <w:tcPr>
            <w:tcW w:type="dxa" w:w="144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Timing</w:t>
            </w:r>
          </w:p>
        </w:tc>
        <w:tc>
          <w:tcPr>
            <w:tcW w:type="dxa" w:w="216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Activity</w:t>
            </w:r>
          </w:p>
        </w:tc>
        <w:tc>
          <w:tcPr>
            <w:tcW w:type="dxa" w:w="504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Detail</w:t>
            </w:r>
          </w:p>
        </w:tc>
        <w:tc>
          <w:tcPr>
            <w:tcW w:type="dxa" w:w="144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Responsible</w:t>
            </w:r>
          </w:p>
        </w:tc>
      </w:tr>
      <w:tr>
        <w:tc>
          <w:tcPr>
            <w:tcW w:type="dxa" w:w="144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Pre-deployment
(T-6 months)</w:t>
            </w:r>
          </w:p>
        </w:tc>
        <w:tc>
          <w:tcPr>
            <w:tcW w:type="dxa" w:w="21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Disposal planning baseline</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Certified recycler contracted (e-waste and polymer). Depot disposal SOP written and trained. WEEE PCS registration confirmed. Consumable supply partner take-back scheme verified. Disposal budget confirmed in commercial model.</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CoffCo disposal manager</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Pre-deployment
(T-3 months)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Regulatory confirmation</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RoHS, REACH, WEEE compliance declarations completed and filed. Hazardous waste carrier licence confirmed. US state e-waste registration completed (if applicable). COSHH assessment completed and signed off.</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CoffCo compliance team</w:t>
            </w:r>
          </w:p>
        </w:tc>
      </w:tr>
      <w:tr>
        <w:tc>
          <w:tcPr>
            <w:tcW w:type="dxa" w:w="144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Year 1
(T+12 months)</w:t>
            </w:r>
          </w:p>
        </w:tc>
        <w:tc>
          <w:tcPr>
            <w:tcW w:type="dxa" w:w="21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First consumable waste audit</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Confirm consumable take-back scheme operating correctly at all Vacation Stables properties. Recycler collecting. Waste transfer notes being generated. Adjust collection frequency if demand different from 2 brews/day assumption.</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CoffCo account manager</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Year 1-4
(Ongoing)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In-service LRU disposal</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BER assemblies from corrective maintenance swap-and-return routed through disposal process. Each assembly: depot assessment, BER declaration, material stream segregation, transfer to recycler with waste transfer note. Cloud platform disposal record updated per serial number.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CoffCo depot</w:t>
            </w:r>
          </w:p>
        </w:tc>
      </w:tr>
      <w:tr>
        <w:tc>
          <w:tcPr>
            <w:tcW w:type="dxa" w:w="144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Year 3
(T+36 months)</w:t>
            </w:r>
          </w:p>
        </w:tc>
        <w:tc>
          <w:tcPr>
            <w:tcW w:type="dxa" w:w="21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Mid-life upgrade review</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Fleet telemetry data reviewed: assess whether wireless module upgrade required (TD-06 technology evolution). Assess whether NTC holder PPS upgrade has been rolled into refurbishment batches (OA-IPS-01). Assess energy efficiency against EU regulation updates.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CoffCo engineering</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Year 4
(T+48 months)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Mid-life upgrade execution (if required)</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Wireless module and/or other mid-life upgrades rolled out via scheduled PM-03 visits or dedicated upgrade visits. Old modules to e-waste recycler. Updated asset register reflects new hardware configuration per machine.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CoffCo field engineers</w:t>
            </w:r>
          </w:p>
        </w:tc>
      </w:tr>
      <w:tr>
        <w:tc>
          <w:tcPr>
            <w:tcW w:type="dxa" w:w="144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Year 5
(T+60 months)</w:t>
            </w:r>
          </w:p>
        </w:tc>
        <w:tc>
          <w:tcPr>
            <w:tcW w:type="dxa" w:w="21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End-of-life assessment (PM-07)</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Each machine assessed at annual PM-07 visit: extraction pressure, seal condition, chassis integrity, firmware supportability, electrical integrity (PSU insulation resistance). Decision: extend service life, refurbish, or dispose.</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CoffCo field engineer</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Year 5-6
(T+60-72 months)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Fleet disposal planning</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Disposal programme planned for machines reaching end of service life. Collection wave sequenced by property to minimise logistics cost. Replacement machines (Gen 1 or Gen 2) ordered and staged.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CoffCo logistics</w:t>
            </w:r>
          </w:p>
        </w:tc>
      </w:tr>
      <w:tr>
        <w:tc>
          <w:tcPr>
            <w:tcW w:type="dxa" w:w="144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Year 6-7
(T+72-84 months)</w:t>
            </w:r>
          </w:p>
        </w:tc>
        <w:tc>
          <w:tcPr>
            <w:tcW w:type="dxa" w:w="21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Machine collection</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Field engineer removes machine from hotel room. De-energisation and cool-down check. Cloud platform disposal event created. Machine packaged in return carton and transferred to regional depot.</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CoffCo field engineer</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Year 6-7
(T+72-84 months)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Depot assessment and disassembly</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Machines assessed: refurbishment (target 60%) or BER. BER machines disassembled. Material streams segregated: PCBA to e-waste recycler, PPS to polymer recycler, metals to metal recycler, seals to waste, fluid residues flushed to drain.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CoffCo depot</w:t>
            </w:r>
          </w:p>
        </w:tc>
      </w:tr>
      <w:tr>
        <w:tc>
          <w:tcPr>
            <w:tcW w:type="dxa" w:w="144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Year 6-7
(T+72-84 months)</w:t>
            </w:r>
          </w:p>
        </w:tc>
        <w:tc>
          <w:tcPr>
            <w:tcW w:type="dxa" w:w="21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Cloud platform disposal</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Machine serial numbers deregistered in cloud platform. Telemetry history archived. Data sanitisation record created. WEEE transfer note issued.</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CoffCo cloud ops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Year 6-7
(T+72-84 months)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Recycler processing</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E-waste recycler processes PCBAs (precious metal recovery, documented by weight). Polymer recycler processes casing (recovery rate certificate). Waste transfer notes and certificates of destruction received by CoffCo.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Certified recyclers</w:t>
            </w:r>
          </w:p>
        </w:tc>
      </w:tr>
      <w:tr>
        <w:tc>
          <w:tcPr>
            <w:tcW w:type="dxa" w:w="144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Year 7
(T+84 months)</w:t>
            </w:r>
          </w:p>
        </w:tc>
        <w:tc>
          <w:tcPr>
            <w:tcW w:type="dxa" w:w="21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Disposal close-out</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machines disposed of or refurbished. Final disposal sustainability report produced. WEEE annual compliance submission includes disposal batch. Records archived 10 years. Consumable take-back scheme continued until last consumable supply consumed.</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CoffCo compliance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Year 7+
(Post-disposal)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10-year documentation retention</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Compliance certificates, waste transfer notes, cloud platform archive, recycler certificates retained minimum 10 years from final disposal event. Annual review confirms records remain accessible.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CoffCo legal/compliance</w:t>
            </w:r>
          </w:p>
        </w:tc>
      </w:tr>
    </w:tbl>
    <w:p>
      <w:pPr>
        <w:spacing w:after="40" w:before="40"/>
      </w:pPr>
      <w:r>
        <w:t xml:space="preserve"/>
      </w:r>
    </w:p>
    <w:p>
      <w:r>
        <w:br w:type="page"/>
      </w:r>
    </w:p>
    <w:p>
      <w:pPr>
        <w:pStyle w:val="Heading1"/>
        <w:pBdr>
          <w:bottom w:val="single" w:color="2E5B9A" w:sz="6" w:space="2"/>
        </w:pBdr>
        <w:spacing w:after="160" w:before="360"/>
      </w:pPr>
      <w:r>
        <w:rPr>
          <w:rFonts w:ascii="Arial" w:cs="Arial" w:eastAsia="Arial" w:hAnsi="Arial"/>
          <w:b/>
          <w:bCs/>
          <w:sz w:val="32"/>
          <w:szCs w:val="32"/>
        </w:rPr>
        <w:t xml:space="preserve">Design for Disposal - Requirements Traceability</w:t>
      </w:r>
    </w:p>
    <w:p>
      <w:pPr>
        <w:spacing w:after="80" w:before="60"/>
        <w:jc w:val="both"/>
      </w:pPr>
      <w:r>
        <w:rPr>
          <w:rFonts w:ascii="Arial" w:cs="Arial" w:eastAsia="Arial" w:hAnsi="Arial"/>
          <w:sz w:val="20"/>
          <w:szCs w:val="20"/>
        </w:rPr>
        <w:t xml:space="preserve">The following SRS requirements were written with disposal in mind. Good disposal outcomes are the result of good design decisions, not late-stage disposal planning.</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3600"/>
        <w:gridCol w:w="5040"/>
      </w:tblGrid>
      <w:tr>
        <w:tc>
          <w:tcPr>
            <w:tcW w:type="dxa" w:w="144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SRS Ref</w:t>
            </w:r>
          </w:p>
        </w:tc>
        <w:tc>
          <w:tcPr>
            <w:tcW w:type="dxa" w:w="360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Requirement</w:t>
            </w:r>
          </w:p>
        </w:tc>
        <w:tc>
          <w:tcPr>
            <w:tcW w:type="dxa" w:w="504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Disposal Benefit</w:t>
            </w:r>
          </w:p>
        </w:tc>
      </w:tr>
      <w:tr>
        <w:tc>
          <w:tcPr>
            <w:tcW w:type="dxa" w:w="144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SRS 3.4</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Minimum 50% recycled content in machine casing</w:t>
            </w:r>
          </w:p>
        </w:tc>
        <w:tc>
          <w:tcPr>
            <w:tcW w:type="dxa" w:w="5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Recycled polymer casing re-enters recycled polymer supply chain at end of life - circular loop closed. Reduces virgin material demand and disposal processing complexity.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SRS 3.7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waste products from operation shall have a recycling or reuse route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Zero-landfill target embedded in requirements. Forces CoffCo to confirm recycling routes before deployment - not retrospectively.</w:t>
            </w:r>
          </w:p>
        </w:tc>
      </w:tr>
      <w:tr>
        <w:tc>
          <w:tcPr>
            <w:tcW w:type="dxa" w:w="144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SRS 4.8</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IEC 60335-1 compliance</w:t>
            </w:r>
          </w:p>
        </w:tc>
        <w:tc>
          <w:tcPr>
            <w:tcW w:type="dxa" w:w="5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Type-test certificate required for WEEE compliance. Ensures machine is classified and registered correctly. RoHS compliance confirmation within IEC 60335 process.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SRS 4.9</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Food safety - HACCP compliance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HACCP-compliant design ensures food-contact materials are food-grade and documented. Simplifies disposal - no unknown food-contact contaminants.</w:t>
            </w:r>
          </w:p>
        </w:tc>
      </w:tr>
      <w:tr>
        <w:tc>
          <w:tcPr>
            <w:tcW w:type="dxa" w:w="144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SP-02</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Modular physical architecture</w:t>
            </w:r>
          </w:p>
        </w:tc>
        <w:tc>
          <w:tcPr>
            <w:tcW w:type="dxa" w:w="5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Enables selective assembly recovery. BER Control Assembly does not require disposal of serviceable Thermal Assembly and vice versa. Maximises refurbishment rate.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TD-05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Anti-theft cable lug - tool-free removal</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Designed for tool-free removal at end of life. Deliberate design for disposal decision - removes a disassembly complexity that would otherwise slow collection.</w:t>
            </w:r>
          </w:p>
        </w:tc>
      </w:tr>
      <w:tr>
        <w:tc>
          <w:tcPr>
            <w:tcW w:type="dxa" w:w="144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TD-03</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Interchangeable plug module</w:t>
            </w:r>
          </w:p>
        </w:tc>
        <w:tc>
          <w:tcPr>
            <w:tcW w:type="dxa" w:w="5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Regional plug module separates regional regulatory risk from PSU design. PSU can be retained across market regulatory changes; only plug module requires disposal/replacement.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OA-IPS-01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NTC holder material upgrade (PP to PPS)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PPS is more recyclable and more stable than PP for recycler processing. Upgrade at mid-life removes a lower-grade polymer from the waste stream.</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10080"/>
      </w:tabs>
    </w:pPr>
    <w:r>
      <w:rPr>
        <w:rFonts w:ascii="Arial" w:cs="Arial" w:eastAsia="Arial" w:hAnsi="Arial"/>
        <w:color w:val="888888"/>
        <w:sz w:val="14"/>
        <w:szCs w:val="14"/>
      </w:rPr>
      <w:t xml:space="preserve">School of Systems Engineering Secondment  |  Vacation Stables x CoffCo	Page </w:t>
    </w:r>
    <w:r>
      <w:rPr>
        <w:rFonts w:ascii="Arial" w:cs="Arial" w:eastAsia="Arial" w:hAnsi="Arial"/>
        <w:color w:val="888888"/>
        <w:sz w:val="14"/>
        <w:szCs w:val="14"/>
      </w:rPr>
      <w:fldChar w:fldCharType="begin"/>
      <w:instrText xml:space="preserve">PAGE</w:instrText>
      <w:fldChar w:fldCharType="separate"/>
      <w:fldChar w:fldCharType="end"/>
    </w:r>
    <w:r>
      <w:rPr>
        <w:rFonts w:ascii="Arial" w:cs="Arial" w:eastAsia="Arial" w:hAnsi="Arial"/>
        <w:color w:val="888888"/>
        <w:sz w:val="14"/>
        <w:szCs w:val="14"/>
      </w:rPr>
      <w:t xml:space="preserve"> of </w:t>
    </w:r>
    <w:r>
      <w:rPr>
        <w:rFonts w:ascii="Arial" w:cs="Arial" w:eastAsia="Arial" w:hAnsi="Arial"/>
        <w:color w:val="888888"/>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10080"/>
      </w:tabs>
    </w:pPr>
    <w:r>
      <w:rPr>
        <w:rFonts w:ascii="Arial" w:cs="Arial" w:eastAsia="Arial" w:hAnsi="Arial"/>
        <w:color w:val="888888"/>
        <w:sz w:val="14"/>
        <w:szCs w:val="14"/>
      </w:rPr>
      <w:t xml:space="preserve">Disposal Plan  CoffCo Coffee Machine  V1.0  |  June 2026  |  Commercial in Confidence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5B9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2026-07-03T06:23:28.753Z</dcterms:created>
  <dcterms:modified xsi:type="dcterms:W3CDTF">2026-07-03T06:23:28.764Z</dcterms:modified>
</cp:coreProperties>
</file>

<file path=docProps/custom.xml><?xml version="1.0" encoding="utf-8"?>
<Properties xmlns="http://schemas.openxmlformats.org/officeDocument/2006/custom-properties" xmlns:vt="http://schemas.openxmlformats.org/officeDocument/2006/docPropsVTypes"/>
</file>