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Times" w:hAnsi="Times" w:cs="Times"/>
          <w:sz w:val="52"/>
          <w:sz-cs w:val="52"/>
          <w:b/>
          <w:color w:val="1B2A4A"/>
        </w:rPr>
        <w:t xml:space="preserve">LOCKWISE</w:t>
      </w:r>
    </w:p>
    <w:p>
      <w:pPr>
        <w:spacing w:after="100"/>
      </w:pPr>
      <w:r>
        <w:rPr>
          <w:rFonts w:ascii="Times" w:hAnsi="Times" w:cs="Times"/>
          <w:sz w:val="26"/>
          <w:sz-cs w:val="26"/>
          <w:color w:val="595959"/>
        </w:rPr>
        <w:t xml:space="preserve">Pricing and Subscription Model</w:t>
      </w:r>
    </w:p>
    <w:p>
      <w:pPr>
        <w:spacing w:after="360"/>
      </w:pPr>
      <w:r>
        <w:rPr>
          <w:rFonts w:ascii="Times" w:hAnsi="Times" w:cs="Times"/>
          <w:sz w:val="18"/>
          <w:sz-cs w:val="18"/>
          <w:i/>
          <w:color w:val="595959"/>
        </w:rPr>
        <w:t xml:space="preserve">CSG Limited · Internal Strategy Document · 2025</w:t>
      </w:r>
    </w:p>
    <w:p>
      <w:pPr/>
      <w:r>
        <w:rPr>
          <w:rFonts w:ascii="Times" w:hAnsi="Times" w:cs="Times"/>
          <w:sz w:val="24"/>
          <w:sz-cs w:val="24"/>
        </w:rPr>
        <w:t xml:space="preserve">Pricing Tiers</w:t>
      </w:r>
    </w:p>
    <w:p>
      <w:pPr>
        <w:spacing w:after="160"/>
      </w:pPr>
      <w:r>
        <w:rPr>
          <w:rFonts w:ascii="Times" w:hAnsi="Times" w:cs="Times"/>
          <w:sz w:val="21"/>
          <w:sz-cs w:val="21"/>
        </w:rPr>
        <w:t xml:space="preserve">All tiers include WhatsApp and email support, onboarding assistance, and full access to platform features. One apartment account equals one registered account on the platform. No transaction fees are charged on resident collections at any tier.</w:t>
      </w:r>
    </w:p>
    <w:p>
      <w:pPr>
        <w:spacing w:after="160"/>
      </w:pPr>
      <w:r>
        <w:rPr>
          <w:rFonts w:ascii="Times" w:hAnsi="Times" w:cs="Times"/>
          <w:sz w:val="24"/>
          <w:sz-cs w:val="24"/>
        </w:rPr>
        <w:t xml:space="preserve"/>
      </w:r>
    </w:p>
    <w:p>
      <w:pPr/>
      <w:r>
        <w:rPr>
          <w:rFonts w:ascii="Times" w:hAnsi="Times" w:cs="Times"/>
          <w:sz w:val="20"/>
          <w:sz-cs w:val="20"/>
          <w:b/>
          <w:color w:val="FFFFFF"/>
        </w:rPr>
        <w:t xml:space="preserve">Tier</w:t>
      </w:r>
    </w:p>
    <w:p>
      <w:pPr/>
      <w:r>
        <w:rPr>
          <w:rFonts w:ascii="Times" w:hAnsi="Times" w:cs="Times"/>
          <w:sz w:val="20"/>
          <w:sz-cs w:val="20"/>
          <w:b/>
          <w:color w:val="FFFFFF"/>
        </w:rPr>
        <w:t xml:space="preserve">Monthly</w:t>
      </w:r>
    </w:p>
    <w:p>
      <w:pPr/>
      <w:r>
        <w:rPr>
          <w:rFonts w:ascii="Times" w:hAnsi="Times" w:cs="Times"/>
          <w:sz w:val="20"/>
          <w:sz-cs w:val="20"/>
          <w:b/>
          <w:color w:val="FFFFFF"/>
        </w:rPr>
        <w:t xml:space="preserve">Quarterly</w:t>
      </w:r>
    </w:p>
    <w:p>
      <w:pPr/>
      <w:r>
        <w:rPr>
          <w:rFonts w:ascii="Times" w:hAnsi="Times" w:cs="Times"/>
          <w:sz w:val="20"/>
          <w:sz-cs w:val="20"/>
          <w:b/>
          <w:color w:val="FFFFFF"/>
        </w:rPr>
        <w:t xml:space="preserve">Annually</w:t>
      </w:r>
    </w:p>
    <w:p>
      <w:pPr/>
      <w:r>
        <w:rPr>
          <w:rFonts w:ascii="Times" w:hAnsi="Times" w:cs="Times"/>
          <w:sz w:val="20"/>
          <w:sz-cs w:val="20"/>
          <w:b/>
          <w:color w:val="FFFFFF"/>
        </w:rPr>
        <w:t xml:space="preserve">Apartment Cap</w:t>
      </w:r>
    </w:p>
    <w:p>
      <w:pPr/>
      <w:r>
        <w:rPr>
          <w:rFonts w:ascii="Times" w:hAnsi="Times" w:cs="Times"/>
          <w:sz w:val="21"/>
          <w:sz-cs w:val="21"/>
          <w:b/>
          <w:color w:val="000000"/>
        </w:rPr>
        <w:t xml:space="preserve">Starter</w:t>
      </w:r>
    </w:p>
    <w:p>
      <w:pPr>
        <w:jc w:val="right"/>
      </w:pPr>
      <w:r>
        <w:rPr>
          <w:rFonts w:ascii="Times New Roman" w:hAnsi="Times New Roman" w:cs="Times New Roman"/>
          <w:sz w:val="21"/>
          <w:sz-cs w:val="21"/>
          <w:b/>
          <w:color w:val="000000"/>
        </w:rPr>
        <w:t xml:space="preserve">₦</w:t>
      </w:r>
      <w:r>
        <w:rPr>
          <w:rFonts w:ascii="Times" w:hAnsi="Times" w:cs="Times"/>
          <w:sz w:val="21"/>
          <w:sz-cs w:val="21"/>
          <w:b/>
          <w:color w:val="000000"/>
        </w:rPr>
        <w:t xml:space="preserve">40,000</w:t>
      </w:r>
    </w:p>
    <w:p>
      <w:pPr>
        <w:jc w:val="right"/>
      </w:pPr>
      <w:r>
        <w:rPr>
          <w:rFonts w:ascii="Times New Roman" w:hAnsi="Times New Roman" w:cs="Times New Roman"/>
          <w:sz w:val="21"/>
          <w:sz-cs w:val="21"/>
          <w:b/>
          <w:color w:val="000000"/>
        </w:rPr>
        <w:t xml:space="preserve">₦</w:t>
      </w:r>
      <w:r>
        <w:rPr>
          <w:rFonts w:ascii="Times" w:hAnsi="Times" w:cs="Times"/>
          <w:sz w:val="21"/>
          <w:sz-cs w:val="21"/>
          <w:b/>
          <w:color w:val="000000"/>
        </w:rPr>
        <w:t xml:space="preserve">110,000</w:t>
      </w:r>
    </w:p>
    <w:p>
      <w:pPr>
        <w:jc w:val="right"/>
      </w:pPr>
      <w:r>
        <w:rPr>
          <w:rFonts w:ascii="Times New Roman" w:hAnsi="Times New Roman" w:cs="Times New Roman"/>
          <w:sz w:val="21"/>
          <w:sz-cs w:val="21"/>
          <w:b/>
          <w:color w:val="000000"/>
        </w:rPr>
        <w:t xml:space="preserve">₦</w:t>
      </w:r>
      <w:r>
        <w:rPr>
          <w:rFonts w:ascii="Times" w:hAnsi="Times" w:cs="Times"/>
          <w:sz w:val="21"/>
          <w:sz-cs w:val="21"/>
          <w:b/>
          <w:color w:val="000000"/>
        </w:rPr>
        <w:t xml:space="preserve">380,000</w:t>
      </w:r>
    </w:p>
    <w:p>
      <w:pPr/>
      <w:r>
        <w:rPr>
          <w:rFonts w:ascii="Times" w:hAnsi="Times" w:cs="Times"/>
          <w:sz w:val="21"/>
          <w:sz-cs w:val="21"/>
          <w:b/>
          <w:color w:val="000000"/>
        </w:rPr>
        <w:t xml:space="preserve">Up to 200</w:t>
      </w:r>
    </w:p>
    <w:p>
      <w:pPr/>
      <w:r>
        <w:rPr>
          <w:rFonts w:ascii="Times" w:hAnsi="Times" w:cs="Times"/>
          <w:sz w:val="21"/>
          <w:sz-cs w:val="21"/>
          <w:b/>
          <w:color w:val="000000"/>
        </w:rPr>
        <w:t xml:space="preserve">Growth</w:t>
      </w:r>
    </w:p>
    <w:p>
      <w:pPr>
        <w:jc w:val="right"/>
      </w:pPr>
      <w:r>
        <w:rPr>
          <w:rFonts w:ascii="Times New Roman" w:hAnsi="Times New Roman" w:cs="Times New Roman"/>
          <w:sz w:val="21"/>
          <w:sz-cs w:val="21"/>
          <w:b/>
          <w:color w:val="000000"/>
        </w:rPr>
        <w:t xml:space="preserve">₦</w:t>
      </w:r>
      <w:r>
        <w:rPr>
          <w:rFonts w:ascii="Times" w:hAnsi="Times" w:cs="Times"/>
          <w:sz w:val="21"/>
          <w:sz-cs w:val="21"/>
          <w:b/>
          <w:color w:val="000000"/>
        </w:rPr>
        <w:t xml:space="preserve">65,000</w:t>
      </w:r>
    </w:p>
    <w:p>
      <w:pPr>
        <w:jc w:val="right"/>
      </w:pPr>
      <w:r>
        <w:rPr>
          <w:rFonts w:ascii="Times New Roman" w:hAnsi="Times New Roman" w:cs="Times New Roman"/>
          <w:sz w:val="21"/>
          <w:sz-cs w:val="21"/>
          <w:b/>
          <w:color w:val="000000"/>
        </w:rPr>
        <w:t xml:space="preserve">₦</w:t>
      </w:r>
      <w:r>
        <w:rPr>
          <w:rFonts w:ascii="Times" w:hAnsi="Times" w:cs="Times"/>
          <w:sz w:val="21"/>
          <w:sz-cs w:val="21"/>
          <w:b/>
          <w:color w:val="000000"/>
        </w:rPr>
        <w:t xml:space="preserve">180,000</w:t>
      </w:r>
    </w:p>
    <w:p>
      <w:pPr>
        <w:jc w:val="right"/>
      </w:pPr>
      <w:r>
        <w:rPr>
          <w:rFonts w:ascii="Times New Roman" w:hAnsi="Times New Roman" w:cs="Times New Roman"/>
          <w:sz w:val="21"/>
          <w:sz-cs w:val="21"/>
          <w:b/>
          <w:color w:val="000000"/>
        </w:rPr>
        <w:t xml:space="preserve">₦</w:t>
      </w:r>
      <w:r>
        <w:rPr>
          <w:rFonts w:ascii="Times" w:hAnsi="Times" w:cs="Times"/>
          <w:sz w:val="21"/>
          <w:sz-cs w:val="21"/>
          <w:b/>
          <w:color w:val="000000"/>
        </w:rPr>
        <w:t xml:space="preserve">620,000</w:t>
      </w:r>
    </w:p>
    <w:p>
      <w:pPr/>
      <w:r>
        <w:rPr>
          <w:rFonts w:ascii="Times" w:hAnsi="Times" w:cs="Times"/>
          <w:sz w:val="21"/>
          <w:sz-cs w:val="21"/>
          <w:b/>
          <w:color w:val="000000"/>
        </w:rPr>
        <w:t xml:space="preserve">Up to 500</w:t>
      </w:r>
    </w:p>
    <w:p>
      <w:pPr/>
      <w:r>
        <w:rPr>
          <w:rFonts w:ascii="Times" w:hAnsi="Times" w:cs="Times"/>
          <w:sz w:val="21"/>
          <w:sz-cs w:val="21"/>
          <w:b/>
          <w:color w:val="000000"/>
        </w:rPr>
        <w:t xml:space="preserve">Estate Pro</w:t>
      </w:r>
    </w:p>
    <w:p>
      <w:pPr>
        <w:jc w:val="right"/>
      </w:pPr>
      <w:r>
        <w:rPr>
          <w:rFonts w:ascii="Times New Roman" w:hAnsi="Times New Roman" w:cs="Times New Roman"/>
          <w:sz w:val="21"/>
          <w:sz-cs w:val="21"/>
          <w:b/>
          <w:color w:val="000000"/>
        </w:rPr>
        <w:t xml:space="preserve">₦</w:t>
      </w:r>
      <w:r>
        <w:rPr>
          <w:rFonts w:ascii="Times" w:hAnsi="Times" w:cs="Times"/>
          <w:sz w:val="21"/>
          <w:sz-cs w:val="21"/>
          <w:b/>
          <w:color w:val="000000"/>
        </w:rPr>
        <w:t xml:space="preserve">170,000</w:t>
      </w:r>
    </w:p>
    <w:p>
      <w:pPr>
        <w:jc w:val="right"/>
      </w:pPr>
      <w:r>
        <w:rPr>
          <w:rFonts w:ascii="Times New Roman" w:hAnsi="Times New Roman" w:cs="Times New Roman"/>
          <w:sz w:val="21"/>
          <w:sz-cs w:val="21"/>
          <w:b/>
          <w:color w:val="000000"/>
        </w:rPr>
        <w:t xml:space="preserve">₦</w:t>
      </w:r>
      <w:r>
        <w:rPr>
          <w:rFonts w:ascii="Times" w:hAnsi="Times" w:cs="Times"/>
          <w:sz w:val="21"/>
          <w:sz-cs w:val="21"/>
          <w:b/>
          <w:color w:val="000000"/>
        </w:rPr>
        <w:t xml:space="preserve">460,000</w:t>
      </w:r>
    </w:p>
    <w:p>
      <w:pPr>
        <w:jc w:val="right"/>
      </w:pPr>
      <w:r>
        <w:rPr>
          <w:rFonts w:ascii="Times New Roman" w:hAnsi="Times New Roman" w:cs="Times New Roman"/>
          <w:sz w:val="21"/>
          <w:sz-cs w:val="21"/>
          <w:b/>
          <w:color w:val="000000"/>
        </w:rPr>
        <w:t xml:space="preserve">₦</w:t>
      </w:r>
      <w:r>
        <w:rPr>
          <w:rFonts w:ascii="Times" w:hAnsi="Times" w:cs="Times"/>
          <w:sz w:val="21"/>
          <w:sz-cs w:val="21"/>
          <w:b/>
          <w:color w:val="000000"/>
        </w:rPr>
        <w:t xml:space="preserve">1,630,000</w:t>
      </w:r>
    </w:p>
    <w:p>
      <w:pPr/>
      <w:r>
        <w:rPr>
          <w:rFonts w:ascii="Times" w:hAnsi="Times" w:cs="Times"/>
          <w:sz w:val="21"/>
          <w:sz-cs w:val="21"/>
          <w:b/>
          <w:color w:val="000000"/>
        </w:rPr>
        <w:t xml:space="preserve">Up to 999</w:t>
      </w:r>
    </w:p>
    <w:p>
      <w:pPr/>
      <w:r>
        <w:rPr>
          <w:rFonts w:ascii="Times" w:hAnsi="Times" w:cs="Times"/>
          <w:sz w:val="21"/>
          <w:sz-cs w:val="21"/>
          <w:b/>
          <w:color w:val="000000"/>
        </w:rPr>
        <w:t xml:space="preserve">Enterprise</w:t>
      </w:r>
    </w:p>
    <w:p>
      <w:pPr>
        <w:jc w:val="right"/>
      </w:pPr>
      <w:r>
        <w:rPr>
          <w:rFonts w:ascii="Times" w:hAnsi="Times" w:cs="Times"/>
          <w:sz w:val="21"/>
          <w:sz-cs w:val="21"/>
          <w:b/>
          <w:color w:val="595959"/>
        </w:rPr>
        <w:t xml:space="preserve">Custom</w:t>
      </w:r>
    </w:p>
    <w:p>
      <w:pPr>
        <w:jc w:val="right"/>
      </w:pPr>
      <w:r>
        <w:rPr>
          <w:rFonts w:ascii="Times" w:hAnsi="Times" w:cs="Times"/>
          <w:sz w:val="21"/>
          <w:sz-cs w:val="21"/>
          <w:b/>
          <w:color w:val="595959"/>
        </w:rPr>
        <w:t xml:space="preserve">Custom</w:t>
      </w:r>
    </w:p>
    <w:p>
      <w:pPr>
        <w:jc w:val="right"/>
      </w:pPr>
      <w:r>
        <w:rPr>
          <w:rFonts w:ascii="Times" w:hAnsi="Times" w:cs="Times"/>
          <w:sz w:val="21"/>
          <w:sz-cs w:val="21"/>
          <w:b/>
          <w:color w:val="595959"/>
        </w:rPr>
        <w:t xml:space="preserve">Custom</w:t>
      </w:r>
    </w:p>
    <w:p>
      <w:pPr/>
      <w:r>
        <w:rPr>
          <w:rFonts w:ascii="Times" w:hAnsi="Times" w:cs="Times"/>
          <w:sz w:val="21"/>
          <w:sz-cs w:val="21"/>
          <w:b/>
          <w:color w:val="000000"/>
        </w:rPr>
        <w:t xml:space="preserve">1,000+</w:t>
      </w:r>
    </w:p>
    <w:p>
      <w:pPr>
        <w:spacing w:after="160"/>
      </w:pPr>
      <w:r>
        <w:rPr>
          <w:rFonts w:ascii="Times" w:hAnsi="Times" w:cs="Times"/>
          <w:sz w:val="24"/>
          <w:sz-cs w:val="24"/>
        </w:rPr>
        <w:t xml:space="preserve"/>
      </w:r>
    </w:p>
    <w:p>
      <w:pPr>
        <w:spacing w:before="120" w:after="200"/>
      </w:pPr>
      <w:r>
        <w:rPr>
          <w:rFonts w:ascii="Times" w:hAnsi="Times" w:cs="Times"/>
          <w:sz w:val="19"/>
          <w:sz-cs w:val="19"/>
          <w:i/>
          <w:color w:val="595959"/>
        </w:rPr>
        <w:t xml:space="preserve">Quarterly pricing reflects approximately 10% off the monthly rate. Annual pricing reflects approximately 20% off the monthly rate, equivalent to just over two months free. All figures are in Nigerian Naira. Enterprise pricing is negotiated directly based on estate size and operational requirements.</w:t>
      </w:r>
    </w:p>
    <w:p>
      <w:pPr/>
      <w:r>
        <w:rPr>
          <w:rFonts w:ascii="Times" w:hAnsi="Times" w:cs="Times"/>
          <w:sz w:val="24"/>
          <w:sz-cs w:val="24"/>
        </w:rPr>
        <w:t xml:space="preserve">Feature Access by Tier</w:t>
      </w:r>
    </w:p>
    <w:p>
      <w:pPr>
        <w:spacing w:after="160"/>
      </w:pPr>
      <w:r>
        <w:rPr>
          <w:rFonts w:ascii="Times" w:hAnsi="Times" w:cs="Times"/>
          <w:sz w:val="21"/>
          <w:sz-cs w:val="21"/>
        </w:rPr>
        <w:t xml:space="preserve">Platform features are identical across all paid tiers. What scales with the tier is the number of apartments the estate can onboard and, at Enterprise level, dedicated account support and hardware integration. There is no feature gatekeeping between Starter and Estate Pro.</w:t>
      </w:r>
    </w:p>
    <w:p>
      <w:pPr>
        <w:spacing w:after="160"/>
      </w:pPr>
      <w:r>
        <w:rPr>
          <w:rFonts w:ascii="Times" w:hAnsi="Times" w:cs="Times"/>
          <w:sz w:val="24"/>
          <w:sz-cs w:val="24"/>
        </w:rPr>
        <w:t xml:space="preserve"/>
      </w:r>
    </w:p>
    <w:p>
      <w:pPr/>
      <w:r>
        <w:rPr>
          <w:rFonts w:ascii="Times" w:hAnsi="Times" w:cs="Times"/>
          <w:sz w:val="20"/>
          <w:sz-cs w:val="20"/>
          <w:b/>
          <w:color w:val="FFFFFF"/>
        </w:rPr>
        <w:t xml:space="preserve">Feature</w:t>
      </w:r>
    </w:p>
    <w:p>
      <w:pPr/>
      <w:r>
        <w:rPr>
          <w:rFonts w:ascii="Times" w:hAnsi="Times" w:cs="Times"/>
          <w:sz w:val="20"/>
          <w:sz-cs w:val="20"/>
          <w:b/>
          <w:color w:val="FFFFFF"/>
        </w:rPr>
        <w:t xml:space="preserve">Starter</w:t>
      </w:r>
    </w:p>
    <w:p>
      <w:pPr/>
      <w:r>
        <w:rPr>
          <w:rFonts w:ascii="Times" w:hAnsi="Times" w:cs="Times"/>
          <w:sz w:val="20"/>
          <w:sz-cs w:val="20"/>
          <w:b/>
          <w:color w:val="FFFFFF"/>
        </w:rPr>
        <w:t xml:space="preserve">Growth</w:t>
      </w:r>
    </w:p>
    <w:p>
      <w:pPr/>
      <w:r>
        <w:rPr>
          <w:rFonts w:ascii="Times" w:hAnsi="Times" w:cs="Times"/>
          <w:sz w:val="20"/>
          <w:sz-cs w:val="20"/>
          <w:b/>
          <w:color w:val="FFFFFF"/>
        </w:rPr>
        <w:t xml:space="preserve">Estate Pro</w:t>
      </w:r>
    </w:p>
    <w:p>
      <w:pPr/>
      <w:r>
        <w:rPr>
          <w:rFonts w:ascii="Times" w:hAnsi="Times" w:cs="Times"/>
          <w:sz w:val="20"/>
          <w:sz-cs w:val="20"/>
          <w:b/>
          <w:color w:val="FFFFFF"/>
        </w:rPr>
        <w:t xml:space="preserve">Enterprise</w:t>
      </w:r>
    </w:p>
    <w:p>
      <w:pPr/>
      <w:r>
        <w:rPr>
          <w:rFonts w:ascii="Times" w:hAnsi="Times" w:cs="Times"/>
          <w:sz w:val="21"/>
          <w:sz-cs w:val="21"/>
          <w:b/>
          <w:color w:val="000000"/>
        </w:rPr>
        <w:t xml:space="preserve">Access Control by Code</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r>
        <w:rPr>
          <w:rFonts w:ascii="Times" w:hAnsi="Times" w:cs="Times"/>
          <w:sz w:val="21"/>
          <w:sz-cs w:val="21"/>
          <w:b/>
          <w:color w:val="000000"/>
        </w:rPr>
        <w:t xml:space="preserve">Visitor Management</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r>
        <w:rPr>
          <w:rFonts w:ascii="Times" w:hAnsi="Times" w:cs="Times"/>
          <w:sz w:val="21"/>
          <w:sz-cs w:val="21"/>
          <w:b/>
          <w:color w:val="000000"/>
        </w:rPr>
        <w:t xml:space="preserve">Domestic Staff Management with Photo Upload</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r>
        <w:rPr>
          <w:rFonts w:ascii="Times" w:hAnsi="Times" w:cs="Times"/>
          <w:sz w:val="21"/>
          <w:sz-cs w:val="21"/>
          <w:b/>
          <w:color w:val="000000"/>
        </w:rPr>
        <w:t xml:space="preserve">ICE Emergency Alerts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r>
        <w:rPr>
          <w:rFonts w:ascii="Times" w:hAnsi="Times" w:cs="Times"/>
          <w:sz w:val="21"/>
          <w:sz-cs w:val="21"/>
          <w:b/>
          <w:color w:val="000000"/>
        </w:rPr>
        <w:t xml:space="preserve">Community Chat</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r>
        <w:rPr>
          <w:rFonts w:ascii="Times" w:hAnsi="Times" w:cs="Times"/>
          <w:sz w:val="21"/>
          <w:sz-cs w:val="21"/>
          <w:b/>
          <w:color w:val="000000"/>
        </w:rPr>
        <w:t xml:space="preserve">Collections and Payments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r>
        <w:rPr>
          <w:rFonts w:ascii="Times" w:hAnsi="Times" w:cs="Times"/>
          <w:sz w:val="21"/>
          <w:sz-cs w:val="21"/>
          <w:b/>
          <w:color w:val="000000"/>
        </w:rPr>
        <w:t xml:space="preserve">Manager Dashboard and Reporting</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r>
        <w:rPr>
          <w:rFonts w:ascii="Times" w:hAnsi="Times" w:cs="Times"/>
          <w:sz w:val="21"/>
          <w:sz-cs w:val="21"/>
          <w:b/>
          <w:color w:val="000000"/>
        </w:rPr>
        <w:t xml:space="preserve">Issue Tracking</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jc w:val="center"/>
      </w:pPr>
      <w:r>
        <w:rPr>
          <w:rFonts w:ascii="Times" w:hAnsi="Times" w:cs="Times"/>
          <w:sz w:val="21"/>
          <w:sz-cs w:val="21"/>
          <w:b/>
          <w:color w:val="1E7B34"/>
        </w:rPr>
        <w:t xml:space="preserve">Yes</w:t>
      </w:r>
    </w:p>
    <w:p>
      <w:pPr/>
      <w:r>
        <w:rPr>
          <w:rFonts w:ascii="Times" w:hAnsi="Times" w:cs="Times"/>
          <w:sz w:val="21"/>
          <w:sz-cs w:val="21"/>
          <w:b/>
          <w:color w:val="000000"/>
        </w:rPr>
        <w:t xml:space="preserve">Hardware Integration (Turnstile, NFC, Boom Barrier)</w:t>
      </w:r>
    </w:p>
    <w:p>
      <w:pPr>
        <w:jc w:val="center"/>
      </w:pPr>
      <w:r>
        <w:rPr>
          <w:rFonts w:ascii="Times" w:hAnsi="Times" w:cs="Times"/>
          <w:sz w:val="21"/>
          <w:sz-cs w:val="21"/>
          <w:b/>
          <w:color w:val="B23A24"/>
        </w:rPr>
        <w:t xml:space="preserve">No</w:t>
      </w:r>
    </w:p>
    <w:p>
      <w:pPr>
        <w:jc w:val="center"/>
      </w:pPr>
      <w:r>
        <w:rPr>
          <w:rFonts w:ascii="Times" w:hAnsi="Times" w:cs="Times"/>
          <w:sz w:val="21"/>
          <w:sz-cs w:val="21"/>
          <w:b/>
          <w:color w:val="5EB020"/>
        </w:rPr>
        <w:t xml:space="preserve">Yes </w:t>
      </w:r>
      <w:r>
        <w:rPr>
          <w:rFonts w:ascii="Times" w:hAnsi="Times" w:cs="Times"/>
          <w:sz w:val="21"/>
          <w:sz-cs w:val="21"/>
          <w:b/>
          <w:color w:val="000000"/>
        </w:rPr>
        <w:t xml:space="preserve">(NFC)</w:t>
      </w:r>
      <w:r>
        <w:rPr>
          <w:rFonts w:ascii="Times" w:hAnsi="Times" w:cs="Times"/>
          <w:sz w:val="21"/>
          <w:sz-cs w:val="21"/>
          <w:b/>
          <w:color w:val="B23A24"/>
        </w:rPr>
        <w:t xml:space="preserve"/>
      </w:r>
    </w:p>
    <w:p>
      <w:pPr>
        <w:jc w:val="center"/>
      </w:pPr>
      <w:r>
        <w:rPr>
          <w:rFonts w:ascii="Times" w:hAnsi="Times" w:cs="Times"/>
          <w:sz w:val="21"/>
          <w:sz-cs w:val="21"/>
          <w:b/>
          <w:color w:val="407619"/>
        </w:rPr>
        <w:t xml:space="preserve">Yes</w:t>
      </w:r>
      <w:r>
        <w:rPr>
          <w:rFonts w:ascii="Times" w:hAnsi="Times" w:cs="Times"/>
          <w:sz w:val="21"/>
          <w:sz-cs w:val="21"/>
          <w:b/>
          <w:color w:val="B23A24"/>
        </w:rPr>
        <w:t xml:space="preserve"/>
      </w:r>
    </w:p>
    <w:p>
      <w:pPr>
        <w:jc w:val="center"/>
      </w:pPr>
      <w:r>
        <w:rPr>
          <w:rFonts w:ascii="Times" w:hAnsi="Times" w:cs="Times"/>
          <w:sz w:val="21"/>
          <w:sz-cs w:val="21"/>
          <w:b/>
          <w:color w:val="1E7B34"/>
        </w:rPr>
        <w:t xml:space="preserve">Yes</w:t>
      </w:r>
    </w:p>
    <w:p>
      <w:pPr/>
      <w:r>
        <w:rPr>
          <w:rFonts w:ascii="Times" w:hAnsi="Times" w:cs="Times"/>
          <w:sz w:val="21"/>
          <w:sz-cs w:val="21"/>
          <w:b/>
          <w:color w:val="000000"/>
        </w:rPr>
        <w:t xml:space="preserve">Dedicated Account Contac</w:t>
      </w:r>
    </w:p>
    <w:p>
      <w:pPr>
        <w:jc w:val="center"/>
      </w:pPr>
      <w:r>
        <w:rPr>
          <w:rFonts w:ascii="Times" w:hAnsi="Times" w:cs="Times"/>
          <w:sz w:val="21"/>
          <w:sz-cs w:val="21"/>
          <w:b/>
          <w:color w:val="B23A24"/>
        </w:rPr>
        <w:t xml:space="preserve">No</w:t>
      </w:r>
    </w:p>
    <w:p>
      <w:pPr>
        <w:jc w:val="center"/>
      </w:pPr>
      <w:r>
        <w:rPr>
          <w:rFonts w:ascii="Times" w:hAnsi="Times" w:cs="Times"/>
          <w:sz w:val="21"/>
          <w:sz-cs w:val="21"/>
          <w:b/>
          <w:color w:val="B23A24"/>
        </w:rPr>
        <w:t xml:space="preserve">No</w:t>
      </w:r>
    </w:p>
    <w:p>
      <w:pPr>
        <w:jc w:val="center"/>
      </w:pPr>
      <w:r>
        <w:rPr>
          <w:rFonts w:ascii="Times" w:hAnsi="Times" w:cs="Times"/>
          <w:sz w:val="21"/>
          <w:sz-cs w:val="21"/>
          <w:b/>
          <w:color w:val="B23A24"/>
        </w:rPr>
        <w:t xml:space="preserve">No</w:t>
      </w:r>
    </w:p>
    <w:p>
      <w:pPr>
        <w:jc w:val="center"/>
      </w:pPr>
      <w:r>
        <w:rPr>
          <w:rFonts w:ascii="Times" w:hAnsi="Times" w:cs="Times"/>
          <w:sz w:val="21"/>
          <w:sz-cs w:val="21"/>
          <w:b/>
          <w:color w:val="1E7B34"/>
        </w:rPr>
        <w:t xml:space="preserve">Yes</w:t>
      </w:r>
    </w:p>
    <w:p>
      <w:pPr>
        <w:spacing w:after="160"/>
      </w:pPr>
      <w:r>
        <w:rPr>
          <w:rFonts w:ascii="Times" w:hAnsi="Times" w:cs="Times"/>
          <w:sz w:val="24"/>
          <w:sz-cs w:val="24"/>
        </w:rPr>
        <w:t xml:space="preserve"/>
      </w:r>
    </w:p>
    <w:p>
      <w:pPr>
        <w:spacing w:before="120" w:after="200"/>
      </w:pPr>
      <w:r>
        <w:rPr>
          <w:rFonts w:ascii="Times" w:hAnsi="Times" w:cs="Times"/>
          <w:sz w:val="19"/>
          <w:sz-cs w:val="19"/>
          <w:i/>
          <w:color w:val="595959"/>
        </w:rPr>
        <w:t xml:space="preserve">Hardware integration covering physical turnstiles, NFC card readers, and boom barrier control is on the product roadmap and will be built against confirmed estate demand. It is available at Enterprise tier by arrangement and will be rolled out to lower tiers once the integration is production-ready.</w:t>
      </w:r>
    </w:p>
    <w:p>
      <w:pPr/>
      <w:r>
        <w:rPr>
          <w:rFonts w:ascii="Times" w:hAnsi="Times" w:cs="Times"/>
          <w:sz w:val="24"/>
          <w:sz-cs w:val="24"/>
        </w:rPr>
        <w:t xml:space="preserve">Subscription Lifecycle</w:t>
      </w:r>
    </w:p>
    <w:p>
      <w:pPr>
        <w:spacing w:after="160"/>
      </w:pPr>
      <w:r>
        <w:rPr>
          <w:rFonts w:ascii="Times" w:hAnsi="Times" w:cs="Times"/>
          <w:sz w:val="21"/>
          <w:sz-cs w:val="21"/>
        </w:rPr>
        <w:t xml:space="preserve">Every estate begins on a 30-day free trial with full feature access and no payment required. The trial is frictionless and requires no card on file at signup. Conversion to a paid plan is prompted from day 23 onward with automated in-app and email notifications.</w:t>
      </w:r>
    </w:p>
    <w:p>
      <w:pPr>
        <w:spacing w:after="160"/>
      </w:pPr>
      <w:r>
        <w:rPr>
          <w:rFonts w:ascii="Times" w:hAnsi="Times" w:cs="Times"/>
          <w:sz w:val="24"/>
          <w:sz-cs w:val="24"/>
        </w:rPr>
        <w:t xml:space="preserve"/>
      </w:r>
    </w:p>
    <w:p>
      <w:pPr/>
      <w:r>
        <w:rPr>
          <w:rFonts w:ascii="Times" w:hAnsi="Times" w:cs="Times"/>
          <w:sz w:val="20"/>
          <w:sz-cs w:val="20"/>
          <w:b/>
          <w:color w:val="FFFFFF"/>
        </w:rPr>
        <w:t xml:space="preserve">Phase</w:t>
      </w:r>
    </w:p>
    <w:p>
      <w:pPr/>
      <w:r>
        <w:rPr>
          <w:rFonts w:ascii="Times" w:hAnsi="Times" w:cs="Times"/>
          <w:sz w:val="20"/>
          <w:sz-cs w:val="20"/>
          <w:b/>
          <w:color w:val="FFFFFF"/>
        </w:rPr>
        <w:t xml:space="preserve">Duration</w:t>
      </w:r>
    </w:p>
    <w:p>
      <w:pPr/>
      <w:r>
        <w:rPr>
          <w:rFonts w:ascii="Times" w:hAnsi="Times" w:cs="Times"/>
          <w:sz w:val="20"/>
          <w:sz-cs w:val="20"/>
          <w:b/>
          <w:color w:val="FFFFFF"/>
        </w:rPr>
        <w:t xml:space="preserve">Access Level</w:t>
      </w:r>
    </w:p>
    <w:p>
      <w:pPr/>
      <w:r>
        <w:rPr>
          <w:rFonts w:ascii="Times" w:hAnsi="Times" w:cs="Times"/>
          <w:sz w:val="20"/>
          <w:sz-cs w:val="20"/>
          <w:b/>
          <w:color w:val="FFFFFF"/>
        </w:rPr>
        <w:t xml:space="preserve">Trigger</w:t>
      </w:r>
    </w:p>
    <w:p>
      <w:pPr/>
      <w:r>
        <w:rPr>
          <w:rFonts w:ascii="Times" w:hAnsi="Times" w:cs="Times"/>
          <w:sz w:val="21"/>
          <w:sz-cs w:val="21"/>
          <w:b/>
          <w:color w:val="000000"/>
        </w:rPr>
        <w:t xml:space="preserve">Free Trial</w:t>
      </w:r>
    </w:p>
    <w:p>
      <w:pPr/>
      <w:r>
        <w:rPr>
          <w:rFonts w:ascii="Times" w:hAnsi="Times" w:cs="Times"/>
          <w:sz w:val="21"/>
          <w:sz-cs w:val="21"/>
          <w:b/>
          <w:color w:val="000000"/>
        </w:rPr>
        <w:t xml:space="preserve">30 days</w:t>
      </w:r>
    </w:p>
    <w:p>
      <w:pPr/>
      <w:r>
        <w:rPr>
          <w:rFonts w:ascii="Times" w:hAnsi="Times" w:cs="Times"/>
          <w:sz w:val="21"/>
          <w:sz-cs w:val="21"/>
          <w:b/>
          <w:color w:val="000000"/>
        </w:rPr>
        <w:t xml:space="preserve">All features active</w:t>
      </w:r>
    </w:p>
    <w:p>
      <w:pPr/>
      <w:r>
        <w:rPr>
          <w:rFonts w:ascii="Times" w:hAnsi="Times" w:cs="Times"/>
          <w:sz w:val="21"/>
          <w:sz-cs w:val="21"/>
          <w:b/>
          <w:color w:val="000000"/>
        </w:rPr>
        <w:t xml:space="preserve">Estate registration</w:t>
      </w:r>
    </w:p>
    <w:p>
      <w:pPr/>
      <w:r>
        <w:rPr>
          <w:rFonts w:ascii="Times" w:hAnsi="Times" w:cs="Times"/>
          <w:sz w:val="21"/>
          <w:sz-cs w:val="21"/>
          <w:b/>
          <w:color w:val="000000"/>
        </w:rPr>
        <w:t xml:space="preserve">Active</w:t>
      </w:r>
    </w:p>
    <w:p>
      <w:pPr/>
      <w:r>
        <w:rPr>
          <w:rFonts w:ascii="Times" w:hAnsi="Times" w:cs="Times"/>
          <w:sz w:val="21"/>
          <w:sz-cs w:val="21"/>
          <w:b/>
          <w:color w:val="000000"/>
        </w:rPr>
        <w:t xml:space="preserve">Ongoing</w:t>
      </w:r>
    </w:p>
    <w:p>
      <w:pPr/>
      <w:r>
        <w:rPr>
          <w:rFonts w:ascii="Times" w:hAnsi="Times" w:cs="Times"/>
          <w:sz w:val="21"/>
          <w:sz-cs w:val="21"/>
          <w:b/>
          <w:color w:val="000000"/>
        </w:rPr>
        <w:t xml:space="preserve">All features active</w:t>
      </w:r>
    </w:p>
    <w:p>
      <w:pPr/>
      <w:r>
        <w:rPr>
          <w:rFonts w:ascii="Times" w:hAnsi="Times" w:cs="Times"/>
          <w:sz w:val="21"/>
          <w:sz-cs w:val="21"/>
          <w:b/>
          <w:color w:val="000000"/>
        </w:rPr>
        <w:t xml:space="preserve">Successful payment</w:t>
      </w:r>
    </w:p>
    <w:p>
      <w:pPr/>
      <w:r>
        <w:rPr>
          <w:rFonts w:ascii="Times" w:hAnsi="Times" w:cs="Times"/>
          <w:sz w:val="21"/>
          <w:sz-cs w:val="21"/>
          <w:b/>
          <w:color w:val="000000"/>
        </w:rPr>
        <w:t xml:space="preserve">Grace Period</w:t>
      </w:r>
    </w:p>
    <w:p>
      <w:pPr/>
      <w:r>
        <w:rPr>
          <w:rFonts w:ascii="Times" w:hAnsi="Times" w:cs="Times"/>
          <w:sz w:val="21"/>
          <w:sz-cs w:val="21"/>
          <w:b/>
          <w:color w:val="000000"/>
        </w:rPr>
        <w:t xml:space="preserve">7 days</w:t>
      </w:r>
    </w:p>
    <w:p>
      <w:pPr/>
      <w:r>
        <w:rPr>
          <w:rFonts w:ascii="Times" w:hAnsi="Times" w:cs="Times"/>
          <w:sz w:val="21"/>
          <w:sz-cs w:val="21"/>
          <w:b/>
          <w:color w:val="000000"/>
        </w:rPr>
        <w:t xml:space="preserve">Access by code, community chat, ICE alerts, collections only</w:t>
      </w:r>
    </w:p>
    <w:p>
      <w:pPr/>
      <w:r>
        <w:rPr>
          <w:rFonts w:ascii="Times" w:hAnsi="Times" w:cs="Times"/>
          <w:sz w:val="21"/>
          <w:sz-cs w:val="21"/>
          <w:b/>
          <w:color w:val="000000"/>
        </w:rPr>
        <w:t xml:space="preserve">Trial expires without payment</w:t>
      </w:r>
    </w:p>
    <w:p>
      <w:pPr/>
      <w:r>
        <w:rPr>
          <w:rFonts w:ascii="Times" w:hAnsi="Times" w:cs="Times"/>
          <w:sz w:val="21"/>
          <w:sz-cs w:val="21"/>
          <w:b/>
          <w:color w:val="000000"/>
        </w:rPr>
        <w:t xml:space="preserve">Lapsed</w:t>
      </w:r>
    </w:p>
    <w:p>
      <w:pPr/>
      <w:r>
        <w:rPr>
          <w:rFonts w:ascii="Times" w:hAnsi="Times" w:cs="Times"/>
          <w:sz w:val="21"/>
          <w:sz-cs w:val="21"/>
          <w:b/>
          <w:color w:val="000000"/>
        </w:rPr>
        <w:t xml:space="preserve">Until payment</w:t>
      </w:r>
    </w:p>
    <w:p>
      <w:pPr/>
      <w:r>
        <w:rPr>
          <w:rFonts w:ascii="Times" w:hAnsi="Times" w:cs="Times"/>
          <w:sz w:val="21"/>
          <w:sz-cs w:val="21"/>
          <w:b/>
          <w:color w:val="000000"/>
        </w:rPr>
        <w:t xml:space="preserve">Progressive degradation. No hard cutoff on security features.</w:t>
      </w:r>
    </w:p>
    <w:p>
      <w:pPr/>
      <w:r>
        <w:rPr>
          <w:rFonts w:ascii="Times" w:hAnsi="Times" w:cs="Times"/>
          <w:sz w:val="21"/>
          <w:sz-cs w:val="21"/>
          <w:b/>
          <w:color w:val="000000"/>
        </w:rPr>
        <w:t xml:space="preserve">Grace period expires without payment</w:t>
      </w:r>
    </w:p>
    <w:p>
      <w:pPr>
        <w:spacing w:after="160"/>
      </w:pPr>
      <w:r>
        <w:rPr>
          <w:rFonts w:ascii="Times" w:hAnsi="Times" w:cs="Times"/>
          <w:sz w:val="24"/>
          <w:sz-cs w:val="24"/>
        </w:rPr>
        <w:t xml:space="preserve"/>
      </w:r>
    </w:p>
    <w:p>
      <w:pPr>
        <w:spacing w:before="120" w:after="200"/>
      </w:pPr>
      <w:r>
        <w:rPr>
          <w:rFonts w:ascii="Times" w:hAnsi="Times" w:cs="Times"/>
          <w:sz w:val="19"/>
          <w:sz-cs w:val="19"/>
          <w:i/>
          <w:color w:val="595959"/>
        </w:rPr>
        <w:t xml:space="preserve">The Lapsed phase deliberately avoids a hard suspension of security-critical features. Access by code and ICE emergency alerts remain functional throughout. Progressive degradation targets management and reporting features to create conversion pressure without creating a safety gap in the estate.</w:t>
      </w:r>
    </w:p>
    <w:p>
      <w:pPr/>
      <w:r>
        <w:rPr>
          <w:rFonts w:ascii="Times" w:hAnsi="Times" w:cs="Times"/>
          <w:sz w:val="24"/>
          <w:sz-cs w:val="24"/>
        </w:rPr>
        <w:t xml:space="preserve">Trial Notification Schedule</w:t>
      </w:r>
    </w:p>
    <w:p>
      <w:pPr>
        <w:spacing w:after="160"/>
      </w:pPr>
      <w:r>
        <w:rPr>
          <w:rFonts w:ascii="Times" w:hAnsi="Times" w:cs="Times"/>
          <w:sz w:val="21"/>
          <w:sz-cs w:val="21"/>
        </w:rPr>
        <w:t xml:space="preserve">Automated notifications are triggered at the following points in the trial lifecycle:</w:t>
      </w:r>
    </w:p>
    <w:p>
      <w:pPr>
        <w:ind w:left="720" w:first-line="-720"/>
        <w:spacing w:after="80"/>
      </w:pPr>
      <w:r>
        <w:rPr>
          <w:rFonts w:ascii="Times" w:hAnsi="Times" w:cs="Times"/>
          <w:sz w:val="21"/>
          <w:sz-cs w:val="21"/>
        </w:rPr>
        <w:t xml:space="preserve"/>
        <w:tab/>
        <w:t xml:space="preserve">•</w:t>
        <w:tab/>
        <w:t xml:space="preserve">Day 23: In-app and email alert. Trial expires in 7 days. Prompt to select a plan.</w:t>
      </w:r>
    </w:p>
    <w:p>
      <w:pPr>
        <w:ind w:left="720" w:first-line="-720"/>
        <w:spacing w:after="80"/>
      </w:pPr>
      <w:r>
        <w:rPr>
          <w:rFonts w:ascii="Times" w:hAnsi="Times" w:cs="Times"/>
          <w:sz w:val="21"/>
          <w:sz-cs w:val="21"/>
        </w:rPr>
        <w:t xml:space="preserve"/>
        <w:tab/>
        <w:t xml:space="preserve">•</w:t>
        <w:tab/>
        <w:t xml:space="preserve">Day 27: Urgent notification via in-app, email, and SMS. Trial expires in 3 days.</w:t>
      </w:r>
    </w:p>
    <w:p>
      <w:pPr>
        <w:ind w:left="720" w:first-line="-720"/>
        <w:spacing w:after="80"/>
      </w:pPr>
      <w:r>
        <w:rPr>
          <w:rFonts w:ascii="Times" w:hAnsi="Times" w:cs="Times"/>
          <w:sz w:val="21"/>
          <w:sz-cs w:val="21"/>
        </w:rPr>
        <w:t xml:space="preserve"/>
        <w:tab/>
        <w:t xml:space="preserve">•</w:t>
        <w:tab/>
        <w:t xml:space="preserve">Day 30: Trial ends. Grace period begins. Notification confirms which features are now restricted.</w:t>
      </w:r>
    </w:p>
    <w:p>
      <w:pPr>
        <w:ind w:left="720" w:first-line="-720"/>
        <w:spacing w:after="80"/>
      </w:pPr>
      <w:r>
        <w:rPr>
          <w:rFonts w:ascii="Times" w:hAnsi="Times" w:cs="Times"/>
          <w:sz w:val="21"/>
          <w:sz-cs w:val="21"/>
        </w:rPr>
        <w:t xml:space="preserve"/>
        <w:tab/>
        <w:t xml:space="preserve">•</w:t>
        <w:tab/>
        <w:t xml:space="preserve">Day 37: Grace period ends. Lapsed phase begins. Final prompt with payment link.</w:t>
      </w:r>
    </w:p>
    <w:p>
      <w:pPr>
        <w:ind w:left="720" w:first-line="-720"/>
        <w:spacing w:after="80"/>
      </w:pPr>
      <w:r>
        <w:rPr>
          <w:rFonts w:ascii="Times" w:hAnsi="Times" w:cs="Times"/>
          <w:sz w:val="21"/>
          <w:sz-cs w:val="21"/>
        </w:rPr>
        <w:t xml:space="preserve"/>
        <w:tab/>
        <w:t xml:space="preserve">•</w:t>
        <w:tab/>
        <w:t xml:space="preserve">On successful payment at any point: All features restored immediately. Confirmation receipt issued.</w:t>
      </w:r>
    </w:p>
    <w:p>
      <w:pPr/>
      <w:r>
        <w:rPr>
          <w:rFonts w:ascii="Times" w:hAnsi="Times" w:cs="Times"/>
          <w:sz w:val="24"/>
          <w:sz-cs w:val="24"/>
        </w:rPr>
        <w:t xml:space="preserve">Billing Structure</w:t>
      </w:r>
    </w:p>
    <w:p>
      <w:pPr/>
      <w:r>
        <w:rPr>
          <w:rFonts w:ascii="Times" w:hAnsi="Times" w:cs="Times"/>
          <w:sz w:val="24"/>
          <w:sz-cs w:val="24"/>
        </w:rPr>
        <w:t xml:space="preserve">Billing Cycles</w:t>
      </w:r>
    </w:p>
    <w:p>
      <w:pPr>
        <w:ind w:left="720" w:first-line="-720"/>
        <w:spacing w:after="80"/>
      </w:pPr>
      <w:r>
        <w:rPr>
          <w:rFonts w:ascii="Times" w:hAnsi="Times" w:cs="Times"/>
          <w:sz w:val="21"/>
          <w:sz-cs w:val="21"/>
        </w:rPr>
        <w:t xml:space="preserve"/>
        <w:tab/>
        <w:t xml:space="preserve">•</w:t>
        <w:tab/>
        <w:t xml:space="preserve">Monthly: Full rate. No commitment. Ideal for estates testing the platform or with budget uncertainty.</w:t>
      </w:r>
    </w:p>
    <w:p>
      <w:pPr>
        <w:ind w:left="720" w:first-line="-720"/>
        <w:spacing w:after="80"/>
      </w:pPr>
      <w:r>
        <w:rPr>
          <w:rFonts w:ascii="Times" w:hAnsi="Times" w:cs="Times"/>
          <w:sz w:val="21"/>
          <w:sz-cs w:val="21"/>
        </w:rPr>
        <w:t xml:space="preserve"/>
        <w:tab/>
        <w:t xml:space="preserve">•</w:t>
        <w:tab/>
        <w:t xml:space="preserve">Quarterly: Approximately 10% discount. Paid upfront per quarter.</w:t>
      </w:r>
    </w:p>
    <w:p>
      <w:pPr>
        <w:ind w:left="720" w:first-line="-720"/>
        <w:spacing w:after="80"/>
      </w:pPr>
      <w:r>
        <w:rPr>
          <w:rFonts w:ascii="Times" w:hAnsi="Times" w:cs="Times"/>
          <w:sz w:val="21"/>
          <w:sz-cs w:val="21"/>
        </w:rPr>
        <w:t xml:space="preserve"/>
        <w:tab/>
        <w:t xml:space="preserve">•</w:t>
        <w:tab/>
        <w:t xml:space="preserve">Annual: Approximately 20% discount, equivalent to roughly two months free. Paid upfront. Recommended for established estates.</w:t>
      </w:r>
    </w:p>
    <w:p>
      <w:pPr/>
      <w:r>
        <w:rPr>
          <w:rFonts w:ascii="Times" w:hAnsi="Times" w:cs="Times"/>
          <w:sz w:val="24"/>
          <w:sz-cs w:val="24"/>
        </w:rPr>
        <w:t xml:space="preserve">Payment Processing</w:t>
      </w:r>
    </w:p>
    <w:p>
      <w:pPr>
        <w:ind w:left="720" w:first-line="-720"/>
        <w:spacing w:after="80"/>
      </w:pPr>
      <w:r>
        <w:rPr>
          <w:rFonts w:ascii="Times" w:hAnsi="Times" w:cs="Times"/>
          <w:sz w:val="21"/>
          <w:sz-cs w:val="21"/>
        </w:rPr>
        <w:t xml:space="preserve"/>
        <w:tab/>
        <w:t xml:space="preserve">•</w:t>
        <w:tab/>
        <w:t xml:space="preserve">Payments are processed via Paystack in Nigerian Naira.</w:t>
      </w:r>
    </w:p>
    <w:p>
      <w:pPr>
        <w:ind w:left="720" w:first-line="-720"/>
        <w:spacing w:after="80"/>
      </w:pPr>
      <w:r>
        <w:rPr>
          <w:rFonts w:ascii="Times" w:hAnsi="Times" w:cs="Times"/>
          <w:sz w:val="21"/>
          <w:sz-cs w:val="21"/>
        </w:rPr>
        <w:t xml:space="preserve"/>
        <w:tab/>
        <w:t xml:space="preserve">•</w:t>
        <w:tab/>
        <w:t xml:space="preserve">Monthly and quarterly plans use Paystack recurring subscriptions.</w:t>
      </w:r>
    </w:p>
    <w:p>
      <w:pPr>
        <w:ind w:left="720" w:first-line="-720"/>
        <w:spacing w:after="80"/>
      </w:pPr>
      <w:r>
        <w:rPr>
          <w:rFonts w:ascii="Times" w:hAnsi="Times" w:cs="Times"/>
          <w:sz w:val="21"/>
          <w:sz-cs w:val="21"/>
        </w:rPr>
        <w:t xml:space="preserve"/>
        <w:tab/>
        <w:t xml:space="preserve">•</w:t>
        <w:tab/>
        <w:t xml:space="preserve">Annual plans use a single upfront charge with a renewal reminder issued at day 335.</w:t>
      </w:r>
    </w:p>
    <w:p>
      <w:pPr>
        <w:ind w:left="720" w:first-line="-720"/>
        <w:spacing w:after="80"/>
      </w:pPr>
      <w:r>
        <w:rPr>
          <w:rFonts w:ascii="Times" w:hAnsi="Times" w:cs="Times"/>
          <w:sz w:val="21"/>
          <w:sz-cs w:val="21"/>
        </w:rPr>
        <w:t xml:space="preserve"/>
        <w:tab/>
        <w:t xml:space="preserve">•</w:t>
        <w:tab/>
        <w:t xml:space="preserve">No transaction fees are passed to residents on collections processed through the platform.</w:t>
      </w:r>
    </w:p>
    <w:p>
      <w:pPr/>
      <w:r>
        <w:rPr>
          <w:rFonts w:ascii="Times" w:hAnsi="Times" w:cs="Times"/>
          <w:sz w:val="24"/>
          <w:sz-cs w:val="24"/>
        </w:rPr>
        <w:t xml:space="preserve">Apartment Cap and Upgrades</w:t>
      </w:r>
    </w:p>
    <w:p>
      <w:pPr>
        <w:ind w:left="720" w:first-line="-720"/>
        <w:spacing w:after="80"/>
      </w:pPr>
      <w:r>
        <w:rPr>
          <w:rFonts w:ascii="Times" w:hAnsi="Times" w:cs="Times"/>
          <w:sz w:val="21"/>
          <w:sz-cs w:val="21"/>
        </w:rPr>
        <w:t xml:space="preserve"/>
        <w:tab/>
        <w:t xml:space="preserve">•</w:t>
        <w:tab/>
        <w:t xml:space="preserve">Apartment cap is enforced at the point of resident registration. An estate approaching its cap receives an automated prompt to upgrade before the limit is reached.</w:t>
      </w:r>
    </w:p>
    <w:p>
      <w:pPr>
        <w:ind w:left="720" w:first-line="-720"/>
        <w:spacing w:after="80"/>
      </w:pPr>
      <w:r>
        <w:rPr>
          <w:rFonts w:ascii="Times" w:hAnsi="Times" w:cs="Times"/>
          <w:sz w:val="21"/>
          <w:sz-cs w:val="21"/>
        </w:rPr>
        <w:t xml:space="preserve"/>
        <w:tab/>
        <w:t xml:space="preserve">•</w:t>
        <w:tab/>
        <w:t xml:space="preserve">Mid-cycle upgrades are handled with prorated billing for the remainder of the current billing period.</w:t>
      </w:r>
    </w:p>
    <w:p>
      <w:pPr>
        <w:ind w:left="720" w:first-line="-720"/>
        <w:spacing w:after="80"/>
      </w:pPr>
      <w:r>
        <w:rPr>
          <w:rFonts w:ascii="Times" w:hAnsi="Times" w:cs="Times"/>
          <w:sz w:val="21"/>
          <w:sz-cs w:val="21"/>
        </w:rPr>
        <w:t xml:space="preserve"/>
        <w:tab/>
        <w:t xml:space="preserve">•</w:t>
        <w:tab/>
        <w:t xml:space="preserve">Downgrades take effect at the next billing cycle renewal.</w:t>
      </w:r>
    </w:p>
    <w:p>
      <w:pPr/>
      <w:r>
        <w:rPr>
          <w:rFonts w:ascii="Times" w:hAnsi="Times" w:cs="Times"/>
          <w:sz w:val="24"/>
          <w:sz-cs w:val="24"/>
        </w:rPr>
        <w:t xml:space="preserve">Positioning</w:t>
      </w:r>
    </w:p>
    <w:p>
      <w:pPr/>
      <w:r>
        <w:rPr>
          <w:rFonts w:ascii="Times" w:hAnsi="Times" w:cs="Times"/>
          <w:sz w:val="24"/>
          <w:sz-cs w:val="24"/>
        </w:rPr>
        <w:t xml:space="preserve">What Lockwise Offers</w:t>
      </w:r>
    </w:p>
    <w:p>
      <w:pPr>
        <w:ind w:left="720" w:first-line="-720"/>
        <w:spacing w:after="80"/>
      </w:pPr>
      <w:r>
        <w:rPr>
          <w:rFonts w:ascii="Times" w:hAnsi="Times" w:cs="Times"/>
          <w:sz w:val="21"/>
          <w:sz-cs w:val="21"/>
        </w:rPr>
        <w:t xml:space="preserve"/>
        <w:tab/>
        <w:t xml:space="preserve">•</w:t>
        <w:tab/>
        <w:t xml:space="preserve">Flat predictable subscription. One invoice per billing cycle. No hidden fees, no per-transaction charges on resident collections, no separate support invoices.</w:t>
      </w:r>
    </w:p>
    <w:p>
      <w:pPr>
        <w:ind w:left="720" w:first-line="-720"/>
        <w:spacing w:after="80"/>
      </w:pPr>
      <w:r>
        <w:rPr>
          <w:rFonts w:ascii="Times" w:hAnsi="Times" w:cs="Times"/>
          <w:sz w:val="21"/>
          <w:sz-cs w:val="21"/>
        </w:rPr>
        <w:t xml:space="preserve"/>
        <w:tab/>
        <w:t xml:space="preserve">•</w:t>
        <w:tab/>
        <w:t xml:space="preserve">Full feature access from day one at every paid tier. No artificial feature restrictions to push upgrades.</w:t>
      </w:r>
    </w:p>
    <w:p>
      <w:pPr>
        <w:ind w:left="720" w:first-line="-720"/>
        <w:spacing w:after="80"/>
      </w:pPr>
      <w:r>
        <w:rPr>
          <w:rFonts w:ascii="Times" w:hAnsi="Times" w:cs="Times"/>
          <w:sz w:val="21"/>
          <w:sz-cs w:val="21"/>
        </w:rPr>
        <w:t xml:space="preserve"/>
        <w:tab/>
        <w:t xml:space="preserve">•</w:t>
        <w:tab/>
        <w:t xml:space="preserve">Flexible billing cycles. Monthly, quarterly, or annual. Estates are not locked into a year-long commitment to get started.</w:t>
      </w:r>
    </w:p>
    <w:p>
      <w:pPr>
        <w:ind w:left="720" w:first-line="-720"/>
        <w:spacing w:after="80"/>
      </w:pPr>
      <w:r>
        <w:rPr>
          <w:rFonts w:ascii="Times" w:hAnsi="Times" w:cs="Times"/>
          <w:sz w:val="21"/>
          <w:sz-cs w:val="21"/>
        </w:rPr>
        <w:t xml:space="preserve"/>
        <w:tab/>
        <w:t xml:space="preserve">•</w:t>
        <w:tab/>
        <w:t xml:space="preserve">Bundled support. WhatsApp and email support, onboarding assistance, and platform guidance are included at every tier without a separate support contract.</w:t>
      </w:r>
    </w:p>
    <w:p>
      <w:pPr/>
      <w:r>
        <w:rPr>
          <w:rFonts w:ascii="Times" w:hAnsi="Times" w:cs="Times"/>
          <w:sz w:val="24"/>
          <w:sz-cs w:val="24"/>
        </w:rPr>
        <w:t xml:space="preserve">Where Enterprise Has an Edge Over Lower Tiers</w:t>
      </w:r>
    </w:p>
    <w:p>
      <w:pPr>
        <w:ind w:left="720" w:first-line="-720"/>
        <w:spacing w:after="80"/>
      </w:pPr>
      <w:r>
        <w:rPr>
          <w:rFonts w:ascii="Times" w:hAnsi="Times" w:cs="Times"/>
          <w:sz w:val="21"/>
          <w:sz-cs w:val="21"/>
        </w:rPr>
        <w:t xml:space="preserve"/>
        <w:tab/>
        <w:t xml:space="preserve">•</w:t>
        <w:tab/>
        <w:t xml:space="preserve">Hardware integration at the gate, turnstile, NFC card reader, and boom barrier control.</w:t>
      </w:r>
    </w:p>
    <w:p>
      <w:pPr>
        <w:ind w:left="720" w:first-line="-720"/>
        <w:spacing w:after="80"/>
      </w:pPr>
      <w:r>
        <w:rPr>
          <w:rFonts w:ascii="Times" w:hAnsi="Times" w:cs="Times"/>
          <w:sz w:val="21"/>
          <w:sz-cs w:val="21"/>
        </w:rPr>
        <w:t xml:space="preserve"/>
        <w:tab/>
        <w:t xml:space="preserve">•</w:t>
        <w:tab/>
        <w:t xml:space="preserve">A dedicated named account contact for large or complex estates that require concierge-level operational support.</w:t>
      </w:r>
    </w:p>
    <w:p>
      <w:pPr>
        <w:ind w:left="720" w:first-line="-720"/>
        <w:spacing w:after="80"/>
      </w:pPr>
      <w:r>
        <w:rPr>
          <w:rFonts w:ascii="Times" w:hAnsi="Times" w:cs="Times"/>
          <w:sz w:val="21"/>
          <w:sz-cs w:val="21"/>
        </w:rPr>
        <w:t xml:space="preserve"/>
        <w:tab/>
        <w:t xml:space="preserve">•</w:t>
        <w:tab/>
        <w:t xml:space="preserve">Custom pricing and SLA terms negotiated directly based on estate requirements.</w:t>
      </w:r>
    </w:p>
    <w:p>
      <w:pPr>
        <w:spacing w:before="400" w:after="200"/>
      </w:pPr>
      <w:r>
        <w:rPr>
          <w:rFonts w:ascii="Times" w:hAnsi="Times" w:cs="Times"/>
          <w:sz w:val="24"/>
          <w:sz-cs w:val="24"/>
        </w:rPr>
        <w:t xml:space="preserve"/>
      </w:r>
    </w:p>
    <w:p>
      <w:pPr/>
      <w:r>
        <w:rPr>
          <w:rFonts w:ascii="Times" w:hAnsi="Times" w:cs="Times"/>
          <w:sz w:val="24"/>
          <w:sz-cs w:val="24"/>
        </w:rPr>
        <w:t xml:space="preserve">Internal Note: Support Capacity Planning</w:t>
      </w:r>
    </w:p>
    <w:p>
      <w:pPr>
        <w:spacing w:before="120" w:after="200"/>
      </w:pPr>
      <w:r>
        <w:rPr>
          <w:rFonts w:ascii="Times" w:hAnsi="Times" w:cs="Times"/>
          <w:sz w:val="19"/>
          <w:sz-cs w:val="19"/>
          <w:i/>
          <w:color w:val="595959"/>
        </w:rPr>
        <w:t xml:space="preserve">Internal use only. Not for external or prospect-facing distribution.</w:t>
      </w:r>
    </w:p>
    <w:p>
      <w:pPr>
        <w:spacing w:after="160"/>
      </w:pPr>
      <w:r>
        <w:rPr>
          <w:rFonts w:ascii="Times" w:hAnsi="Times" w:cs="Times"/>
          <w:sz w:val="21"/>
          <w:sz-cs w:val="21"/>
        </w:rPr>
        <w:t xml:space="preserve">Every Lockwise tier includes WhatsApp and email support delivered personally by the founder at this stage, with no WhatsApp Business API integration and no dedicated support headcount. SMS is reserved for phone verification and emergency cases and is not yet wired up.</w:t>
      </w:r>
    </w:p>
    <w:p>
      <w:pPr>
        <w:spacing w:after="160"/>
      </w:pPr>
      <w:r>
        <w:rPr>
          <w:rFonts w:ascii="Times" w:hAnsi="Times" w:cs="Times"/>
          <w:sz w:val="21"/>
          <w:sz-cs w:val="21"/>
        </w:rPr>
        <w:t xml:space="preserve">Firsthand usage data from an estate that has run on a comparable platform for 20 months shows a single support request after onboarding was completed. This suggests that a properly configured access management system is largely self-service once live and residents are trained. The meaningful constraint is not total active estate count but concurrent onboarding load. Onboarding is the highest-touch phase: initial setup, admin training, data upload, and first-week edge cases that rarely recur after an estate reaches steady state.</w:t>
      </w:r>
    </w:p>
    <w:p>
      <w:pPr/>
      <w:r>
        <w:rPr>
          <w:rFonts w:ascii="Times" w:hAnsi="Times" w:cs="Times"/>
          <w:sz w:val="24"/>
          <w:sz-cs w:val="24"/>
        </w:rPr>
        <w:t xml:space="preserve">Recommended Actions</w:t>
      </w:r>
    </w:p>
    <w:p>
      <w:pPr>
        <w:ind w:left="720" w:first-line="-720"/>
        <w:spacing w:after="80"/>
      </w:pPr>
      <w:r>
        <w:rPr>
          <w:rFonts w:ascii="Times" w:hAnsi="Times" w:cs="Times"/>
          <w:sz w:val="21"/>
          <w:sz-cs w:val="21"/>
        </w:rPr>
        <w:t xml:space="preserve"/>
        <w:tab/>
        <w:t xml:space="preserve">•</w:t>
        <w:tab/>
        <w:t xml:space="preserve">Treat steady-state support as light-touch and self-service-driven, based on real usage evidence rather than assumption. This is not a reason to deprioritize support quality; it is a reason to invest in documentation, in-app guidance, and a self-service help center so that the volume never reaches the founder in the first place.</w:t>
      </w:r>
    </w:p>
    <w:p>
      <w:pPr>
        <w:ind w:left="720" w:first-line="-720"/>
        <w:spacing w:after="80"/>
      </w:pPr>
      <w:r>
        <w:rPr>
          <w:rFonts w:ascii="Times" w:hAnsi="Times" w:cs="Times"/>
          <w:sz w:val="21"/>
          <w:sz-cs w:val="21"/>
        </w:rPr>
        <w:t xml:space="preserve"/>
        <w:tab/>
        <w:t xml:space="preserve">•</w:t>
        <w:tab/>
        <w:t xml:space="preserve">Cap concurrent estate onboardings at two to three at a time regardless of total active estate count. This is where founder time is genuinely scarce and where service quality risk is highest.</w:t>
      </w:r>
    </w:p>
    <w:p>
      <w:pPr>
        <w:ind w:left="720" w:first-line="-720"/>
        <w:spacing w:after="80"/>
      </w:pPr>
      <w:r>
        <w:rPr>
          <w:rFonts w:ascii="Times" w:hAnsi="Times" w:cs="Times"/>
          <w:sz w:val="21"/>
          <w:sz-cs w:val="21"/>
        </w:rPr>
        <w:t xml:space="preserve"/>
        <w:tab/>
        <w:t xml:space="preserve">•</w:t>
        <w:tab/>
        <w:t xml:space="preserve">Track time spent per onboarding from the first paying customer. Convert this into a hard number before making any future staffing decisions based on assumption.</w:t>
      </w:r>
    </w:p>
    <w:p>
      <w:pPr>
        <w:ind w:left="720" w:first-line="-720"/>
        <w:spacing w:after="80"/>
      </w:pPr>
      <w:r>
        <w:rPr>
          <w:rFonts w:ascii="Times" w:hAnsi="Times" w:cs="Times"/>
          <w:sz w:val="21"/>
          <w:sz-cs w:val="21"/>
        </w:rPr>
        <w:t xml:space="preserve"/>
        <w:tab/>
        <w:t xml:space="preserve">•</w:t>
        <w:tab/>
        <w:t xml:space="preserve">Revisit this section once 10 or more estates have completed onboarding and entered steady state, to confirm the low-touch pattern holds at scale before expanding support commitments further.</w:t>
      </w:r>
    </w:p>
    <w:p>
      <w:pPr>
        <w:ind w:left="720" w:first-line="-720"/>
        <w:spacing w:after="80"/>
      </w:pPr>
      <w:r>
        <w:rPr>
          <w:rFonts w:ascii="Times" w:hAnsi="Times" w:cs="Times"/>
          <w:sz w:val="21"/>
          <w:sz-cs w:val="21"/>
        </w:rPr>
        <w:t xml:space="preserve"/>
        <w:tab/>
        <w:t xml:space="preserve">•</w:t>
        <w:tab/>
        <w:t xml:space="preserve">Define the estate count at which a first support hire becomes operationally necessary. Set this number now, in writing, so it becomes a triggered decision rather than a reactive scramble.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CocoaOOXMLWriter/2575.7</generator>
</meta>
</file>