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F2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F2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Hazard Detection &amp; Early Warning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Alerts, warnings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Detection latency, false‑positive rate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Detect emerging risks early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Alarm fatigue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Sensors, reports, data streams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Risk Assessment &amp; Prioritisation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Risk scores, priority lists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Prioritisation accuracy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Rank risks by severity and likelihood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Resource misallocation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Hazard data, models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Crisis Coordination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Coordinated actions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Response time, coordination score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Coordinate multi‑actor response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Over‑centralisation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Alerts, resources, mandates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Continuity Planning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Continuity plans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Continuity coverage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Ensure operations survive disruptions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Over‑resilience cost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Dependencies, workflows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Escalation &amp; De‑escalation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Escalation events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Escalation correctness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Manage crisis intensity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Panic amplification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Thresholds, signals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Resource Mobilisation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Resource deployments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Deployment speed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Deploy resources efficiently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Resource depletion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Inventories, logistics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Post‑Incident Review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Lessons, recommendations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Lesson adoption rate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Learn from failures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Over‑correction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Logs, outcomes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Cross‑System Synchronisation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Synchronised actions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Sync accuracy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Align responses across systems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Cascading failures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Signals, dependencies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Hazard Detection &amp; Early Warning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Alerts, warnings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latency, false‑positive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Alarm fatigue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Assessment &amp; Prioritisation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Risk scores, priority lists</w:t>
            </w:r>
          </w:p>
        </w:tc>
        <w:tc>
          <w:tcPr>
            <w:tcW w:w="0" w:type="auto"/>
            <w:vAlign w:val="center"/>
            <w:hideMark/>
          </w:tcPr>
          <w:p>
            <w:r>
              <w:t>Prioritisation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misallocation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Crisis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Response time, 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Over‑centralisation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Continuity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plans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coverage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Over‑resilience cost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Escalation &amp; De‑escalation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</w:t>
            </w:r>
          </w:p>
        </w:tc>
        <w:tc>
          <w:tcPr>
            <w:tcW w:w="0" w:type="auto"/>
            <w:vAlign w:val="center"/>
            <w:hideMark/>
          </w:tcPr>
          <w:p>
            <w:r>
              <w:t>Panic amplification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Resource Mobilisation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deployments</w:t>
            </w:r>
          </w:p>
        </w:tc>
        <w:tc>
          <w:tcPr>
            <w:tcW w:w="0" w:type="auto"/>
            <w:vAlign w:val="center"/>
            <w:hideMark/>
          </w:tcPr>
          <w:p>
            <w:r>
              <w:t>Deployment speed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depletion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Post‑Incident Review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Lessons, recommendations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 adoption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Over‑correction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Synchronisation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Synchronised actions</w:t>
            </w:r>
          </w:p>
        </w:tc>
        <w:tc>
          <w:tcPr>
            <w:tcW w:w="0" w:type="auto"/>
            <w:vAlign w:val="center"/>
            <w:hideMark/>
          </w:tcPr>
          <w:p>
            <w:r>
              <w:t>Sync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Cascading failures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