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F7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F7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Climate Monitoring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Track climate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Sensors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Climate signals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Blind spots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F2 (risk)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Accuracy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Alarm fatigue</w:t>
      </w:r>
    </w:p>
    <w:p w14:paraId="17874F9A" w14:textId="3AF283C9" w:rsidR="002D08FD" w:rsidRDefault="002D08FD" w:rsidP="00631CE5">
      <w:pPr>
        <w:pStyle w:val="Heading2"/>
      </w:pPr>
      <w:r>
        <w:t>2.2 Biodiversity Health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Track ecosystems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Surveys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Biodiversity index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Miscounts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F7 (ecology)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Species index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Over‑intervention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Pollution Tracking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Track pollutants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Sensors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Pollution maps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Missed pollution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F6 (infra)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Pollution levels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Panic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Land &amp; Water Stewardship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Manage land/water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Maps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Stewardship plans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Mismanagement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F10 (standards)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Stewardship score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Displacement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Regeneration Systems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Restore ecosystems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Data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Regeneration plans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Failure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F5 (behaviour)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Regeneration rate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Over‑restoration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Ecological Risk Assessment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Assess ecological risks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Data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Risk reports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Mis‑ranking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F2 (risk)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Risk accuracy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Over‑caution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Planetary Boundary Compliance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Track boundary use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Indicators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Compliance reports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Boundary breach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F8 (integration)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Boundary index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Restrictive policies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Environmental Externality Mapping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Map externalities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Data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Externality maps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Blind spots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F3 (data)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Externality accuracy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Over‑correction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