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F6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F6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Energy Systems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Uptime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F2 (risk)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Outages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Outages (Derived from Risks + Purpose.)</w:t>
      </w:r>
    </w:p>
    <w:p w14:paraId="3DE0315F" w14:textId="77777777" w:rsidR="00092D8E" w:rsidRPr="00092D8E" w:rsidRDefault="00092D8E" w:rsidP="00092D8E">
      <w:r>
        <w:t>### 2.2 Water &amp; Waste Systems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Quality index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F7 (ecology)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Contamination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Contamination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Transport &amp; Logistics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Throughput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F8 (integration)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Congestion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Congestion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Digital Infrastructure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Latency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F9 (protocols)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Outages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Outages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Material Supply Chains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Supply stability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F2 (risk)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Shortages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Shortages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Facilities &amp; Asset Management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Maintenance score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F6 (infra)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Decay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Decay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Maintenance &amp; Lifecycle Planning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Failure rate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F2 (risk)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Failure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Failure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Infrastructure Resilience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Resilience index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F8 (integration)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Collapse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Collapse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Energy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Outages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Water &amp; Waste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Quality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Contamination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Transport &amp; Logistics</w:t>
            </w:r>
          </w:p>
        </w:tc>
        <w:tc>
          <w:tcPr>
            <w:tcW w:w="0" w:type="auto"/>
            <w:vAlign w:val="center"/>
            <w:hideMark/>
          </w:tcPr>
          <w:p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Congestion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Digital Infrastructure</w:t>
            </w:r>
          </w:p>
        </w:tc>
        <w:tc>
          <w:tcPr>
            <w:tcW w:w="0" w:type="auto"/>
            <w:vAlign w:val="center"/>
            <w:hideMark/>
          </w:tcPr>
          <w:p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  <w:tc>
          <w:tcPr>
            <w:tcW w:w="0" w:type="auto"/>
            <w:vAlign w:val="center"/>
            <w:hideMark/>
          </w:tcPr>
          <w:p>
            <w:r>
              <w:t>Outages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Material Supply Chains</w:t>
            </w:r>
          </w:p>
        </w:tc>
        <w:tc>
          <w:tcPr>
            <w:tcW w:w="0" w:type="auto"/>
            <w:vAlign w:val="center"/>
            <w:hideMark/>
          </w:tcPr>
          <w:p>
            <w:r>
              <w:t>Supply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Shortages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Facilities &amp; Asset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Maintenance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Decay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Maintenance &amp; Lifecycle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Failure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Failure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Infrastructure Resilience</w:t>
            </w:r>
          </w:p>
        </w:tc>
        <w:tc>
          <w:tcPr>
            <w:tcW w:w="0" w:type="auto"/>
            <w:vAlign w:val="center"/>
            <w:hideMark/>
          </w:tcPr>
          <w:p>
            <w:r>
              <w:t>Resilience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Collapse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