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F8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F8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Dependency Mapping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Dependency graphs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Graph completeness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Map dependencies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Over‑mapping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Workflows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Cross‑Family Workflow Integration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Integrated flows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Integration score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Integrate workflows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Over‑coupling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Processes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Externality Propagation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Propagation maps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Propagation accuracy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Track externalities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Panic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Signals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Systemic Health Monitoring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Health index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Health accuracy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Monitor system health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Over‑reaction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Metrics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Interoperability Management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Interop reports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Interop score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Ensure interoperability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Over‑standardisation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Standards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Integration Failure Detection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Alerts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Detection rate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Detect integration failures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False alarms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Logs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Cross‑System Coordination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Coordination events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Coordination score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Coordinate systems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Over‑coordination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Signals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System‑of‑Systems Governance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Governance signals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Governance clarity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Govern the whole system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Centralisation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All inputs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Dependency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Dependency graphs</w:t>
            </w:r>
          </w:p>
        </w:tc>
        <w:tc>
          <w:tcPr>
            <w:tcW w:w="0" w:type="auto"/>
            <w:vAlign w:val="center"/>
            <w:hideMark/>
          </w:tcPr>
          <w:p>
            <w:r>
              <w:t>Graph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Over‑mapping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Cross‑Family Workflow Integration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Integrated flows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Over‑coupling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Externality Propagation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maps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Panic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Systemic Health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index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Over‑reaction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Interoperability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Over‑standardisation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Integration Failure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alarms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events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Over‑coordination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System‑of‑Systems Governance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Centralisation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