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F9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F9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F9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Identity &amp; Authentication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Messaging Protocols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Core Records &amp; Registries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Authorisation &amp; Access Control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Foundational Data Schemas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Time &amp; Addressing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Core Interoperability Protocols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Foundational Compliance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Identity &amp; Authentication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Identify actors</w:t>
            </w:r>
          </w:p>
        </w:tc>
        <w:tc>
          <w:tcPr>
            <w:tcW w:w="0" w:type="auto"/>
            <w:vAlign w:val="center"/>
            <w:hideMark/>
          </w:tcPr>
          <w:p>
            <w:r>
              <w:t>Auth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Messaging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Enable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Delivered messages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Records &amp; 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Authorisation &amp; Access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Control access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F1 (roles)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Data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Define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&amp; Addressing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time/address</w:t>
            </w:r>
          </w:p>
        </w:tc>
        <w:tc>
          <w:tcPr>
            <w:tcW w:w="0" w:type="auto"/>
            <w:vAlign w:val="center"/>
            <w:hideMark/>
          </w:tcPr>
          <w:p>
            <w:r>
              <w:t>Timestamps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Interoperability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Enable interop</w:t>
            </w:r>
          </w:p>
        </w:tc>
        <w:tc>
          <w:tcPr>
            <w:tcW w:w="0" w:type="auto"/>
            <w:vAlign w:val="center"/>
            <w:hideMark/>
          </w:tcPr>
          <w:p>
            <w:r>
              <w:t>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safety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