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F2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Hazard Detection &amp; Early Warning</w:t>
        <w:br/>
        <w:t>Risk Assessment &amp; Prioritisation</w:t>
        <w:br/>
        <w:t>Crisis Coordination</w:t>
        <w:br/>
        <w:t>Continuity Planning</w:t>
        <w:br/>
        <w:t>Escalation &amp; De‑escalation</w:t>
        <w:br/>
        <w:t>Resource Mobilisation</w:t>
        <w:br/>
        <w:t>Post‑Incident Review</w:t>
        <w:br/>
        <w:t>Cross‑System Synchronisation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