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F2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F2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Hazard Detection &amp; Early Warning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Missed signals, false positives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Missed signals, false positives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Missed signals, false positives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Alarm fatigue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Risk Assessment &amp; Prioritisation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Mis‑prioritisation, bias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Mis‑prioritisation, bias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Mis‑prioritisation, bias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Resource misallocation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Crisis Coordination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Coordination failure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Coordination failure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Coordination failure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Over‑centralisation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Continuity Planning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Plan failure, outdated plans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Plan failure, outdated plans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Plan failure, outdated plans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Over‑resilience cost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Escalation &amp; De‑escalation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Late escalation, premature de‑escalation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Late escalation, premature de‑escalation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Late escalation, premature de‑escalation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Panic amplification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Resource Mobilisation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Shortages, misallocation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Shortages, misallocation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Shortages, misallocation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Resource depletion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Post‑Incident Review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Blame games, ignored lessons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Blame games, ignored lessons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Blame games, ignored lessons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Over‑correction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Cross‑System Synchronisation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Desynchronisation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Desynchronisation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Desynchronisation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Cascading failures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