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F4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F4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Sentiment &amp; Narrative Monitoring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Track public mood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Media, surveys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Sentiment signals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Misinterpretation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F5 (behaviour)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Sentiment accuracy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Manipulation</w:t>
      </w:r>
    </w:p>
    <w:p w14:paraId="17874F9A" w14:textId="3AF283C9" w:rsidR="002D08FD" w:rsidRDefault="002D08FD" w:rsidP="00631CE5">
      <w:pPr>
        <w:pStyle w:val="Heading2"/>
      </w:pPr>
      <w:r>
        <w:t>2.2 Public Feedback Channels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Capture public input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Forms, calls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Feedback data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Low participation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F1 (legitimacy)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Participation rate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Feedback overload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Cultural Signal Tracking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Track cultural shifts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Trends, events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Cultural indicators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Bias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F7 (ecology)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Cultural drift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Cultural homogenisation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Community Engagement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Maintain community ties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Meetings, outreach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Engagement reports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Tokenism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F4 (feedback)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Engagement depth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Over‑consultation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Complaint &amp; Redress Intake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Capture grievances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Complaints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Cases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Backlogs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F1 (redress)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Resolution time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Strategic complaints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Trust &amp; Legitimacy Monitoring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Track trust levels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Sentiment, behaviour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Trust reports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Misreading trust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F1 (legitimacy)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Trust index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Trust manipulation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Public Information &amp; Communication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Communicate clearly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Data, decisions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Public messages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Misinformation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F2 (risk)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Clarity score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Over‑communication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Cultural Impact Assessment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Assess cultural effects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Policies, actions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Impact reports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Blind spots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F5 (behaviour)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Impact accuracy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Cultural distortion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