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项目编号</w:t>
      </w:r>
      <w:r>
        <w:rPr>
          <w:rFonts w:eastAsia="方正黑体_GBK" w:cs="方正黑体_GBK" w:hint="eastAsia" w:ascii="方正黑体_GBK" w:hAnsi="方正黑体_GBK"/>
          <w:sz w:val="32"/>
          <w:szCs w:val="32"/>
        </w:rPr>
        <w:t>____________</w:t>
      </w:r>
    </w:p>
    <w:p>
      <w:pPr>
        <w:pStyle w:val="Normal"/>
        <w:rPr/>
      </w:pPr>
      <w:r>
        <w:fldChar w:fldCharType="begin"/>
      </w:r>
      <w:r>
        <w:rPr/>
        <w:instrText xml:space="preserve">ADDIN CNKISM.UserStyle</w:instrText>
      </w:r>
      <w:r>
        <w:rPr/>
      </w:r>
      <w:r>
        <w:rPr/>
        <w:fldChar w:fldCharType="separate"/>
      </w:r>
      <w:r>
        <w:rPr/>
      </w:r>
      <w:r>
        <w:rPr/>
      </w:r>
      <w:r>
        <w:rPr/>
        <w:fldChar w:fldCharType="end"/>
      </w:r>
      <w:r>
        <w:rPr>
          <w:rFonts w:hint="eastAsia"/>
        </w:rPr>
        <w:t xml:space="preserve">                                    </w:t>
      </w:r>
    </w:p>
    <w:p>
      <w:pPr>
        <w:pStyle w:val="Normal"/>
        <w:ind w:firstLineChars="200" w:left="0" w:right="0"/>
        <w:rPr>
          <w:rFonts w:hint="eastAsia"/>
          <w:b/>
          <w:sz w:val="18"/>
          <w:szCs w:val="44"/>
        </w:rPr>
      </w:pPr>
      <w:commentRangeStart w:id="0"/>
      <w:r>
        <w:rPr/>
        <w:drawing>
          <ns2:inline distT="0" distB="0" distL="0" distR="0">
            <ns2:extent cx="3166745" cy="629285"/>
            <ns2:effectExtent l="0" t="0" r="0" b="0"/>
            <ns2:docPr id="1" name="图片 1"/>
            <ns2:cNvGraphicFramePr>
              <ns3:graphicFrameLocks noChangeAspect="1"/>
            </ns2:cNvGraphicFramePr>
            <ns3:graphic>
              <ns3:graphicData uri="http://schemas.openxmlformats.org/drawingml/2006/picture">
                <ns4:pic>
                  <ns4:nvPicPr>
                    <ns4:cNvPr id="1" name="图片 1"/>
                    <ns4:cNvPicPr>
                      <ns3:picLocks noChangeAspect="1" noChangeArrowheads="1"/>
                    </ns4:cNvPicPr>
                  </ns4:nvPicPr>
                  <ns4:blipFill>
                    <ns3:blip ns5:embed="rId2"/>
                    <ns3:srcRect l="-29" t="-145" r="-29" b="-145"/>
                    <ns3:stretch>
                      <ns3:fillRect/>
                    </ns3:stretch>
                  </ns4:blipFill>
                  <ns4:spPr bwMode="auto">
                    <ns3:xfrm>
                      <ns3:off x="0" y="0"/>
                      <ns3:ext cx="3166745" cy="629285"/>
                    </ns3:xfrm>
                    <ns3:prstGeom prst="rect">
                      <ns3:avLst/>
                    </ns3:prstGeom>
                    <ns3:noFill/>
                  </ns4:spPr>
                </ns4:pic>
              </ns3:graphicData>
            </ns3:graphic>
          </ns2:inline>
        </w:drawing>
      </w:r>
    </w:p>
    <w:p>
      <w:pPr>
        <w:pStyle w:val="Normal"/>
        <w:snapToGrid w:val="false"/>
        <w:jc w:val="center"/>
        <w:rPr>
          <w:rFonts w:hint="eastAsia"/>
          <w:b/>
          <w:sz w:val="18"/>
          <w:szCs w:val="44"/>
        </w:rPr>
      </w:pPr>
      <w:r>
        <w:rPr>
          <w:rFonts w:hint="eastAsia"/>
          <w:b/>
          <w:sz w:val="18"/>
          <w:szCs w:val="44"/>
        </w:rPr>
      </w:r>
    </w:p>
    <w:p>
      <w:pPr>
        <w:pStyle w:val="Normal"/>
        <w:snapToGrid w:val="false"/>
        <w:jc w:val="center"/>
        <w:rPr>
          <w:rFonts w:ascii="方正小标宋简体" w:hAnsi="方正小标宋简体" w:eastAsia="方正小标宋简体" w:cs="方正小标宋简体" w:hint="eastAsia"/>
          <w:bCs/>
          <w:sz w:val="44"/>
          <w:szCs w:val="44"/>
        </w:rPr>
      </w:pPr>
      <w:r>
        <w:rPr>
          <w:rFonts w:ascii="方正小标宋简体" w:hAnsi="方正小标宋简体" w:cs="方正小标宋简体" w:hint="eastAsia" w:eastAsia="方正小标宋简体"/>
          <w:bCs/>
          <w:sz w:val="44"/>
          <w:szCs w:val="44"/>
        </w:rPr>
        <w:t>华南师范大学学生课外科研金种子重点课题</w:t>
      </w:r>
    </w:p>
    <w:p>
      <w:pPr>
        <w:pStyle w:val="Normal"/>
        <w:snapToGrid w:val="false"/>
        <w:jc w:val="center"/>
        <w:rPr>
          <w:b/>
          <w:sz w:val="72"/>
          <w:szCs w:val="72"/>
        </w:rPr>
      </w:pPr>
      <w:commentRangeStart w:id="1"/>
      <w:r>
        <w:rPr>
          <w:rFonts w:ascii="方正小标宋简体" w:hAnsi="方正小标宋简体" w:cs="方正小标宋简体" w:hint="eastAsia" w:eastAsia="方正小标宋简体"/>
          <w:bCs/>
          <w:sz w:val="44"/>
          <w:szCs w:val="44"/>
        </w:rPr>
        <w:t>立项</w:t>
      </w:r>
      <w:r>
        <w:rPr>
          <w:rFonts w:ascii="方正小标宋简体" w:hAnsi="方正小标宋简体" w:cs="方正小标宋简体" w:hint="eastAsia" w:eastAsia="方正小标宋简体"/>
          <w:bCs/>
          <w:sz w:val="44"/>
          <w:szCs w:val="44"/>
        </w:rPr>
      </w:r>
      <w:commentRangeEnd w:id="1"/>
      <w:r>
        <w:commentReference w:id="1"/>
      </w:r>
      <w:r>
        <w:rPr>
          <w:rFonts w:ascii="方正小标宋简体" w:hAnsi="方正小标宋简体" w:cs="方正小标宋简体" w:hint="eastAsia" w:eastAsia="方正小标宋简体"/>
          <w:bCs/>
          <w:sz w:val="44"/>
          <w:szCs w:val="44"/>
        </w:rPr>
        <w:t>申报书</w:t>
      </w:r>
      <w:commentRangeEnd w:id="0"/>
      <w:r>
        <w:commentReference w:id="0"/>
      </w:r>
      <w:r>
        <w:rPr>
          <w:rFonts w:ascii="方正小标宋简体" w:hAnsi="方正小标宋简体" w:cs="方正小标宋简体" w:hint="eastAsia" w:eastAsia="方正小标宋简体"/>
          <w:bCs/>
          <w:sz w:val="44"/>
          <w:szCs w:val="44"/>
        </w:rPr>
      </w:r>
    </w:p>
    <w:p>
      <w:pPr>
        <w:pStyle w:val="Normal"/>
        <w:snapToGrid w:val="false"/>
        <w:spacing w:lineRule="auto" w:line="360"/>
        <w:rPr>
          <w:rFonts w:ascii="楷体_GB2312;微软雅黑" w:hAnsi="楷体_GB2312;微软雅黑" w:eastAsia="楷体_GB2312;微软雅黑"/>
          <w:b/>
          <w:sz w:val="36"/>
          <w:szCs w:val="36"/>
        </w:rPr>
      </w:pPr>
      <w:r>
        <w:rPr>
          <w:rFonts w:eastAsia="楷体_GB2312;微软雅黑" w:ascii="楷体_GB2312;微软雅黑" w:hAnsi="楷体_GB2312;微软雅黑"/>
          <w:b/>
          <w:sz w:val="36"/>
          <w:szCs w:val="36"/>
        </w:rPr>
      </w:r>
    </w:p>
    <w:p>
      <w:pPr>
        <w:pStyle w:val="Normal"/>
        <w:spacing w:lineRule="exact" w:line="580"/>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项目名称：基于 </w:t>
      </w:r>
      <w:r>
        <w:rPr>
          <w:rFonts w:eastAsia="方正仿宋_GBK" w:cs="方正仿宋_GBK" w:hint="eastAsia" w:ascii="方正仿宋_GBK" w:hAnsi="方正仿宋_GBK"/>
          <w:sz w:val="32"/>
          <w:szCs w:val="32"/>
        </w:rPr>
        <w:t xml:space="preserve">eBPF </w:t>
      </w:r>
      <w:r>
        <w:rPr>
          <w:rFonts w:ascii="方正仿宋_GBK" w:hAnsi="方正仿宋_GBK" w:cs="方正仿宋_GBK" w:hint="eastAsia" w:eastAsia="方正仿宋_GBK"/>
          <w:sz w:val="32"/>
          <w:szCs w:val="32"/>
        </w:rPr>
        <w:t xml:space="preserve">的 </w:t>
      </w:r>
      <w:r>
        <w:rPr>
          <w:rFonts w:eastAsia="方正仿宋_GBK" w:cs="方正仿宋_GBK" w:hint="eastAsia" w:ascii="方正仿宋_GBK" w:hAnsi="方正仿宋_GBK"/>
          <w:sz w:val="32"/>
          <w:szCs w:val="32"/>
        </w:rPr>
        <w:t xml:space="preserve">AI Agent </w:t>
      </w:r>
      <w:r>
        <w:rPr>
          <w:rFonts w:ascii="方正仿宋_GBK" w:hAnsi="方正仿宋_GBK" w:cs="方正仿宋_GBK" w:hint="eastAsia" w:eastAsia="方正仿宋_GBK"/>
          <w:sz w:val="32"/>
          <w:szCs w:val="32"/>
        </w:rPr>
        <w:t>系统调用过滤与监控平台</w:t>
      </w:r>
    </w:p>
    <w:p>
      <w:pPr>
        <w:pStyle w:val="Normal"/>
        <w:spacing w:lineRule="exact" w:line="580"/>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负责人：【待填写】</w:t>
      </w:r>
    </w:p>
    <w:p>
      <w:pPr>
        <w:pStyle w:val="Normal"/>
        <w:spacing w:lineRule="exact" w:line="580"/>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所在学院、年级：</w:t>
      </w:r>
      <w:r>
        <w:rPr>
          <w:rFonts w:ascii="方正仿宋_GBK" w:hAnsi="方正仿宋_GBK" w:cs="方正仿宋_GBK" w:hint="eastAsia" w:eastAsia="方正仿宋_GBK"/>
          <w:sz w:val="32"/>
          <w:szCs w:val="32"/>
        </w:rPr>
        <w:t>计算机学院</w:t>
      </w:r>
      <w:r>
        <w:rPr>
          <w:rFonts w:ascii="方正仿宋_GBK" w:hAnsi="方正仿宋_GBK" w:cs="方正仿宋_GBK" w:hint="eastAsia" w:eastAsia="方正仿宋_GBK"/>
          <w:sz w:val="32"/>
          <w:szCs w:val="32"/>
        </w:rPr>
        <w:t>、</w:t>
      </w:r>
      <w:r>
        <w:rPr>
          <w:rFonts w:eastAsia="方正仿宋_GBK" w:cs="方正仿宋_GBK" w:hint="eastAsia" w:ascii="方正仿宋_GBK" w:hAnsi="方正仿宋_GBK"/>
          <w:sz w:val="32"/>
          <w:szCs w:val="32"/>
        </w:rPr>
        <w:t>2024</w:t>
      </w:r>
    </w:p>
    <w:p>
      <w:pPr>
        <w:pStyle w:val="Normal"/>
        <w:spacing w:lineRule="exact" w:line="580"/>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课题组成员：（</w:t>
      </w:r>
      <w:r>
        <w:rPr>
          <w:rFonts w:ascii="方正仿宋_GBK" w:hAnsi="方正仿宋_GBK" w:cs="方正仿宋_GBK" w:hint="eastAsia" w:eastAsia="方正仿宋_GBK"/>
          <w:i/>
          <w:iCs/>
          <w:sz w:val="32"/>
          <w:szCs w:val="32"/>
        </w:rPr>
        <w:t>除第一作者以外的其他作者）【待填写团队成员；建议不超过</w:t>
      </w:r>
      <w:r>
        <w:rPr>
          <w:rFonts w:eastAsia="方正仿宋_GBK" w:cs="方正仿宋_GBK" w:hint="eastAsia" w:ascii="方正仿宋_GBK" w:hAnsi="方正仿宋_GBK"/>
          <w:i/>
          <w:iCs/>
          <w:sz w:val="32"/>
          <w:szCs w:val="32"/>
        </w:rPr>
        <w:t>10</w:t>
      </w:r>
      <w:r>
        <w:rPr>
          <w:rFonts w:ascii="方正仿宋_GBK" w:hAnsi="方正仿宋_GBK" w:cs="方正仿宋_GBK" w:hint="eastAsia" w:eastAsia="方正仿宋_GBK"/>
          <w:i/>
          <w:iCs/>
          <w:sz w:val="32"/>
          <w:szCs w:val="32"/>
        </w:rPr>
        <w:t>人】</w:t>
      </w:r>
    </w:p>
    <w:p>
      <w:pPr>
        <w:pStyle w:val="Normal"/>
        <w:spacing w:lineRule="exact" w:line="580"/>
        <w:rPr>
          <w:rFonts w:hint="eastAsia"/>
        </w:rPr>
      </w:pPr>
      <w:r>
        <w:rPr>
          <w:rFonts w:ascii="方正仿宋_GBK" w:hAnsi="方正仿宋_GBK" w:cs="方正仿宋_GBK" w:hint="eastAsia" w:eastAsia="方正仿宋_GBK"/>
          <w:sz w:val="32"/>
          <w:szCs w:val="32"/>
        </w:rPr>
        <w:t>指导教师：【待填写指导教师姓名、职称】</w:t>
      </w:r>
    </w:p>
    <w:p>
      <w:pPr>
        <w:pStyle w:val="Normal"/>
        <w:spacing w:lineRule="exact" w:line="580"/>
        <w:rPr>
          <w:rFonts w:ascii="方正仿宋_GBK" w:hAnsi="方正仿宋_GBK" w:eastAsia="方正仿宋_GBK" w:cs="方正仿宋_GBK"/>
          <w:sz w:val="32"/>
          <w:szCs w:val="32"/>
        </w:rPr>
      </w:pPr>
      <w:r>
        <w:rPr>
          <w:rFonts w:ascii="方正仿宋_GBK" w:hAnsi="方正仿宋_GBK" w:cs="方正仿宋_GBK" w:hint="eastAsia" w:eastAsia="方正仿宋_GBK"/>
          <w:sz w:val="32"/>
          <w:szCs w:val="32"/>
        </w:rPr>
        <w:t>项目一级类别：</w:t>
      </w:r>
    </w:p>
    <w:p>
      <w:pPr>
        <w:pStyle w:val="Normal"/>
        <w:spacing w:lineRule="exact" w:line="580"/>
        <w:ind w:firstLineChars="500" w:left="0" w:right="0"/>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w:t>
      </w:r>
      <w:r>
        <w:rPr>
          <w:rFonts w:ascii="方正仿宋_GBK" w:hAnsi="方正仿宋_GBK" w:cs="方正仿宋_GBK" w:hint="eastAsia" w:eastAsia="方正仿宋_GBK"/>
          <w:sz w:val="32"/>
          <w:szCs w:val="32"/>
        </w:rPr>
        <w:t>哲学社会科学类调查报告</w:t>
      </w:r>
    </w:p>
    <w:p>
      <w:pPr>
        <w:pStyle w:val="Normal"/>
        <w:spacing w:lineRule="exact" w:line="580"/>
        <w:ind w:firstLineChars="500" w:left="0" w:right="0"/>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w:t>
      </w:r>
      <w:r>
        <w:rPr>
          <w:rFonts w:ascii="方正仿宋_GBK" w:hAnsi="方正仿宋_GBK" w:cs="方正仿宋_GBK" w:hint="eastAsia" w:eastAsia="方正仿宋_GBK"/>
          <w:sz w:val="32"/>
          <w:szCs w:val="32"/>
        </w:rPr>
        <w:t>自然科学类学术论文</w:t>
      </w:r>
    </w:p>
    <w:p>
      <w:pPr>
        <w:pStyle w:val="Normal"/>
        <w:spacing w:lineRule="exact" w:line="580"/>
        <w:ind w:firstLineChars="500" w:left="0" w:right="0"/>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w:t>
      </w:r>
      <w:r>
        <w:rPr>
          <w:rFonts w:ascii="方正仿宋_GBK" w:hAnsi="方正仿宋_GBK" w:cs="方正仿宋_GBK" w:hint="eastAsia" w:eastAsia="方正仿宋_GBK"/>
          <w:sz w:val="32"/>
          <w:szCs w:val="32"/>
        </w:rPr>
        <w:t>科技发明制作类作品</w:t>
      </w:r>
    </w:p>
    <w:p>
      <w:pPr>
        <w:pStyle w:val="Normal"/>
        <w:spacing w:lineRule="exact" w:line="580"/>
        <w:ind w:firstLineChars="500" w:left="0" w:right="0"/>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w:t>
      </w:r>
      <w:r>
        <w:rPr>
          <w:rFonts w:ascii="方正仿宋_GBK" w:hAnsi="方正仿宋_GBK" w:cs="方正仿宋_GBK" w:hint="eastAsia" w:eastAsia="方正仿宋_GBK"/>
          <w:sz w:val="32"/>
          <w:szCs w:val="32"/>
        </w:rPr>
        <w:t>志愿服务与创业实践项目</w:t>
      </w:r>
    </w:p>
    <w:p>
      <w:pPr>
        <w:pStyle w:val="Normal"/>
        <w:spacing w:lineRule="auto" w:line="480"/>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spacing w:lineRule="auto" w:line="480"/>
        <w:rPr/>
      </w:pPr>
      <w:r>
        <w:rPr/>
      </w:r>
    </w:p>
    <w:p>
      <w:pPr>
        <w:pStyle w:val="Normal"/>
        <w:spacing w:lineRule="auto" w:line="480"/>
        <w:rPr/>
      </w:pPr>
      <w:r>
        <w:rPr/>
      </w:r>
    </w:p>
    <w:p>
      <w:pPr>
        <w:pStyle w:val="Normal"/>
        <w:snapToGrid w:val="false"/>
        <w:jc w:val="center"/>
        <w:rPr>
          <w:rFonts w:hint="eastAsia"/>
          <w:b/>
          <w:spacing w:val="24"/>
          <w:sz w:val="24"/>
        </w:rPr>
      </w:pPr>
      <w:commentRangeStart w:id="2"/>
      <w:r>
        <w:rPr>
          <w:rFonts w:ascii="方正仿宋_GBK" w:hAnsi="方正仿宋_GBK" w:cs="方正仿宋_GBK" w:hint="eastAsia" w:eastAsia="方正仿宋_GBK"/>
          <w:sz w:val="32"/>
          <w:szCs w:val="20"/>
        </w:rPr>
        <w:t>共青团华南师范大学委员会制</w:t>
      </w:r>
    </w:p>
    <w:p>
      <w:pPr>
        <w:pStyle w:val="Normal"/>
        <w:spacing w:lineRule="auto" w:line="360"/>
        <w:ind w:hangingChars="400" w:leftChars="0" w:left="0" w:right="0"/>
        <w:jc w:val="center"/>
        <w:rPr>
          <w:rFonts w:hint="eastAsia"/>
          <w:b/>
          <w:spacing w:val="24"/>
          <w:sz w:val="30"/>
          <w:szCs w:val="28"/>
        </w:rPr>
      </w:pPr>
      <w:r>
        <w:rPr>
          <w:rFonts w:eastAsia="方正仿宋_GBK" w:cs="方正仿宋_GBK" w:hint="eastAsia" w:ascii="方正仿宋_GBK" w:hAnsi="方正仿宋_GBK"/>
          <w:sz w:val="32"/>
          <w:szCs w:val="20"/>
        </w:rPr>
        <w:t>2026</w:t>
      </w:r>
      <w:r>
        <w:rPr>
          <w:rFonts w:ascii="方正仿宋_GBK" w:hAnsi="方正仿宋_GBK" w:cs="方正仿宋_GBK" w:hint="eastAsia" w:eastAsia="方正仿宋_GBK"/>
          <w:sz w:val="32"/>
          <w:szCs w:val="20"/>
        </w:rPr>
        <w:t>年度</w:t>
      </w:r>
      <w:commentRangeEnd w:id="2"/>
      <w:r>
        <w:commentReference w:id="2"/>
      </w:r>
      <w:r>
        <w:rPr>
          <w:rFonts w:ascii="方正仿宋_GBK" w:hAnsi="方正仿宋_GBK" w:cs="方正仿宋_GBK" w:hint="eastAsia" w:eastAsia="方正仿宋_GBK"/>
          <w:sz w:val="32"/>
          <w:szCs w:val="20"/>
        </w:rPr>
      </w:r>
      <w:r>
        <w:br w:type="page"/>
      </w:r>
    </w:p>
    <w:p>
      <w:pPr>
        <w:pStyle w:val="Normal"/>
        <w:spacing w:lineRule="auto" w:line="360" w:before="0" w:after="0"/>
        <w:jc w:val="center"/>
        <w:rPr>
          <w:rFonts w:hint="eastAsia"/>
          <w:b/>
          <w:sz w:val="36"/>
          <w:szCs w:val="36"/>
        </w:rPr>
      </w:pPr>
      <w:r>
        <w:rPr>
          <w:rFonts w:ascii="方正小标宋简体" w:hAnsi="方正小标宋简体" w:cs="方正小标宋简体" w:hint="eastAsia" w:eastAsia="方正小标宋简体"/>
          <w:b/>
          <w:sz w:val="44"/>
          <w:szCs w:val="44"/>
        </w:rPr>
        <w:t>填 写 说 明</w:t>
      </w:r>
    </w:p>
    <w:p>
      <w:pPr>
        <w:pStyle w:val="Normal"/>
        <w:spacing w:lineRule="auto" w:line="360" w:before="156" w:after="156"/>
        <w:rPr/>
      </w:pPr>
      <w:r>
        <w:rPr>
          <w:rFonts w:ascii="方正仿宋_GBK" w:hAnsi="方正仿宋_GBK" w:cs="方正仿宋_GBK" w:hint="eastAsia" w:eastAsia="方正仿宋_GBK"/>
          <w:b/>
          <w:sz w:val="28"/>
          <w:szCs w:val="28"/>
        </w:rPr>
        <w:t>填写前请先认真阅读《华南师范大学学生课外科研金种子课题管理办法》的有关规定，并按下列要求认真如实填写，不要漏填、错填。由于填写不当所引起的不利于申请人的后果，责任自负。</w:t>
      </w:r>
    </w:p>
    <w:p>
      <w:pPr>
        <w:pStyle w:val="Normal"/>
        <w:spacing w:lineRule="auto" w:line="360"/>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t>1</w:t>
      </w:r>
      <w:r>
        <w:rPr>
          <w:rFonts w:ascii="方正仿宋_GBK" w:hAnsi="方正仿宋_GBK" w:cs="方正仿宋_GBK" w:hint="eastAsia" w:eastAsia="方正仿宋_GBK"/>
          <w:sz w:val="28"/>
          <w:szCs w:val="28"/>
        </w:rPr>
        <w:t>、由校团委统一制定编号原则，各学院按《华南师范大学学生课外科研项目编号原则》（附件</w:t>
      </w:r>
      <w:r>
        <w:rPr>
          <w:rFonts w:eastAsia="方正仿宋_GBK" w:cs="方正仿宋_GBK" w:hint="eastAsia" w:ascii="方正仿宋_GBK" w:hAnsi="方正仿宋_GBK"/>
          <w:sz w:val="28"/>
          <w:szCs w:val="28"/>
        </w:rPr>
        <w:t>2</w:t>
      </w:r>
      <w:r>
        <w:rPr>
          <w:rFonts w:ascii="方正仿宋_GBK" w:hAnsi="方正仿宋_GBK" w:cs="方正仿宋_GBK" w:hint="eastAsia" w:eastAsia="方正仿宋_GBK"/>
          <w:sz w:val="28"/>
          <w:szCs w:val="28"/>
        </w:rPr>
        <w:t>）对项目进行统一编号，填写至项目立项申报书封面左上角；</w:t>
      </w:r>
    </w:p>
    <w:p>
      <w:pPr>
        <w:pStyle w:val="Normal"/>
        <w:spacing w:lineRule="auto" w:line="360"/>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t>2</w:t>
      </w:r>
      <w:r>
        <w:rPr>
          <w:rFonts w:ascii="方正仿宋_GBK" w:hAnsi="方正仿宋_GBK" w:cs="方正仿宋_GBK" w:hint="eastAsia" w:eastAsia="方正仿宋_GBK"/>
          <w:sz w:val="28"/>
          <w:szCs w:val="28"/>
        </w:rPr>
        <w:t>、“学校学生课外科技创新工作领导小组意见”由校团委填写；</w:t>
      </w:r>
    </w:p>
    <w:p>
      <w:pPr>
        <w:pStyle w:val="Normal"/>
        <w:spacing w:lineRule="auto" w:line="360"/>
        <w:rPr>
          <w:rFonts w:ascii="方正仿宋_GBK" w:hAnsi="方正仿宋_GBK" w:eastAsia="方正仿宋_GBK" w:cs="方正仿宋_GBK"/>
          <w:sz w:val="28"/>
          <w:szCs w:val="28"/>
        </w:rPr>
      </w:pPr>
      <w:r>
        <w:rPr>
          <w:rFonts w:eastAsia="方正仿宋_GBK" w:cs="方正仿宋_GBK" w:hint="eastAsia" w:ascii="方正仿宋_GBK" w:hAnsi="方正仿宋_GBK"/>
          <w:sz w:val="28"/>
          <w:szCs w:val="28"/>
        </w:rPr>
        <w:t>3</w:t>
      </w:r>
      <w:r>
        <w:rPr>
          <w:rFonts w:ascii="方正仿宋_GBK" w:hAnsi="方正仿宋_GBK" w:cs="方正仿宋_GBK" w:hint="eastAsia" w:eastAsia="方正仿宋_GBK"/>
          <w:sz w:val="28"/>
          <w:szCs w:val="28"/>
        </w:rPr>
        <w:t>、“学院学生课外科技创新工作领导小组意见”由学院课外科技创新领导小组组长填写项目立项意见并签名，盖章为学院团委公章；</w:t>
      </w:r>
    </w:p>
    <w:p>
      <w:pPr>
        <w:pStyle w:val="Normal"/>
        <w:spacing w:lineRule="auto" w:line="360"/>
        <w:rPr>
          <w:rFonts w:ascii="方正仿宋_GBK" w:hAnsi="方正仿宋_GBK" w:eastAsia="方正仿宋_GBK" w:cs="方正仿宋_GBK"/>
          <w:sz w:val="28"/>
          <w:szCs w:val="28"/>
        </w:rPr>
      </w:pPr>
      <w:r>
        <w:rPr>
          <w:rFonts w:eastAsia="方正仿宋_GBK" w:cs="方正仿宋_GBK" w:hint="eastAsia" w:ascii="方正仿宋_GBK" w:hAnsi="方正仿宋_GBK"/>
          <w:sz w:val="28"/>
          <w:szCs w:val="28"/>
        </w:rPr>
        <w:t>4</w:t>
      </w:r>
      <w:r>
        <w:rPr>
          <w:rFonts w:ascii="方正仿宋_GBK" w:hAnsi="方正仿宋_GBK" w:cs="方正仿宋_GBK" w:hint="eastAsia" w:eastAsia="方正仿宋_GBK"/>
          <w:sz w:val="28"/>
          <w:szCs w:val="28"/>
        </w:rPr>
        <w:t>、请根据实际情况，适当调整格式，以保持申报书的整洁美观。</w:t>
      </w:r>
      <w:r>
        <w:br w:type="page"/>
      </w:r>
    </w:p>
    <w:p>
      <w:pPr>
        <w:pStyle w:val="Normal"/>
        <w:snapToGrid w:val="false"/>
        <w:spacing w:lineRule="auto" w:line="360" w:before="0" w:after="0"/>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b/>
          <w:sz w:val="44"/>
          <w:szCs w:val="44"/>
        </w:rPr>
        <w:t>华南师范大学学生课外科研金种子重点课题立项申请表</w:t>
      </w:r>
    </w:p>
    <w:tbl>
      <w:tblPr>
        <w:tblpPr w:vertAnchor="text" w:horzAnchor="page" w:leftFromText="180" w:rightFromText="180" w:tblpX="1329" w:tblpY="548"/>
        <w:tblOverlap w:val="never"/>
        <w:tblW w:w="8996" w:type="dxa"/>
        <w:jc w:val="left"/>
        <w:tblInd w:w="2" w:type="dxa"/>
        <w:tblLayout w:type="fixed"/>
        <w:tblCellMar>
          <w:top w:w="0" w:type="dxa"/>
          <w:left w:w="2" w:type="dxa"/>
          <w:bottom w:w="0" w:type="dxa"/>
          <w:right w:w="2" w:type="dxa"/>
        </w:tblCellMar>
      </w:tblPr>
      <w:tblGrid>
        <w:gridCol w:w="628"/>
        <w:gridCol w:w="867"/>
        <w:gridCol w:w="599"/>
        <w:gridCol w:w="2297"/>
        <w:gridCol w:w="1798"/>
        <w:gridCol w:w="2807"/>
      </w:tblGrid>
      <w:tr>
        <w:trPr>
          <w:trHeight w:val="978" w:hRule="atLeast"/>
          <w:cantSplit/>
        </w:trPr>
        <w:tc>
          <w:tcPr>
            <w:tcW w:w="628" w:type="dxa"/>
            <w:vMerge w:val="restart"/>
            <w:tcBorders>
              <w:top w:val="single" w:sz="2" w:space="0" w:color="000000"/>
              <w:left w:val="single" w:sz="2"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申</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报</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者</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情</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况</w:t>
            </w:r>
          </w:p>
        </w:tc>
        <w:tc>
          <w:tcPr>
            <w:tcW w:w="1466" w:type="dxa"/>
            <w:gridSpan w:val="2"/>
            <w:tcBorders>
              <w:top w:val="single" w:sz="2" w:space="0" w:color="000000"/>
              <w:left w:val="single" w:sz="4" w:space="0" w:color="000000"/>
              <w:bottom w:val="single" w:sz="2"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 xml:space="preserve">项目名称基于 </w:t>
            </w:r>
            <w:r>
              <w:rPr>
                <w:rFonts w:eastAsia="方正黑体_GBK" w:cs="方正黑体_GBK" w:hint="eastAsia" w:ascii="方正黑体_GBK" w:hAnsi="方正黑体_GBK"/>
                <w:sz w:val="28"/>
                <w:szCs w:val="28"/>
              </w:rPr>
              <w:t xml:space="preserve">eBPF </w:t>
            </w:r>
            <w:r>
              <w:rPr>
                <w:rFonts w:ascii="方正黑体_GBK" w:hAnsi="方正黑体_GBK" w:cs="方正黑体_GBK" w:hint="eastAsia" w:eastAsia="方正黑体_GBK"/>
                <w:sz w:val="28"/>
                <w:szCs w:val="28"/>
              </w:rPr>
              <w:t xml:space="preserve">的 </w:t>
            </w:r>
            <w:r>
              <w:rPr>
                <w:rFonts w:eastAsia="方正黑体_GBK" w:cs="方正黑体_GBK" w:hint="eastAsia" w:ascii="方正黑体_GBK" w:hAnsi="方正黑体_GBK"/>
                <w:sz w:val="28"/>
                <w:szCs w:val="28"/>
              </w:rPr>
              <w:t xml:space="preserve">AI Agent </w:t>
            </w:r>
            <w:r>
              <w:rPr>
                <w:rFonts w:ascii="方正黑体_GBK" w:hAnsi="方正黑体_GBK" w:cs="方正黑体_GBK" w:hint="eastAsia" w:eastAsia="方正黑体_GBK"/>
                <w:sz w:val="28"/>
                <w:szCs w:val="28"/>
              </w:rPr>
              <w:t>系统调用过滤与监控平台</w:t>
            </w:r>
          </w:p>
        </w:tc>
        <w:tc>
          <w:tcPr>
            <w:tcW w:w="6902" w:type="dxa"/>
            <w:gridSpan w:val="3"/>
            <w:tcBorders>
              <w:top w:val="single" w:sz="2" w:space="0" w:color="000000"/>
              <w:left w:val="single" w:sz="4" w:space="0" w:color="000000"/>
              <w:bottom w:val="single" w:sz="2" w:space="0" w:color="000000"/>
              <w:right w:val="single" w:sz="2" w:space="0" w:color="000000"/>
            </w:tcBorders>
            <w:vAlign w:val="center"/>
          </w:tcPr>
          <w:p>
            <w:pPr>
              <w:pStyle w:val="Normal"/>
              <w:spacing w:lineRule="auto" w:line="360"/>
              <w:rPr/>
            </w:pPr>
            <w:r>
              <w:rPr>
                <w:rFonts w:ascii="Times New Roman" w:hAnsi="Times New Roman" w:eastAsia="宋体"/>
                <w:sz w:val="21"/>
                <w:szCs w:val="21"/>
              </w:rPr>
              <w:t xml:space="preserve">基于 </w:t>
            </w:r>
            <w:r>
              <w:rPr>
                <w:rFonts w:eastAsia="宋体"/>
                <w:sz w:val="21"/>
                <w:szCs w:val="21"/>
              </w:rPr>
              <w:t xml:space="preserve">eBPF </w:t>
            </w:r>
            <w:r>
              <w:rPr>
                <w:rFonts w:ascii="Times New Roman" w:hAnsi="Times New Roman" w:eastAsia="宋体"/>
                <w:sz w:val="21"/>
                <w:szCs w:val="21"/>
              </w:rPr>
              <w:t xml:space="preserve">的 </w:t>
            </w:r>
            <w:r>
              <w:rPr>
                <w:rFonts w:eastAsia="宋体"/>
                <w:sz w:val="21"/>
                <w:szCs w:val="21"/>
              </w:rPr>
              <w:t xml:space="preserve">AI Agent </w:t>
            </w:r>
            <w:r>
              <w:rPr>
                <w:rFonts w:ascii="Times New Roman" w:hAnsi="Times New Roman" w:eastAsia="宋体"/>
                <w:sz w:val="21"/>
                <w:szCs w:val="21"/>
              </w:rPr>
              <w:t>系统调用过滤与监控平台</w:t>
            </w:r>
          </w:p>
        </w:tc>
      </w:tr>
      <w:tr>
        <w:trPr>
          <w:trHeight w:val="794" w:hRule="exact"/>
          <w:cantSplit/>
        </w:trPr>
        <w:tc>
          <w:tcPr>
            <w:tcW w:w="628" w:type="dxa"/>
            <w:vMerge w:val="continue"/>
            <w:tcBorders>
              <w:top w:val="single" w:sz="2"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2" w:space="0" w:color="000000"/>
              <w:left w:val="single" w:sz="4" w:space="0" w:color="000000"/>
              <w:bottom w:val="single" w:sz="2" w:space="0" w:color="000000"/>
              <w:right w:val="single" w:sz="2" w:space="0" w:color="000000"/>
            </w:tcBorders>
            <w:vAlign w:val="center"/>
          </w:tcPr>
          <w:p>
            <w:pPr>
              <w:pStyle w:val="Normal"/>
              <w:spacing w:lineRule="atLeast" w:line="0"/>
              <w:jc w:val="center"/>
              <w:rPr>
                <w:rFonts w:ascii="方正仿宋_GBK" w:hAnsi="方正仿宋_GBK" w:eastAsia="方正仿宋_GBK" w:cs="方正仿宋_GBK" w:hint="eastAsia"/>
                <w:sz w:val="28"/>
                <w:szCs w:val="28"/>
              </w:rPr>
            </w:pPr>
            <w:r>
              <w:rPr>
                <w:rFonts w:ascii="方正黑体_GBK" w:hAnsi="方正黑体_GBK" w:cs="方正黑体_GBK" w:hint="eastAsia" w:eastAsia="方正黑体_GBK"/>
                <w:sz w:val="28"/>
                <w:szCs w:val="28"/>
              </w:rPr>
              <w:t>姓名</w:t>
            </w:r>
          </w:p>
        </w:tc>
        <w:tc>
          <w:tcPr>
            <w:tcW w:w="2297" w:type="dxa"/>
            <w:tcBorders>
              <w:top w:val="single" w:sz="2" w:space="0" w:color="000000"/>
              <w:left w:val="single" w:sz="4" w:space="0" w:color="000000"/>
              <w:bottom w:val="single" w:sz="2"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w:t>
            </w:r>
          </w:p>
        </w:tc>
        <w:tc>
          <w:tcPr>
            <w:tcW w:w="1798" w:type="dxa"/>
            <w:tcBorders>
              <w:top w:val="single" w:sz="2" w:space="0" w:color="000000"/>
              <w:left w:val="single" w:sz="4" w:space="0" w:color="000000"/>
              <w:bottom w:val="single" w:sz="2"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学院</w:t>
            </w:r>
          </w:p>
        </w:tc>
        <w:tc>
          <w:tcPr>
            <w:tcW w:w="2807" w:type="dxa"/>
            <w:tcBorders>
              <w:top w:val="single" w:sz="2" w:space="0" w:color="000000"/>
              <w:left w:val="single" w:sz="4" w:space="0" w:color="000000"/>
              <w:bottom w:val="single" w:sz="2"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计算机学院</w:t>
            </w:r>
          </w:p>
        </w:tc>
      </w:tr>
      <w:tr>
        <w:trPr>
          <w:trHeight w:val="794" w:hRule="atLeast"/>
          <w:cantSplit/>
        </w:trPr>
        <w:tc>
          <w:tcPr>
            <w:tcW w:w="628" w:type="dxa"/>
            <w:vMerge w:val="continue"/>
            <w:tcBorders>
              <w:top w:val="single" w:sz="2"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2" w:space="0" w:color="000000"/>
              <w:right w:val="single" w:sz="2" w:space="0" w:color="000000"/>
            </w:tcBorders>
            <w:vAlign w:val="center"/>
          </w:tcPr>
          <w:p>
            <w:pPr>
              <w:pStyle w:val="Normal"/>
              <w:spacing w:lineRule="atLeast" w:line="0"/>
              <w:jc w:val="center"/>
              <w:rPr>
                <w:rFonts w:ascii="方正仿宋_GBK" w:hAnsi="方正仿宋_GBK" w:eastAsia="方正仿宋_GBK" w:cs="方正仿宋_GBK" w:hint="eastAsia"/>
                <w:sz w:val="28"/>
                <w:szCs w:val="28"/>
              </w:rPr>
            </w:pPr>
            <w:r>
              <w:rPr>
                <w:rFonts w:ascii="方正黑体_GBK" w:hAnsi="方正黑体_GBK" w:cs="方正黑体_GBK" w:hint="eastAsia" w:eastAsia="方正黑体_GBK"/>
                <w:sz w:val="28"/>
                <w:szCs w:val="28"/>
              </w:rPr>
              <w:t>学历</w:t>
            </w:r>
          </w:p>
        </w:tc>
        <w:tc>
          <w:tcPr>
            <w:tcW w:w="2297" w:type="dxa"/>
            <w:tcBorders>
              <w:top w:val="single" w:sz="4" w:space="0" w:color="000000"/>
              <w:left w:val="single" w:sz="4" w:space="0" w:color="000000"/>
              <w:bottom w:val="single" w:sz="2"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本科</w:t>
            </w:r>
          </w:p>
        </w:tc>
        <w:tc>
          <w:tcPr>
            <w:tcW w:w="1798" w:type="dxa"/>
            <w:tcBorders>
              <w:top w:val="single" w:sz="4" w:space="0" w:color="000000"/>
              <w:left w:val="single" w:sz="4" w:space="0" w:color="000000"/>
              <w:bottom w:val="single" w:sz="2"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专业年级</w:t>
            </w:r>
          </w:p>
        </w:tc>
        <w:tc>
          <w:tcPr>
            <w:tcW w:w="2807" w:type="dxa"/>
            <w:tcBorders>
              <w:top w:val="single" w:sz="4" w:space="0" w:color="000000"/>
              <w:left w:val="single" w:sz="4" w:space="0" w:color="000000"/>
              <w:bottom w:val="single" w:sz="2"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计算机科学与技术</w:t>
            </w:r>
          </w:p>
        </w:tc>
      </w:tr>
      <w:tr>
        <w:trPr>
          <w:trHeight w:val="794" w:hRule="atLeast"/>
          <w:cantSplit/>
        </w:trPr>
        <w:tc>
          <w:tcPr>
            <w:tcW w:w="628" w:type="dxa"/>
            <w:vMerge w:val="continue"/>
            <w:tcBorders>
              <w:top w:val="single" w:sz="2"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2" w:space="0" w:color="000000"/>
              <w:right w:val="single" w:sz="2" w:space="0" w:color="000000"/>
            </w:tcBorders>
            <w:vAlign w:val="center"/>
          </w:tcPr>
          <w:p>
            <w:pPr>
              <w:pStyle w:val="Normal"/>
              <w:spacing w:lineRule="atLeast" w:line="0"/>
              <w:jc w:val="center"/>
              <w:rPr>
                <w:rFonts w:ascii="方正仿宋_GBK" w:hAnsi="方正仿宋_GBK" w:eastAsia="方正仿宋_GBK" w:cs="方正仿宋_GBK" w:hint="eastAsia"/>
                <w:sz w:val="28"/>
                <w:szCs w:val="28"/>
              </w:rPr>
            </w:pPr>
            <w:r>
              <w:rPr>
                <w:rFonts w:ascii="方正黑体_GBK" w:hAnsi="方正黑体_GBK" w:cs="方正黑体_GBK" w:hint="eastAsia" w:eastAsia="方正黑体_GBK"/>
                <w:sz w:val="28"/>
                <w:szCs w:val="28"/>
              </w:rPr>
              <w:t>联系电话</w:t>
            </w:r>
          </w:p>
        </w:tc>
        <w:tc>
          <w:tcPr>
            <w:tcW w:w="2297" w:type="dxa"/>
            <w:tcBorders>
              <w:top w:val="single" w:sz="4" w:space="0" w:color="000000"/>
              <w:left w:val="single" w:sz="4" w:space="0" w:color="000000"/>
              <w:bottom w:val="single" w:sz="2"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【待填写联系电话】</w:t>
            </w:r>
          </w:p>
        </w:tc>
        <w:tc>
          <w:tcPr>
            <w:tcW w:w="1798" w:type="dxa"/>
            <w:tcBorders>
              <w:top w:val="single" w:sz="4" w:space="0" w:color="000000"/>
              <w:left w:val="single" w:sz="4" w:space="0" w:color="000000"/>
              <w:bottom w:val="single" w:sz="2"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电子邮箱</w:t>
            </w:r>
          </w:p>
        </w:tc>
        <w:tc>
          <w:tcPr>
            <w:tcW w:w="2807" w:type="dxa"/>
            <w:tcBorders>
              <w:top w:val="single" w:sz="4" w:space="0" w:color="000000"/>
              <w:left w:val="single" w:sz="4" w:space="0" w:color="000000"/>
              <w:bottom w:val="single" w:sz="2" w:space="0" w:color="000000"/>
              <w:right w:val="single" w:sz="2" w:space="0" w:color="000000"/>
            </w:tcBorders>
            <w:vAlign w:val="center"/>
          </w:tcPr>
          <w:p>
            <w:pPr>
              <w:pStyle w:val="Normal"/>
              <w:spacing w:lineRule="auto" w:line="360"/>
              <w:jc w:val="center"/>
              <w:rPr/>
            </w:pPr>
            <w:r>
              <w:rPr>
                <w:rFonts w:eastAsia="宋体"/>
                <w:sz w:val="21"/>
                <w:szCs w:val="21"/>
              </w:rPr>
              <w:t>steve-ssr@outlook.com</w:t>
            </w:r>
          </w:p>
        </w:tc>
      </w:tr>
      <w:tr>
        <w:trPr>
          <w:trHeight w:val="680" w:hRule="atLeast"/>
          <w:cantSplit/>
        </w:trPr>
        <w:tc>
          <w:tcPr>
            <w:tcW w:w="628" w:type="dxa"/>
            <w:vMerge w:val="restart"/>
            <w:tcBorders>
              <w:top w:val="single" w:sz="4" w:space="0" w:color="000000"/>
              <w:left w:val="single" w:sz="2"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其</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他</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作</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者</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情</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况</w:t>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姓名</w:t>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学院</w:t>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sz w:val="28"/>
                <w:szCs w:val="28"/>
              </w:rPr>
            </w:pPr>
            <w:r>
              <w:rPr>
                <w:rFonts w:ascii="方正黑体_GBK" w:hAnsi="方正黑体_GBK" w:cs="方正黑体_GBK" w:hint="eastAsia" w:eastAsia="方正黑体_GBK"/>
                <w:sz w:val="28"/>
                <w:szCs w:val="28"/>
              </w:rPr>
              <w:t>专业年级</w:t>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学历</w:t>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项目负责人</w:t>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bookmarkStart w:id="0" w:name="__DdeLink__676_4180008785"/>
            <w:r>
              <w:rPr>
                <w:rFonts w:ascii="Times New Roman" w:hAnsi="Times New Roman" w:eastAsia="宋体"/>
                <w:sz w:val="21"/>
                <w:szCs w:val="21"/>
              </w:rPr>
              <w:t>计算机科学与技术</w:t>
            </w:r>
            <w:bookmarkEnd w:id="0"/>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eastAsia="宋体"/>
                <w:sz w:val="21"/>
                <w:szCs w:val="21"/>
              </w:rPr>
              <w:t>2024</w:t>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本科</w:t>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 xml:space="preserve">系统架构与 </w:t>
            </w:r>
            <w:r>
              <w:rPr>
                <w:rFonts w:eastAsia="宋体"/>
                <w:sz w:val="21"/>
                <w:szCs w:val="21"/>
              </w:rPr>
              <w:t xml:space="preserve">eBPF </w:t>
            </w:r>
            <w:r>
              <w:rPr>
                <w:rFonts w:ascii="Times New Roman" w:hAnsi="Times New Roman" w:eastAsia="宋体"/>
                <w:sz w:val="21"/>
                <w:szCs w:val="21"/>
              </w:rPr>
              <w:t>内核开发成员</w:t>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【待填写学院】</w:t>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【待填写专业年级】</w:t>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本科</w:t>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eastAsia="宋体"/>
                <w:sz w:val="21"/>
                <w:szCs w:val="21"/>
              </w:rPr>
              <w:t xml:space="preserve">Go </w:t>
            </w:r>
            <w:r>
              <w:rPr>
                <w:rFonts w:ascii="Times New Roman" w:hAnsi="Times New Roman" w:eastAsia="宋体"/>
                <w:sz w:val="21"/>
                <w:szCs w:val="21"/>
              </w:rPr>
              <w:t>后端与策略引擎开发成员</w:t>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【待填写学院】</w:t>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【待填写专业年级】</w:t>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本科</w:t>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eastAsia="宋体"/>
                <w:sz w:val="21"/>
                <w:szCs w:val="21"/>
              </w:rPr>
              <w:t xml:space="preserve">Vue </w:t>
            </w:r>
            <w:r>
              <w:rPr>
                <w:rFonts w:ascii="Times New Roman" w:hAnsi="Times New Roman" w:eastAsia="宋体"/>
                <w:sz w:val="21"/>
                <w:szCs w:val="21"/>
              </w:rPr>
              <w:t>前端与可视化开发成员</w:t>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【待填写学院】</w:t>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【待填写专业年级】</w:t>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本科</w:t>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机器学习与安全策略研究成员</w:t>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【待填写学院】</w:t>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【待填写专业年级】</w:t>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本科</w:t>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测试评估与文档推广成员</w:t>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【待填写学院】</w:t>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【待填写专业年级】</w:t>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本科</w:t>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黑体_GBK" w:hAnsi="方正黑体_GBK" w:eastAsia="方正黑体_GBK" w:cs="方正黑体_GBK" w:hint="eastAsia"/>
                <w:sz w:val="28"/>
                <w:szCs w:val="28"/>
              </w:rPr>
            </w:pPr>
            <w:r>
              <w:rPr>
                <w:rFonts w:eastAsia="方正黑体_GBK" w:cs="方正黑体_GBK" w:hint="eastAsia" w:ascii="方正黑体_GBK" w:hAnsi="方正黑体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r>
      <w:tr>
        <w:trPr>
          <w:trHeight w:val="680" w:hRule="atLeast"/>
          <w:cantSplit/>
        </w:trPr>
        <w:tc>
          <w:tcPr>
            <w:tcW w:w="628" w:type="dxa"/>
            <w:vMerge w:val="restart"/>
            <w:tcBorders>
              <w:top w:val="single" w:sz="4" w:space="0" w:color="000000"/>
              <w:left w:val="single" w:sz="2"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指</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导</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教</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师</w:t>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【待填写指导教师</w:t>
            </w:r>
            <w:r>
              <w:rPr>
                <w:rFonts w:eastAsia="宋体"/>
                <w:sz w:val="21"/>
                <w:szCs w:val="21"/>
              </w:rPr>
              <w:t>1</w:t>
            </w:r>
            <w:r>
              <w:rPr>
                <w:rFonts w:ascii="Times New Roman" w:hAnsi="Times New Roman" w:eastAsia="宋体"/>
                <w:sz w:val="21"/>
                <w:szCs w:val="21"/>
              </w:rPr>
              <w:t>】</w:t>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【待填写职称】</w:t>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计算机科学与技术</w:t>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【待填写联系方式】</w:t>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【待填写指导教师</w:t>
            </w:r>
            <w:r>
              <w:rPr>
                <w:rFonts w:eastAsia="宋体"/>
                <w:sz w:val="21"/>
                <w:szCs w:val="21"/>
              </w:rPr>
              <w:t>2</w:t>
            </w:r>
            <w:r>
              <w:rPr>
                <w:rFonts w:ascii="Times New Roman" w:hAnsi="Times New Roman" w:eastAsia="宋体"/>
                <w:sz w:val="21"/>
                <w:szCs w:val="21"/>
              </w:rPr>
              <w:t>（如有）】</w:t>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【待填写职称】</w:t>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【待填写学院】</w:t>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pPr>
            <w:r>
              <w:rPr>
                <w:rFonts w:ascii="Times New Roman" w:hAnsi="Times New Roman" w:eastAsia="宋体"/>
                <w:sz w:val="21"/>
                <w:szCs w:val="21"/>
              </w:rPr>
              <w:t>【待填写联系方式】</w:t>
            </w:r>
          </w:p>
        </w:tc>
      </w:tr>
      <w:tr>
        <w:trPr>
          <w:trHeight w:val="567" w:hRule="atLeast"/>
          <w:cantSplit/>
        </w:trPr>
        <w:tc>
          <w:tcPr>
            <w:tcW w:w="628" w:type="dxa"/>
            <w:vMerge w:val="continue"/>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1466" w:type="dxa"/>
            <w:gridSpan w:val="2"/>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2297" w:type="dxa"/>
            <w:tcBorders>
              <w:top w:val="single" w:sz="4" w:space="0" w:color="000000"/>
              <w:left w:val="single" w:sz="2"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1798" w:type="dxa"/>
            <w:tcBorders>
              <w:top w:val="single" w:sz="4" w:space="0" w:color="000000"/>
              <w:left w:val="single" w:sz="4"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c>
          <w:tcPr>
            <w:tcW w:w="2807" w:type="dxa"/>
            <w:tcBorders>
              <w:top w:val="single" w:sz="4" w:space="0" w:color="000000"/>
              <w:left w:val="single" w:sz="4" w:space="0" w:color="000000"/>
              <w:bottom w:val="single" w:sz="4" w:space="0" w:color="000000"/>
              <w:right w:val="single" w:sz="2" w:space="0" w:color="000000"/>
            </w:tcBorders>
            <w:vAlign w:val="center"/>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tc>
      </w:tr>
      <w:tr>
        <w:trPr>
          <w:trHeight w:val="2865"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sz w:val="28"/>
                <w:szCs w:val="28"/>
              </w:rPr>
            </w:pPr>
            <w:r>
              <w:rPr>
                <w:rFonts w:ascii="方正黑体_GBK" w:hAnsi="方正黑体_GBK" w:cs="方正黑体_GBK" w:hint="eastAsia" w:eastAsia="方正黑体_GBK"/>
                <w:sz w:val="28"/>
                <w:szCs w:val="28"/>
              </w:rPr>
              <w:t>项目</w:t>
            </w:r>
          </w:p>
          <w:p>
            <w:pPr>
              <w:pStyle w:val="Normal"/>
              <w:spacing w:lineRule="atLeast" w:line="0"/>
              <w:jc w:val="center"/>
              <w:rPr>
                <w:rFonts w:ascii="方正仿宋_GBK" w:hAnsi="方正仿宋_GBK" w:eastAsia="方正仿宋_GBK" w:cs="方正仿宋_GBK" w:hint="eastAsia"/>
                <w:sz w:val="28"/>
                <w:szCs w:val="28"/>
              </w:rPr>
            </w:pPr>
            <w:r>
              <w:rPr>
                <w:rFonts w:ascii="方正黑体_GBK" w:hAnsi="方正黑体_GBK" w:cs="方正黑体_GBK" w:hint="eastAsia" w:eastAsia="方正黑体_GBK"/>
                <w:sz w:val="28"/>
                <w:szCs w:val="28"/>
              </w:rPr>
              <w:t>二级类别</w:t>
            </w:r>
          </w:p>
        </w:tc>
        <w:tc>
          <w:tcPr>
            <w:tcW w:w="7501" w:type="dxa"/>
            <w:gridSpan w:val="4"/>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rPr/>
            </w:pPr>
            <w:r>
              <w:rPr>
                <w:rFonts w:ascii="Times New Roman" w:hAnsi="Times New Roman" w:eastAsia="宋体"/>
                <w:sz w:val="21"/>
                <w:szCs w:val="21"/>
              </w:rPr>
              <w:t>□</w:t>
            </w:r>
            <w:r>
              <w:rPr>
                <w:rFonts w:ascii="Times New Roman" w:hAnsi="Times New Roman" w:eastAsia="宋体"/>
                <w:sz w:val="21"/>
                <w:szCs w:val="21"/>
              </w:rPr>
              <w:t>经济建设  □政治建设  □文化建设  □社会建设  □生态文明建设  □数理  ☑信息技术    □能源化工    □生命科学  □机械与控制</w:t>
            </w:r>
          </w:p>
        </w:tc>
      </w:tr>
      <w:tr>
        <w:trPr>
          <w:trHeight w:val="5169"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color w:val="000000"/>
                <w:sz w:val="28"/>
                <w:szCs w:val="28"/>
              </w:rPr>
            </w:pPr>
            <w:r>
              <w:rPr>
                <w:rFonts w:ascii="方正黑体_GBK" w:hAnsi="方正黑体_GBK" w:cs="方正黑体_GBK" w:eastAsia="方正黑体_GBK"/>
                <w:color w:val="000000"/>
                <w:sz w:val="28"/>
                <w:szCs w:val="28"/>
              </w:rPr>
              <w:t>主要研究</w:t>
            </w:r>
          </w:p>
          <w:p>
            <w:pPr>
              <w:pStyle w:val="Normal"/>
              <w:spacing w:lineRule="atLeast" w:line="0"/>
              <w:jc w:val="center"/>
              <w:rPr>
                <w:rFonts w:ascii="方正黑体_GBK" w:hAnsi="方正黑体_GBK" w:eastAsia="方正黑体_GBK" w:cs="方正黑体_GBK" w:hint="eastAsia"/>
                <w:color w:val="000000"/>
                <w:sz w:val="28"/>
                <w:szCs w:val="28"/>
              </w:rPr>
            </w:pPr>
            <w:r>
              <w:rPr>
                <w:rFonts w:ascii="方正黑体_GBK" w:hAnsi="方正黑体_GBK" w:cs="方正黑体_GBK" w:eastAsia="方正黑体_GBK"/>
                <w:color w:val="000000"/>
                <w:sz w:val="28"/>
                <w:szCs w:val="28"/>
              </w:rPr>
              <w:t>内容</w:t>
            </w:r>
          </w:p>
        </w:tc>
        <w:tc>
          <w:tcPr>
            <w:tcW w:w="7501" w:type="dxa"/>
            <w:gridSpan w:val="4"/>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rPr/>
            </w:pPr>
            <w:r>
              <w:rPr>
                <w:rFonts w:ascii="Times New Roman" w:hAnsi="Times New Roman" w:eastAsia="宋体"/>
                <w:sz w:val="21"/>
                <w:szCs w:val="21"/>
              </w:rPr>
              <w:t>本项目面向生成式人工智能 Agent 在本地开发环境、实验室服务器和教学机房中自动执行命令、读写文件、派生子进程所带来的运行时安全风险，拟研发一套以 BPF LSM 策略执行、内核态路径匹配和进程树追踪为核心的 AI Agent 系统调用过滤与监控平台。平台不只停留在事件展示，而是把安全判断前移到内核执行路径：通过 eBPF tracepoint/LSM hook 捕获 execve、openat/openat2、connect、mkdirat、unlinkat、ioctl、bind、sendto、recvfrom 等关键行为，在 Go 后端维护策略、身份和审计链路，在前端提供必要的配置与教学展示。</w:t>
            </w:r>
          </w:p>
          <w:p>
            <w:pPr>
              <w:pStyle w:val="Normal"/>
              <w:spacing w:lineRule="auto" w:line="360"/>
              <w:rPr/>
            </w:pPr>
            <w:r>
              <w:rPr/>
            </w:r>
          </w:p>
          <w:p>
            <w:pPr>
              <w:pStyle w:val="Normal"/>
              <w:spacing w:lineRule="auto" w:line="360"/>
              <w:rPr/>
            </w:pPr>
            <w:r>
              <w:rPr>
                <w:rFonts w:ascii="Times New Roman" w:hAnsi="Times New Roman" w:eastAsia="宋体"/>
                <w:sz w:val="21"/>
                <w:szCs w:val="21"/>
              </w:rPr>
              <w:t>主要研究内容包括：</w:t>
            </w:r>
          </w:p>
          <w:p>
            <w:pPr>
              <w:pStyle w:val="Normal"/>
              <w:spacing w:lineRule="auto" w:line="360"/>
              <w:rPr/>
            </w:pPr>
            <w:r>
              <w:rPr>
                <w:rFonts w:eastAsia="宋体"/>
                <w:sz w:val="21"/>
                <w:szCs w:val="21"/>
              </w:rPr>
              <w:t>1. BPF LSM 策略执行：围绕 file_open、inode_permission、bprm_check_security、socket_connect 等 LSM 挂载点设计策略执行链，将 ALLOW、BLOCK、ALERT、REWRITE/降级处理等决策与系统调用上下文关联，研究在内核态完成快速拒绝、在用户态完成复杂裁决的协同机制。</w:t>
            </w:r>
          </w:p>
          <w:p>
            <w:pPr>
              <w:pStyle w:val="Normal"/>
              <w:spacing w:lineRule="auto" w:line="360"/>
              <w:rPr/>
            </w:pPr>
            <w:r>
              <w:rPr>
                <w:rFonts w:eastAsia="宋体"/>
                <w:sz w:val="21"/>
                <w:szCs w:val="21"/>
              </w:rPr>
              <w:t>2. 内核态路径匹配：针对 AI Agent 访问项目源码、密钥、数据集和系统目录的风险，研究 dentry/mount 路径解析、BPF map 编码、固定长度路径精确匹配、目录前缀匹配和路径标签缓存机制，减少每次文件访问回退到用户态判断的开销。</w:t>
            </w:r>
          </w:p>
          <w:p>
            <w:pPr>
              <w:pStyle w:val="Normal"/>
              <w:spacing w:lineRule="auto" w:line="360"/>
              <w:rPr/>
            </w:pPr>
            <w:r>
              <w:rPr>
                <w:rFonts w:eastAsia="宋体"/>
                <w:sz w:val="21"/>
                <w:szCs w:val="21"/>
              </w:rPr>
              <w:t>3. 进程树追踪：以注册的 Agent 主进程为根，跟踪 fork、clone、exec 形成的父子链路，维护 task lineage 与会话上下文，使策略能继承到 shell、包管理器、编译器、脚本解释器等子进程，避免只监控顶层 PID 造成绕过。</w:t>
            </w:r>
          </w:p>
          <w:p>
            <w:pPr>
              <w:pStyle w:val="Normal"/>
              <w:spacing w:lineRule="auto" w:line="360"/>
              <w:rPr/>
            </w:pPr>
            <w:r>
              <w:rPr>
                <w:rFonts w:eastAsia="宋体"/>
                <w:sz w:val="21"/>
                <w:szCs w:val="21"/>
              </w:rPr>
              <w:t>4. 策略控制与审计闭环：在 wrapper、AI CLI hook 和 eBPF 事件之间建立统一事件模型，记录策略命中、阻断原因、路径标签、进程树节点和工具调用标识，支持复现实验和安全审计。</w:t>
            </w:r>
          </w:p>
          <w:p>
            <w:pPr>
              <w:pStyle w:val="Normal"/>
              <w:spacing w:lineRule="auto" w:line="360"/>
              <w:rPr/>
            </w:pPr>
            <w:r>
              <w:rPr>
                <w:rFonts w:eastAsia="宋体"/>
                <w:sz w:val="21"/>
                <w:szCs w:val="21"/>
              </w:rPr>
              <w:t>5. 配套可视化与教学转化：在完成上述内核态安全能力后，利用仪表盘、执行图和实验文档展示策略执行过程，服务课程实践、竞赛路演和成果推广。</w:t>
            </w:r>
          </w:p>
        </w:tc>
      </w:tr>
      <w:tr>
        <w:trPr>
          <w:trHeight w:val="5169"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项目研究</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的目的和</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基本思路</w:t>
            </w:r>
          </w:p>
        </w:tc>
        <w:tc>
          <w:tcPr>
            <w:tcW w:w="7501" w:type="dxa"/>
            <w:gridSpan w:val="4"/>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rPr/>
            </w:pPr>
            <w:r>
              <w:rPr>
                <w:rFonts w:ascii="Times New Roman" w:hAnsi="Times New Roman" w:eastAsia="宋体"/>
                <w:sz w:val="21"/>
                <w:szCs w:val="21"/>
              </w:rPr>
              <w:t>本项目的目的，是在 AI Agent 快速进入科研、开发和教学场景的背景下，验证一条“内核态可执行策略 + 进程谱系追踪 + 路径级访问控制”的本地安全技术路线。现有 AI 编程助手和自动化代理能够调用 shell、安装依赖、读取工程文件和访问网络，但其实际行为往往由多级子进程完成，单纯依赖应用层日志或前端展示难以阻止越权文件访问、危险命令执行和异常网络外联。</w:t>
            </w:r>
          </w:p>
          <w:p>
            <w:pPr>
              <w:pStyle w:val="Normal"/>
              <w:spacing w:lineRule="auto" w:line="360"/>
              <w:rPr/>
            </w:pPr>
            <w:r>
              <w:rPr/>
            </w:r>
          </w:p>
          <w:p>
            <w:pPr>
              <w:pStyle w:val="Normal"/>
              <w:spacing w:lineRule="auto" w:line="360"/>
              <w:rPr/>
            </w:pPr>
            <w:r>
              <w:rPr>
                <w:rFonts w:ascii="Times New Roman" w:hAnsi="Times New Roman" w:eastAsia="宋体"/>
                <w:sz w:val="21"/>
                <w:szCs w:val="21"/>
              </w:rPr>
              <w:t>基本思路为：</w:t>
            </w:r>
          </w:p>
          <w:p>
            <w:pPr>
              <w:pStyle w:val="Normal"/>
              <w:spacing w:lineRule="auto" w:line="360"/>
              <w:rPr/>
            </w:pPr>
            <w:r>
              <w:rPr>
                <w:rFonts w:eastAsia="宋体"/>
                <w:sz w:val="21"/>
                <w:szCs w:val="21"/>
              </w:rPr>
              <w:t>1. 以 BPF LSM 作为关键执行点，在文件打开、权限检查、程序装载和网络连接等路径上完成可验证、低开销的策略判断。</w:t>
            </w:r>
          </w:p>
          <w:p>
            <w:pPr>
              <w:pStyle w:val="Normal"/>
              <w:spacing w:lineRule="auto" w:line="360"/>
              <w:rPr/>
            </w:pPr>
            <w:r>
              <w:rPr>
                <w:rFonts w:eastAsia="宋体"/>
                <w:sz w:val="21"/>
                <w:szCs w:val="21"/>
              </w:rPr>
              <w:t>2. 以内核态路径匹配作为核心能力，设计路径规范化、前缀/精确匹配、标签缓存和 map 热更新机制，使敏感目录保护能够在高频文件访问场景下稳定运行。</w:t>
            </w:r>
          </w:p>
          <w:p>
            <w:pPr>
              <w:pStyle w:val="Normal"/>
              <w:spacing w:lineRule="auto" w:line="360"/>
              <w:rPr/>
            </w:pPr>
            <w:r>
              <w:rPr>
                <w:rFonts w:eastAsia="宋体"/>
                <w:sz w:val="21"/>
                <w:szCs w:val="21"/>
              </w:rPr>
              <w:t>3. 以进程树追踪作为归因基础，将 Agent 根进程、shell、脚本解释器、编译器、包管理器和工具进程串联为可继承的安全上下文。</w:t>
            </w:r>
          </w:p>
          <w:p>
            <w:pPr>
              <w:pStyle w:val="Normal"/>
              <w:spacing w:lineRule="auto" w:line="360"/>
              <w:rPr/>
            </w:pPr>
            <w:r>
              <w:rPr>
                <w:rFonts w:eastAsia="宋体"/>
                <w:sz w:val="21"/>
                <w:szCs w:val="21"/>
              </w:rPr>
              <w:t>4. 以后端策略引擎和 wrapper/hook 作为补充，对复杂规则、提示链路、工具调用意图和人工确认流程进行协同处理。</w:t>
            </w:r>
          </w:p>
          <w:p>
            <w:pPr>
              <w:pStyle w:val="Normal"/>
              <w:spacing w:lineRule="auto" w:line="360"/>
              <w:rPr/>
            </w:pPr>
            <w:r>
              <w:rPr>
                <w:rFonts w:eastAsia="宋体"/>
                <w:sz w:val="21"/>
                <w:szCs w:val="21"/>
              </w:rPr>
              <w:t>5. 以可视化界面、实验教程和文档作为配套成果，展示内核策略命中、路径访问链路和进程树传播过程，支撑教学与成果转化。</w:t>
            </w:r>
          </w:p>
        </w:tc>
      </w:tr>
      <w:tr>
        <w:trPr>
          <w:trHeight w:val="4453"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项目研究</w:t>
            </w:r>
          </w:p>
          <w:p>
            <w:pPr>
              <w:pStyle w:val="Normal"/>
              <w:spacing w:lineRule="atLeast" w:line="0"/>
              <w:jc w:val="center"/>
              <w:rPr>
                <w:rFonts w:ascii="方正黑体_GBK" w:hAnsi="方正黑体_GBK" w:eastAsia="方正黑体_GBK" w:cs="方正黑体_GBK" w:hint="eastAsia"/>
                <w:color w:val="9933FF"/>
                <w:sz w:val="28"/>
                <w:szCs w:val="28"/>
              </w:rPr>
            </w:pPr>
            <w:r>
              <w:rPr>
                <w:rFonts w:ascii="方正黑体_GBK" w:hAnsi="方正黑体_GBK" w:cs="方正黑体_GBK" w:hint="eastAsia" w:eastAsia="方正黑体_GBK"/>
                <w:sz w:val="28"/>
                <w:szCs w:val="28"/>
              </w:rPr>
              <w:t>的实际应用价值和现实指导意义</w:t>
            </w:r>
          </w:p>
        </w:tc>
        <w:tc>
          <w:tcPr>
            <w:tcW w:w="7501" w:type="dxa"/>
            <w:gridSpan w:val="4"/>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rPr/>
            </w:pPr>
            <w:r>
              <w:rPr>
                <w:rFonts w:ascii="Times New Roman" w:hAnsi="Times New Roman" w:eastAsia="宋体"/>
                <w:sz w:val="21"/>
                <w:szCs w:val="21"/>
              </w:rPr>
              <w:t>本项目具有较强的实际应用价值和现实指导意义。</w:t>
            </w:r>
          </w:p>
          <w:p>
            <w:pPr>
              <w:pStyle w:val="Normal"/>
              <w:spacing w:lineRule="auto" w:line="360"/>
              <w:rPr/>
            </w:pPr>
            <w:r>
              <w:rPr/>
            </w:r>
          </w:p>
          <w:p>
            <w:pPr>
              <w:pStyle w:val="Normal"/>
              <w:spacing w:lineRule="auto" w:line="360"/>
              <w:rPr/>
            </w:pPr>
            <w:r>
              <w:rPr>
                <w:rFonts w:ascii="Times New Roman" w:hAnsi="Times New Roman" w:eastAsia="宋体"/>
                <w:sz w:val="21"/>
                <w:szCs w:val="21"/>
              </w:rPr>
              <w:t>第一，服务校园 AI 安全治理。平台能够在内核执行路径上识别并拦截 Agent 及其子进程对敏感源码、密钥、实验数据和系统目录的访问，形成比事后日志更及时的安全控制能力。</w:t>
            </w:r>
          </w:p>
          <w:p>
            <w:pPr>
              <w:pStyle w:val="Normal"/>
              <w:spacing w:lineRule="auto" w:line="360"/>
              <w:rPr/>
            </w:pPr>
            <w:r>
              <w:rPr/>
            </w:r>
          </w:p>
          <w:p>
            <w:pPr>
              <w:pStyle w:val="Normal"/>
              <w:spacing w:lineRule="auto" w:line="360"/>
              <w:rPr/>
            </w:pPr>
            <w:r>
              <w:rPr>
                <w:rFonts w:ascii="Times New Roman" w:hAnsi="Times New Roman" w:eastAsia="宋体"/>
                <w:sz w:val="21"/>
                <w:szCs w:val="21"/>
              </w:rPr>
              <w:t>第二，形成可研究的系统安全原型。BPF LSM hook、路径解析与匹配、BPF map 热更新、ring buffer 审计、进程树 lineage 等模块覆盖了操作系统内核、运行时安全和云原生观测的核心问题，适合沉淀论文、软著或专利。</w:t>
            </w:r>
          </w:p>
          <w:p>
            <w:pPr>
              <w:pStyle w:val="Normal"/>
              <w:spacing w:lineRule="auto" w:line="360"/>
              <w:rPr/>
            </w:pPr>
            <w:r>
              <w:rPr/>
            </w:r>
          </w:p>
          <w:p>
            <w:pPr>
              <w:pStyle w:val="Normal"/>
              <w:spacing w:lineRule="auto" w:line="360"/>
              <w:rPr/>
            </w:pPr>
            <w:r>
              <w:rPr>
                <w:rFonts w:ascii="Times New Roman" w:hAnsi="Times New Roman" w:eastAsia="宋体"/>
                <w:sz w:val="21"/>
                <w:szCs w:val="21"/>
              </w:rPr>
              <w:t>第三，服务 AI Agent 运行时防护实践。项目能够回答“哪个 Agent 的哪条任务链触发了哪条策略”这一关键问题，为高校实验室、本地研发环境和教学机房提供可落地的 Agent 安全沙箱思路。</w:t>
            </w:r>
          </w:p>
          <w:p>
            <w:pPr>
              <w:pStyle w:val="Normal"/>
              <w:spacing w:lineRule="auto" w:line="360"/>
              <w:rPr/>
            </w:pPr>
            <w:r>
              <w:rPr/>
            </w:r>
          </w:p>
          <w:p>
            <w:pPr>
              <w:pStyle w:val="Normal"/>
              <w:spacing w:lineRule="auto" w:line="360"/>
              <w:rPr/>
            </w:pPr>
            <w:r>
              <w:rPr>
                <w:rFonts w:ascii="Times New Roman" w:hAnsi="Times New Roman" w:eastAsia="宋体"/>
                <w:sz w:val="21"/>
                <w:szCs w:val="21"/>
              </w:rPr>
              <w:t>第四，配套服务教学与竞赛转化。前端执行图、仪表盘和实验指导书主要用于解释 BPF LSM 决策、路径策略命中和进程树传播过程，帮助学生把抽象内核机制转化为可观察案例。</w:t>
            </w:r>
          </w:p>
        </w:tc>
      </w:tr>
      <w:tr>
        <w:trPr>
          <w:trHeight w:val="3302"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当前国内外同类课题</w:t>
            </w:r>
          </w:p>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研究情况</w:t>
            </w:r>
          </w:p>
        </w:tc>
        <w:tc>
          <w:tcPr>
            <w:tcW w:w="7501" w:type="dxa"/>
            <w:gridSpan w:val="4"/>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rPr/>
            </w:pPr>
            <w:r>
              <w:rPr>
                <w:rFonts w:ascii="Times New Roman" w:hAnsi="Times New Roman" w:eastAsia="宋体"/>
                <w:sz w:val="21"/>
                <w:szCs w:val="21"/>
              </w:rPr>
              <w:t>国内外关于 eBPF、BPF LSM 和运行时安全的研究与实践发展迅速。Cilium、Falco、Tetragon 等项目证明了 eBPF 在低开销观测、进程/文件/网络事件关联和云原生安全中的工程价值；Linux BPF LSM 则进一步提供了在内核安全决策点执行策略的能力，使 eBPF 从“看见行为”走向“约束行为”。另一方面，生成式 AI Agent 正在从对话辅助走向可执行任务代理，其风险常通过子进程、脚本解释器、包管理器和临时文件访问链路体现。</w:t>
            </w:r>
          </w:p>
          <w:p>
            <w:pPr>
              <w:pStyle w:val="Normal"/>
              <w:spacing w:lineRule="auto" w:line="360"/>
              <w:rPr/>
            </w:pPr>
            <w:r>
              <w:rPr/>
            </w:r>
          </w:p>
          <w:p>
            <w:pPr>
              <w:pStyle w:val="Normal"/>
              <w:spacing w:lineRule="auto" w:line="360"/>
              <w:rPr/>
            </w:pPr>
            <w:r>
              <w:rPr>
                <w:rFonts w:ascii="Times New Roman" w:hAnsi="Times New Roman" w:eastAsia="宋体"/>
                <w:sz w:val="21"/>
                <w:szCs w:val="21"/>
              </w:rPr>
              <w:t>当前同类研究主要集中在三类方向：一是传统主机入侵检测和 EDR，强调通用进程、文件、网络事件，但对 Agent 根进程到子进程的任务链归因不足；二是云原生 eBPF 安全产品，偏重容器和生产集群，策略模型较重，在高校本地开发环境部署门槛较高；三是 AI 安全与提示注入研究，更多关注模型输入输出，对系统调用层面的强制访问控制和路径策略执行关注不足。</w:t>
            </w:r>
          </w:p>
          <w:p>
            <w:pPr>
              <w:pStyle w:val="Normal"/>
              <w:spacing w:lineRule="auto" w:line="360"/>
              <w:rPr/>
            </w:pPr>
            <w:r>
              <w:rPr/>
            </w:r>
          </w:p>
          <w:p>
            <w:pPr>
              <w:pStyle w:val="Normal"/>
              <w:spacing w:lineRule="auto" w:line="360"/>
              <w:rPr/>
            </w:pPr>
            <w:r>
              <w:rPr>
                <w:rFonts w:ascii="Times New Roman" w:hAnsi="Times New Roman" w:eastAsia="宋体"/>
                <w:sz w:val="21"/>
                <w:szCs w:val="21"/>
              </w:rPr>
              <w:t>本课题的差异在于：不把可视化作为核心创新，而是以 BPF LSM 策略执行、内核态路径匹配和进程树追踪为三条主线，构建面向 AI Agent 的本地运行时安全原型；可视化、实验教程和竞赛展示作为配套工作，用于解释和验证底层安全机制。</w:t>
            </w:r>
          </w:p>
        </w:tc>
      </w:tr>
      <w:tr>
        <w:trPr>
          <w:trHeight w:val="3302"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项目研究的未来工作安排（</w:t>
            </w:r>
            <w:r>
              <w:rPr>
                <w:rFonts w:ascii="方正黑体_GBK" w:hAnsi="方正黑体_GBK" w:cs="方正黑体_GBK" w:eastAsia="方正黑体_GBK"/>
                <w:color w:val="000000"/>
                <w:sz w:val="28"/>
                <w:szCs w:val="28"/>
              </w:rPr>
              <w:t>技术方案</w:t>
            </w:r>
            <w:r>
              <w:rPr>
                <w:rFonts w:ascii="方正黑体_GBK" w:hAnsi="方正黑体_GBK" w:cs="方正黑体_GBK" w:eastAsia="方正黑体_GBK"/>
                <w:sz w:val="28"/>
                <w:szCs w:val="28"/>
              </w:rPr>
              <w:t>、</w:t>
            </w:r>
            <w:r>
              <w:rPr>
                <w:rFonts w:ascii="方正黑体_GBK" w:hAnsi="方正黑体_GBK" w:cs="方正黑体_GBK" w:hint="eastAsia" w:eastAsia="方正黑体_GBK"/>
                <w:sz w:val="28"/>
                <w:szCs w:val="28"/>
              </w:rPr>
              <w:t>进度安排</w:t>
            </w:r>
            <w:r>
              <w:rPr>
                <w:rFonts w:ascii="方正黑体_GBK" w:hAnsi="方正黑体_GBK" w:cs="方正黑体_GBK" w:eastAsia="方正黑体_GBK"/>
                <w:sz w:val="28"/>
                <w:szCs w:val="28"/>
              </w:rPr>
              <w:t>）</w:t>
            </w:r>
          </w:p>
        </w:tc>
        <w:tc>
          <w:tcPr>
            <w:tcW w:w="7501" w:type="dxa"/>
            <w:gridSpan w:val="4"/>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rPr/>
            </w:pPr>
            <w:r>
              <w:rPr>
                <w:rFonts w:ascii="Times New Roman" w:hAnsi="Times New Roman" w:eastAsia="宋体"/>
                <w:sz w:val="21"/>
                <w:szCs w:val="21"/>
              </w:rPr>
              <w:t>一、技术方案</w:t>
            </w:r>
          </w:p>
          <w:p>
            <w:pPr>
              <w:pStyle w:val="Normal"/>
              <w:spacing w:lineRule="auto" w:line="360"/>
              <w:rPr/>
            </w:pPr>
            <w:r>
              <w:rPr>
                <w:rFonts w:eastAsia="宋体"/>
                <w:sz w:val="21"/>
                <w:szCs w:val="21"/>
              </w:rPr>
              <w:t>1. 平台基础建设：梳理 agent-eBPF-filter 现有架构，完成 Go 后端、eBPF/LSM 程序、Vue 3 前端、protobuf、wrapper 和适配器的开发环境搭建；明确 tracepoint 观测与 BPF LSM 执行的边界。</w:t>
            </w:r>
          </w:p>
          <w:p>
            <w:pPr>
              <w:pStyle w:val="Normal"/>
              <w:spacing w:lineRule="auto" w:line="360"/>
              <w:rPr/>
            </w:pPr>
            <w:r>
              <w:rPr>
                <w:rFonts w:eastAsia="宋体"/>
                <w:sz w:val="21"/>
                <w:szCs w:val="21"/>
              </w:rPr>
              <w:t>2. BPF LSM 策略执行：分析并实现 file_open、inode_permission、bprm_check_security、socket_connect 等挂载点的策略链路，设计内核快速判定、用户态复杂判定、审计事件回传和失败降级机制。</w:t>
            </w:r>
          </w:p>
          <w:p>
            <w:pPr>
              <w:pStyle w:val="Normal"/>
              <w:spacing w:lineRule="auto" w:line="360"/>
              <w:rPr/>
            </w:pPr>
            <w:r>
              <w:rPr>
                <w:rFonts w:eastAsia="宋体"/>
                <w:sz w:val="21"/>
                <w:szCs w:val="21"/>
              </w:rPr>
              <w:t>3. 内核态路径匹配：围绕 tracked_paths 的固定长度精确匹配现状，研究路径规范化、目录前缀匹配、BPF trie/LPM 或分段 hash、路径标签缓存与 map 热更新，评估不同结构在高频 openat 场景下的开销。</w:t>
            </w:r>
          </w:p>
          <w:p>
            <w:pPr>
              <w:pStyle w:val="Normal"/>
              <w:spacing w:lineRule="auto" w:line="360"/>
              <w:rPr/>
            </w:pPr>
            <w:r>
              <w:rPr>
                <w:rFonts w:eastAsia="宋体"/>
                <w:sz w:val="21"/>
                <w:szCs w:val="21"/>
              </w:rPr>
              <w:t>4. 进程树追踪：完善 fork/clone/exec 事件处理和父子 PID 继承规则，将 Agent 根进程、子 shell、解释器、编译器、包管理器等纳入同一安全上下文，并在策略命中时保留完整 lineage。</w:t>
            </w:r>
          </w:p>
          <w:p>
            <w:pPr>
              <w:pStyle w:val="Normal"/>
              <w:spacing w:lineRule="auto" w:line="360"/>
              <w:rPr/>
            </w:pPr>
            <w:r>
              <w:rPr>
                <w:rFonts w:eastAsia="宋体"/>
                <w:sz w:val="21"/>
                <w:szCs w:val="21"/>
              </w:rPr>
              <w:t>5. 配套界面与评测：完善策略配置、执行图和仪表盘，仅作为策略调试、教学演示和实验数据采集入口；构建基准测试比较 LSM 阻断、路径匹配和进程树维护的性能开销。</w:t>
            </w:r>
          </w:p>
          <w:p>
            <w:pPr>
              <w:pStyle w:val="Normal"/>
              <w:spacing w:lineRule="auto" w:line="360"/>
              <w:rPr/>
            </w:pPr>
            <w:r>
              <w:rPr/>
            </w:r>
          </w:p>
          <w:p>
            <w:pPr>
              <w:pStyle w:val="Normal"/>
              <w:spacing w:lineRule="auto" w:line="360"/>
              <w:rPr/>
            </w:pPr>
            <w:r>
              <w:rPr>
                <w:rFonts w:ascii="Times New Roman" w:hAnsi="Times New Roman" w:eastAsia="宋体"/>
                <w:sz w:val="21"/>
                <w:szCs w:val="21"/>
              </w:rPr>
              <w:t>二、进度安排</w:t>
            </w:r>
          </w:p>
          <w:p>
            <w:pPr>
              <w:pStyle w:val="Normal"/>
              <w:spacing w:lineRule="auto" w:line="360"/>
              <w:rPr/>
            </w:pPr>
            <w:r>
              <w:rPr>
                <w:rFonts w:ascii="Times New Roman" w:hAnsi="Times New Roman" w:eastAsia="宋体"/>
                <w:sz w:val="21"/>
                <w:szCs w:val="21"/>
              </w:rPr>
              <w:t>第1—2月：完成 BPF LSM、Linux 路径解析、进程生命周期追踪和 AI Agent 安全场景调研；搭建 Go、Bun/Vite、clang、bpf2go、protobuf 等环境；形成详细技术路线和测试计划。</w:t>
            </w:r>
          </w:p>
          <w:p>
            <w:pPr>
              <w:pStyle w:val="Normal"/>
              <w:spacing w:lineRule="auto" w:line="360"/>
              <w:rPr/>
            </w:pPr>
            <w:r>
              <w:rPr>
                <w:rFonts w:ascii="Times New Roman" w:hAnsi="Times New Roman" w:eastAsia="宋体"/>
                <w:sz w:val="21"/>
                <w:szCs w:val="21"/>
              </w:rPr>
              <w:t>第3—5月：完成基础 eBPF tracepoint 与 BPF LSM hook 验证，实现策略事件回传、最小可用阻断链路和跨内核兼容测试；补充开发部署文档。</w:t>
            </w:r>
          </w:p>
          <w:p>
            <w:pPr>
              <w:pStyle w:val="Normal"/>
              <w:spacing w:lineRule="auto" w:line="360"/>
              <w:rPr/>
            </w:pPr>
            <w:r>
              <w:rPr>
                <w:rFonts w:ascii="Times New Roman" w:hAnsi="Times New Roman" w:eastAsia="宋体"/>
                <w:sz w:val="21"/>
                <w:szCs w:val="21"/>
              </w:rPr>
              <w:t>第6—8月：重点实现内核态路径匹配、路径标签 map、目录前缀策略和热更新机制；完成敏感路径保护的端到端测试。</w:t>
            </w:r>
          </w:p>
          <w:p>
            <w:pPr>
              <w:pStyle w:val="Normal"/>
              <w:spacing w:lineRule="auto" w:line="360"/>
              <w:rPr/>
            </w:pPr>
            <w:r>
              <w:rPr>
                <w:rFonts w:ascii="Times New Roman" w:hAnsi="Times New Roman" w:eastAsia="宋体"/>
                <w:sz w:val="21"/>
                <w:szCs w:val="21"/>
              </w:rPr>
              <w:t>第9—10月：完善进程树追踪和策略继承，覆盖 fork/clone/exec、shell 派生、脚本解释器和包管理器等典型 Agent 执行链；联动 wrapper/hook 审计。</w:t>
            </w:r>
          </w:p>
          <w:p>
            <w:pPr>
              <w:pStyle w:val="Normal"/>
              <w:spacing w:lineRule="auto" w:line="360"/>
              <w:rPr/>
            </w:pPr>
            <w:r>
              <w:rPr>
                <w:rFonts w:ascii="Times New Roman" w:hAnsi="Times New Roman" w:eastAsia="宋体"/>
                <w:sz w:val="21"/>
                <w:szCs w:val="21"/>
              </w:rPr>
              <w:t>第11月：开展 BPF LSM 阻断延迟、路径匹配开销、进程树维护成本和不同内核版本兼容性的对比实验，形成数据、图表和优化结论。</w:t>
            </w:r>
          </w:p>
          <w:p>
            <w:pPr>
              <w:pStyle w:val="Normal"/>
              <w:spacing w:lineRule="auto" w:line="360"/>
              <w:rPr/>
            </w:pPr>
            <w:r>
              <w:rPr>
                <w:rFonts w:ascii="Times New Roman" w:hAnsi="Times New Roman" w:eastAsia="宋体"/>
                <w:sz w:val="21"/>
                <w:szCs w:val="21"/>
              </w:rPr>
              <w:t>第12月：整理结题报告、论文/软著/专利材料、演示视频和实验教程；可视化与教学材料围绕核心内核机制展开，推动项目向“挑战杯”等赛事转化。</w:t>
            </w:r>
          </w:p>
        </w:tc>
      </w:tr>
      <w:tr>
        <w:trPr>
          <w:trHeight w:val="5295"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拟解决关键问题与预期成果</w:t>
            </w:r>
          </w:p>
        </w:tc>
        <w:tc>
          <w:tcPr>
            <w:tcW w:w="7501" w:type="dxa"/>
            <w:gridSpan w:val="4"/>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rPr/>
            </w:pPr>
            <w:r>
              <w:rPr>
                <w:rFonts w:ascii="Times New Roman" w:hAnsi="Times New Roman" w:eastAsia="宋体"/>
                <w:sz w:val="21"/>
                <w:szCs w:val="21"/>
              </w:rPr>
              <w:t>拟解决的关键问题包括：</w:t>
            </w:r>
          </w:p>
          <w:p>
            <w:pPr>
              <w:pStyle w:val="Normal"/>
              <w:spacing w:lineRule="auto" w:line="360"/>
              <w:rPr/>
            </w:pPr>
            <w:r>
              <w:rPr>
                <w:rFonts w:eastAsia="宋体"/>
                <w:sz w:val="21"/>
                <w:szCs w:val="21"/>
              </w:rPr>
              <w:t>1. Agent 子进程绕过与归因困难问题：通过 PID 注册、fork/clone/exec 追踪和 lineage 继承，将 Agent 根进程与其派生的 shell、解释器、编译器、包管理器等纳入同一策略上下文。</w:t>
            </w:r>
          </w:p>
          <w:p>
            <w:pPr>
              <w:pStyle w:val="Normal"/>
              <w:spacing w:lineRule="auto" w:line="360"/>
              <w:rPr/>
            </w:pPr>
            <w:r>
              <w:rPr>
                <w:rFonts w:eastAsia="宋体"/>
                <w:sz w:val="21"/>
                <w:szCs w:val="21"/>
              </w:rPr>
              <w:t>2. 文件路径策略难以下沉到内核高频路径的问题：研究路径规范化、前缀/精确匹配、BPF map 编码和标签缓存，尽量在内核态完成可验证匹配，减少用户态往返。</w:t>
            </w:r>
          </w:p>
          <w:p>
            <w:pPr>
              <w:pStyle w:val="Normal"/>
              <w:spacing w:lineRule="auto" w:line="360"/>
              <w:rPr/>
            </w:pPr>
            <w:r>
              <w:rPr>
                <w:rFonts w:eastAsia="宋体"/>
                <w:sz w:val="21"/>
                <w:szCs w:val="21"/>
              </w:rPr>
              <w:t>3. BPF LSM 强制执行与可观测审计协同问题：在 file、inode、bprm、socket 等 LSM 点完成阻断或放行，同时通过 ring buffer/后端日志保留策略命中证据。</w:t>
            </w:r>
          </w:p>
          <w:p>
            <w:pPr>
              <w:pStyle w:val="Normal"/>
              <w:spacing w:lineRule="auto" w:line="360"/>
              <w:rPr/>
            </w:pPr>
            <w:r>
              <w:rPr>
                <w:rFonts w:eastAsia="宋体"/>
                <w:sz w:val="21"/>
                <w:szCs w:val="21"/>
              </w:rPr>
              <w:t>4. 不同 Linux 内核环境下的兼容问题：采用 hook/tracepoint 可用性探测、BPF 对象 pinning、缺失能力降级和用户态补偿策略，提高在校园多样化设备上的可部署性。</w:t>
            </w:r>
          </w:p>
          <w:p>
            <w:pPr>
              <w:pStyle w:val="Normal"/>
              <w:spacing w:lineRule="auto" w:line="360"/>
              <w:rPr/>
            </w:pPr>
            <w:r>
              <w:rPr/>
            </w:r>
          </w:p>
          <w:p>
            <w:pPr>
              <w:pStyle w:val="Normal"/>
              <w:spacing w:lineRule="auto" w:line="360"/>
              <w:rPr/>
            </w:pPr>
            <w:r>
              <w:rPr>
                <w:rFonts w:ascii="Times New Roman" w:hAnsi="Times New Roman" w:eastAsia="宋体"/>
                <w:sz w:val="21"/>
                <w:szCs w:val="21"/>
              </w:rPr>
              <w:t>预期成果包括：</w:t>
            </w:r>
          </w:p>
          <w:p>
            <w:pPr>
              <w:pStyle w:val="Normal"/>
              <w:spacing w:lineRule="auto" w:line="360"/>
              <w:rPr/>
            </w:pPr>
            <w:r>
              <w:rPr>
                <w:rFonts w:eastAsia="宋体"/>
                <w:sz w:val="21"/>
                <w:szCs w:val="21"/>
              </w:rPr>
              <w:t>1. 软件平台：完成一套以 BPF LSM 策略执行、内核态路径匹配和进程树追踪为核心的 AI Agent 运行时安全平台，支持动态策略配置、wrapper/hook 审计、事件持久化和必要的可视化分析。</w:t>
            </w:r>
          </w:p>
          <w:p>
            <w:pPr>
              <w:pStyle w:val="Normal"/>
              <w:spacing w:lineRule="auto" w:line="360"/>
              <w:rPr/>
            </w:pPr>
            <w:r>
              <w:rPr>
                <w:rFonts w:eastAsia="宋体"/>
                <w:sz w:val="21"/>
                <w:szCs w:val="21"/>
              </w:rPr>
              <w:t>2. 学术与知识产权成果：围绕 BPF LSM 在 AI Agent 安全中的应用、内核态路径匹配结构优化、进程树策略继承机制等方向，力争完成1篇论文投稿并申请1项软件著作权或发明专利。</w:t>
            </w:r>
          </w:p>
          <w:p>
            <w:pPr>
              <w:pStyle w:val="Normal"/>
              <w:spacing w:lineRule="auto" w:line="360"/>
              <w:rPr/>
            </w:pPr>
            <w:r>
              <w:rPr>
                <w:rFonts w:eastAsia="宋体"/>
                <w:sz w:val="21"/>
                <w:szCs w:val="21"/>
              </w:rPr>
              <w:t>3. 实验与评测成果：形成 LSM 阻断延迟、路径匹配开销、进程树维护成本、兼容性测试等实验数据和可复现实验脚本。</w:t>
            </w:r>
          </w:p>
          <w:p>
            <w:pPr>
              <w:pStyle w:val="Normal"/>
              <w:spacing w:lineRule="auto" w:line="360"/>
              <w:rPr/>
            </w:pPr>
            <w:r>
              <w:rPr>
                <w:rFonts w:eastAsia="宋体"/>
                <w:sz w:val="21"/>
                <w:szCs w:val="21"/>
              </w:rPr>
              <w:t>4. 教学与竞赛转化成果：形成不少于1套实验教程、1份用户手册、1次学院内技术分享或工作坊；教学内容以底层策略执行机制为主，可视化作为辅助呈现方式。</w:t>
            </w:r>
          </w:p>
          <w:p>
            <w:pPr>
              <w:pStyle w:val="Normal"/>
              <w:spacing w:lineRule="auto" w:line="360"/>
              <w:rPr/>
            </w:pPr>
            <w:r>
              <w:rPr>
                <w:rFonts w:eastAsia="宋体"/>
                <w:sz w:val="21"/>
                <w:szCs w:val="21"/>
              </w:rPr>
              <w:t>5. 开源与社会效益：整理可公开部分代码和文档，服务高校实验室、学生创新团队和本地 AI Agent 安全实践。</w:t>
            </w:r>
          </w:p>
        </w:tc>
      </w:tr>
      <w:tr>
        <w:trPr>
          <w:trHeight w:val="5295"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经费预算和领取方式</w:t>
            </w:r>
          </w:p>
        </w:tc>
        <w:tc>
          <w:tcPr>
            <w:tcW w:w="7501" w:type="dxa"/>
            <w:gridSpan w:val="4"/>
            <w:tcBorders>
              <w:top w:val="single" w:sz="4" w:space="0" w:color="000000"/>
              <w:left w:val="single" w:sz="4" w:space="0" w:color="000000"/>
              <w:bottom w:val="single" w:sz="4" w:space="0" w:color="000000"/>
              <w:right w:val="single" w:sz="2" w:space="0" w:color="000000"/>
            </w:tcBorders>
          </w:tcPr>
          <w:p>
            <w:pPr>
              <w:pStyle w:val="Normal"/>
              <w:spacing w:lineRule="auto" w:line="360"/>
              <w:rPr/>
            </w:pPr>
            <w:r>
              <w:rPr>
                <w:rFonts w:ascii="Times New Roman" w:hAnsi="Times New Roman" w:eastAsia="宋体"/>
                <w:sz w:val="21"/>
                <w:szCs w:val="21"/>
              </w:rPr>
              <w:t>总    计：</w:t>
            </w:r>
            <w:r>
              <w:rPr>
                <w:rFonts w:eastAsia="宋体"/>
                <w:sz w:val="21"/>
                <w:szCs w:val="21"/>
              </w:rPr>
              <w:t xml:space="preserve">11000 </w:t>
            </w:r>
            <w:r>
              <w:rPr>
                <w:rFonts w:ascii="Times New Roman" w:hAnsi="Times New Roman" w:eastAsia="宋体"/>
                <w:sz w:val="21"/>
                <w:szCs w:val="21"/>
              </w:rPr>
              <w:t>元人民币</w:t>
            </w:r>
          </w:p>
          <w:p>
            <w:pPr>
              <w:pStyle w:val="Normal"/>
              <w:spacing w:lineRule="auto" w:line="360"/>
              <w:rPr/>
            </w:pPr>
            <w:r>
              <w:rPr>
                <w:rFonts w:ascii="Times New Roman" w:hAnsi="Times New Roman" w:eastAsia="宋体"/>
                <w:sz w:val="21"/>
                <w:szCs w:val="21"/>
              </w:rPr>
              <w:t>具体预算：</w:t>
            </w:r>
          </w:p>
          <w:p>
            <w:pPr>
              <w:pStyle w:val="Normal"/>
              <w:spacing w:lineRule="auto" w:line="360"/>
              <w:rPr/>
            </w:pPr>
            <w:r>
              <w:rPr>
                <w:rFonts w:eastAsia="宋体"/>
                <w:sz w:val="21"/>
                <w:szCs w:val="21"/>
              </w:rPr>
              <w:t xml:space="preserve">1. </w:t>
            </w:r>
            <w:r>
              <w:rPr>
                <w:rFonts w:ascii="Times New Roman" w:hAnsi="Times New Roman" w:eastAsia="宋体"/>
                <w:sz w:val="21"/>
                <w:szCs w:val="21"/>
              </w:rPr>
              <w:t>实验测试设备及配件：</w:t>
            </w:r>
            <w:r>
              <w:rPr>
                <w:rFonts w:eastAsia="宋体"/>
                <w:sz w:val="21"/>
                <w:szCs w:val="21"/>
              </w:rPr>
              <w:t>4000</w:t>
            </w:r>
            <w:r>
              <w:rPr>
                <w:rFonts w:ascii="Times New Roman" w:hAnsi="Times New Roman" w:eastAsia="宋体"/>
                <w:sz w:val="21"/>
                <w:szCs w:val="21"/>
              </w:rPr>
              <w:t xml:space="preserve">元。用于购置支持 </w:t>
            </w:r>
            <w:r>
              <w:rPr>
                <w:rFonts w:eastAsia="宋体"/>
                <w:sz w:val="21"/>
                <w:szCs w:val="21"/>
              </w:rPr>
              <w:t xml:space="preserve">Linux eBPF </w:t>
            </w:r>
            <w:r>
              <w:rPr>
                <w:rFonts w:ascii="Times New Roman" w:hAnsi="Times New Roman" w:eastAsia="宋体"/>
                <w:sz w:val="21"/>
                <w:szCs w:val="21"/>
              </w:rPr>
              <w:t>的微型服务器、开发板、固态硬盘或网络测试配件，支撑多内核、多架构部署测试。</w:t>
            </w:r>
          </w:p>
          <w:p>
            <w:pPr>
              <w:pStyle w:val="Normal"/>
              <w:spacing w:lineRule="auto" w:line="360"/>
              <w:rPr/>
            </w:pPr>
            <w:r>
              <w:rPr>
                <w:rFonts w:eastAsia="宋体"/>
                <w:sz w:val="21"/>
                <w:szCs w:val="21"/>
              </w:rPr>
              <w:t xml:space="preserve">2. AI Agent </w:t>
            </w:r>
            <w:r>
              <w:rPr>
                <w:rFonts w:ascii="Times New Roman" w:hAnsi="Times New Roman" w:eastAsia="宋体"/>
                <w:sz w:val="21"/>
                <w:szCs w:val="21"/>
              </w:rPr>
              <w:t>运行算力、</w:t>
            </w:r>
            <w:r>
              <w:rPr>
                <w:rFonts w:eastAsia="宋体"/>
                <w:sz w:val="21"/>
                <w:szCs w:val="21"/>
              </w:rPr>
              <w:t xml:space="preserve">API </w:t>
            </w:r>
            <w:r>
              <w:rPr>
                <w:rFonts w:ascii="Times New Roman" w:hAnsi="Times New Roman" w:eastAsia="宋体"/>
                <w:sz w:val="21"/>
                <w:szCs w:val="21"/>
              </w:rPr>
              <w:t>与云服务：</w:t>
            </w:r>
            <w:r>
              <w:rPr>
                <w:rFonts w:eastAsia="宋体"/>
                <w:sz w:val="21"/>
                <w:szCs w:val="21"/>
              </w:rPr>
              <w:t>1000</w:t>
            </w:r>
            <w:r>
              <w:rPr>
                <w:rFonts w:ascii="Times New Roman" w:hAnsi="Times New Roman" w:eastAsia="宋体"/>
                <w:sz w:val="21"/>
                <w:szCs w:val="21"/>
              </w:rPr>
              <w:t>元。用于项目研发和测试阶段运行本地</w:t>
            </w:r>
            <w:r>
              <w:rPr>
                <w:rFonts w:eastAsia="宋体"/>
                <w:sz w:val="21"/>
                <w:szCs w:val="21"/>
              </w:rPr>
              <w:t>/</w:t>
            </w:r>
            <w:r>
              <w:rPr>
                <w:rFonts w:ascii="Times New Roman" w:hAnsi="Times New Roman" w:eastAsia="宋体"/>
                <w:sz w:val="21"/>
                <w:szCs w:val="21"/>
              </w:rPr>
              <w:t xml:space="preserve">云端 </w:t>
            </w:r>
            <w:r>
              <w:rPr>
                <w:rFonts w:eastAsia="宋体"/>
                <w:sz w:val="21"/>
                <w:szCs w:val="21"/>
              </w:rPr>
              <w:t>AI Agent</w:t>
            </w:r>
            <w:r>
              <w:rPr>
                <w:rFonts w:ascii="Times New Roman" w:hAnsi="Times New Roman" w:eastAsia="宋体"/>
                <w:sz w:val="21"/>
                <w:szCs w:val="21"/>
              </w:rPr>
              <w:t xml:space="preserve">、调用必要的模型 </w:t>
            </w:r>
            <w:r>
              <w:rPr>
                <w:rFonts w:eastAsia="宋体"/>
                <w:sz w:val="21"/>
                <w:szCs w:val="21"/>
              </w:rPr>
              <w:t>API</w:t>
            </w:r>
            <w:r>
              <w:rPr>
                <w:rFonts w:ascii="Times New Roman" w:hAnsi="Times New Roman" w:eastAsia="宋体"/>
                <w:sz w:val="21"/>
                <w:szCs w:val="21"/>
              </w:rPr>
              <w:t xml:space="preserve">、临时租用 </w:t>
            </w:r>
            <w:r>
              <w:rPr>
                <w:rFonts w:eastAsia="宋体"/>
                <w:sz w:val="21"/>
                <w:szCs w:val="21"/>
              </w:rPr>
              <w:t xml:space="preserve">GPU/CPU </w:t>
            </w:r>
            <w:r>
              <w:rPr>
                <w:rFonts w:ascii="Times New Roman" w:hAnsi="Times New Roman" w:eastAsia="宋体"/>
                <w:sz w:val="21"/>
                <w:szCs w:val="21"/>
              </w:rPr>
              <w:t>云算力、开展多轮命令生成与安全拦截实验。</w:t>
            </w:r>
          </w:p>
          <w:p>
            <w:pPr>
              <w:pStyle w:val="Normal"/>
              <w:spacing w:lineRule="auto" w:line="360"/>
              <w:rPr/>
            </w:pPr>
            <w:r>
              <w:rPr>
                <w:rFonts w:eastAsia="宋体"/>
                <w:sz w:val="21"/>
                <w:szCs w:val="21"/>
              </w:rPr>
              <w:t xml:space="preserve">3. </w:t>
            </w:r>
            <w:r>
              <w:rPr>
                <w:rFonts w:ascii="Times New Roman" w:hAnsi="Times New Roman" w:eastAsia="宋体"/>
                <w:sz w:val="21"/>
                <w:szCs w:val="21"/>
              </w:rPr>
              <w:t>云服务与数据采集：</w:t>
            </w:r>
            <w:r>
              <w:rPr>
                <w:rFonts w:eastAsia="宋体"/>
                <w:sz w:val="21"/>
                <w:szCs w:val="21"/>
              </w:rPr>
              <w:t>1500</w:t>
            </w:r>
            <w:r>
              <w:rPr>
                <w:rFonts w:ascii="Times New Roman" w:hAnsi="Times New Roman" w:eastAsia="宋体"/>
                <w:sz w:val="21"/>
                <w:szCs w:val="21"/>
              </w:rPr>
              <w:t>元。用于短期云主机、对象存储、网络测试环境、日志留存和开源数据集下载整理等。</w:t>
            </w:r>
          </w:p>
          <w:p>
            <w:pPr>
              <w:pStyle w:val="Normal"/>
              <w:spacing w:lineRule="auto" w:line="360"/>
              <w:rPr/>
            </w:pPr>
            <w:r>
              <w:rPr>
                <w:rFonts w:eastAsia="宋体"/>
                <w:sz w:val="21"/>
                <w:szCs w:val="21"/>
              </w:rPr>
              <w:t xml:space="preserve">4. </w:t>
            </w:r>
            <w:r>
              <w:rPr>
                <w:rFonts w:ascii="Times New Roman" w:hAnsi="Times New Roman" w:eastAsia="宋体"/>
                <w:sz w:val="21"/>
                <w:szCs w:val="21"/>
              </w:rPr>
              <w:t>资料、图书与文献服务：</w:t>
            </w:r>
            <w:r>
              <w:rPr>
                <w:rFonts w:eastAsia="宋体"/>
                <w:sz w:val="21"/>
                <w:szCs w:val="21"/>
              </w:rPr>
              <w:t>1000</w:t>
            </w:r>
            <w:r>
              <w:rPr>
                <w:rFonts w:ascii="Times New Roman" w:hAnsi="Times New Roman" w:eastAsia="宋体"/>
                <w:sz w:val="21"/>
                <w:szCs w:val="21"/>
              </w:rPr>
              <w:t>元。用于购买操作系统、</w:t>
            </w:r>
            <w:r>
              <w:rPr>
                <w:rFonts w:eastAsia="宋体"/>
                <w:sz w:val="21"/>
                <w:szCs w:val="21"/>
              </w:rPr>
              <w:t>eBPF</w:t>
            </w:r>
            <w:r>
              <w:rPr>
                <w:rFonts w:ascii="Times New Roman" w:hAnsi="Times New Roman" w:eastAsia="宋体"/>
                <w:sz w:val="21"/>
                <w:szCs w:val="21"/>
              </w:rPr>
              <w:t xml:space="preserve">、云原生安全和 </w:t>
            </w:r>
            <w:r>
              <w:rPr>
                <w:rFonts w:eastAsia="宋体"/>
                <w:sz w:val="21"/>
                <w:szCs w:val="21"/>
              </w:rPr>
              <w:t xml:space="preserve">AI </w:t>
            </w:r>
            <w:r>
              <w:rPr>
                <w:rFonts w:ascii="Times New Roman" w:hAnsi="Times New Roman" w:eastAsia="宋体"/>
                <w:sz w:val="21"/>
                <w:szCs w:val="21"/>
              </w:rPr>
              <w:t>安全相关资料。</w:t>
            </w:r>
          </w:p>
          <w:p>
            <w:pPr>
              <w:pStyle w:val="Normal"/>
              <w:spacing w:lineRule="auto" w:line="360"/>
              <w:rPr/>
            </w:pPr>
            <w:r>
              <w:rPr>
                <w:rFonts w:eastAsia="宋体"/>
                <w:sz w:val="21"/>
                <w:szCs w:val="21"/>
              </w:rPr>
              <w:t xml:space="preserve">5. </w:t>
            </w:r>
            <w:r>
              <w:rPr>
                <w:rFonts w:ascii="Times New Roman" w:hAnsi="Times New Roman" w:eastAsia="宋体"/>
                <w:sz w:val="21"/>
                <w:szCs w:val="21"/>
              </w:rPr>
              <w:t>论文、软著、专利及成果整理：</w:t>
            </w:r>
            <w:r>
              <w:rPr>
                <w:rFonts w:eastAsia="宋体"/>
                <w:sz w:val="21"/>
                <w:szCs w:val="21"/>
              </w:rPr>
              <w:t>2000</w:t>
            </w:r>
            <w:r>
              <w:rPr>
                <w:rFonts w:ascii="Times New Roman" w:hAnsi="Times New Roman" w:eastAsia="宋体"/>
                <w:sz w:val="21"/>
                <w:szCs w:val="21"/>
              </w:rPr>
              <w:t>元。用于论文版面、软件著作权登记、专利检索和材料制作等合规支出。</w:t>
            </w:r>
          </w:p>
          <w:p>
            <w:pPr>
              <w:pStyle w:val="Normal"/>
              <w:spacing w:lineRule="auto" w:line="360"/>
              <w:rPr/>
            </w:pPr>
            <w:r>
              <w:rPr>
                <w:rFonts w:eastAsia="宋体"/>
                <w:sz w:val="21"/>
                <w:szCs w:val="21"/>
              </w:rPr>
              <w:t xml:space="preserve">6. </w:t>
            </w:r>
            <w:r>
              <w:rPr>
                <w:rFonts w:ascii="Times New Roman" w:hAnsi="Times New Roman" w:eastAsia="宋体"/>
                <w:sz w:val="21"/>
                <w:szCs w:val="21"/>
              </w:rPr>
              <w:t>宣传展示与培训材料：</w:t>
            </w:r>
            <w:r>
              <w:rPr>
                <w:rFonts w:eastAsia="宋体"/>
                <w:sz w:val="21"/>
                <w:szCs w:val="21"/>
              </w:rPr>
              <w:t>1000</w:t>
            </w:r>
            <w:r>
              <w:rPr>
                <w:rFonts w:ascii="Times New Roman" w:hAnsi="Times New Roman" w:eastAsia="宋体"/>
                <w:sz w:val="21"/>
                <w:szCs w:val="21"/>
              </w:rPr>
              <w:t>元。用于制作展板、手册、演示视频、培训材料和结题展示材料。</w:t>
            </w:r>
          </w:p>
          <w:p>
            <w:pPr>
              <w:pStyle w:val="Normal"/>
              <w:spacing w:lineRule="auto" w:line="360"/>
              <w:rPr/>
            </w:pPr>
            <w:r>
              <w:rPr>
                <w:rFonts w:eastAsia="宋体"/>
                <w:sz w:val="21"/>
                <w:szCs w:val="21"/>
              </w:rPr>
              <w:t xml:space="preserve">7. </w:t>
            </w:r>
            <w:r>
              <w:rPr>
                <w:rFonts w:ascii="Times New Roman" w:hAnsi="Times New Roman" w:eastAsia="宋体"/>
                <w:sz w:val="21"/>
                <w:szCs w:val="21"/>
              </w:rPr>
              <w:t>机动与耗材：</w:t>
            </w:r>
            <w:r>
              <w:rPr>
                <w:rFonts w:eastAsia="宋体"/>
                <w:sz w:val="21"/>
                <w:szCs w:val="21"/>
              </w:rPr>
              <w:t>500</w:t>
            </w:r>
            <w:r>
              <w:rPr>
                <w:rFonts w:ascii="Times New Roman" w:hAnsi="Times New Roman" w:eastAsia="宋体"/>
                <w:sz w:val="21"/>
                <w:szCs w:val="21"/>
              </w:rPr>
              <w:t>元。用于线缆、转接器、打印装订等项目实施必需耗材。</w:t>
            </w:r>
          </w:p>
          <w:p>
            <w:pPr>
              <w:pStyle w:val="Normal"/>
              <w:spacing w:lineRule="auto" w:line="360"/>
              <w:rPr/>
            </w:pPr>
            <w:r>
              <w:rPr>
                <w:rFonts w:ascii="Times New Roman" w:hAnsi="Times New Roman" w:eastAsia="宋体"/>
                <w:sz w:val="21"/>
                <w:szCs w:val="21"/>
              </w:rPr>
              <w:t>领取方式：按学校和学院财务制度执行，所有经费在指导教师指导下据实报销，不用于个人劳务支出；</w:t>
            </w:r>
            <w:r>
              <w:rPr>
                <w:rFonts w:eastAsia="宋体"/>
                <w:sz w:val="21"/>
                <w:szCs w:val="21"/>
              </w:rPr>
              <w:t xml:space="preserve">AI Agent </w:t>
            </w:r>
            <w:r>
              <w:rPr>
                <w:rFonts w:ascii="Times New Roman" w:hAnsi="Times New Roman" w:eastAsia="宋体"/>
                <w:sz w:val="21"/>
                <w:szCs w:val="21"/>
              </w:rPr>
              <w:t>运行相关开销仅用于项目实验、评测和演示，不用于个人日常使用。</w:t>
            </w:r>
          </w:p>
        </w:tc>
      </w:tr>
      <w:tr>
        <w:trPr>
          <w:trHeight w:val="2515" w:hRule="atLeast"/>
          <w:cantSplit/>
        </w:trPr>
        <w:tc>
          <w:tcPr>
            <w:tcW w:w="1495" w:type="dxa"/>
            <w:gridSpan w:val="2"/>
            <w:vMerge w:val="restart"/>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黑体_GBK" w:hAnsi="方正黑体_GBK" w:eastAsia="方正黑体_GBK" w:cs="方正黑体_GBK" w:hint="eastAsia"/>
                <w:sz w:val="28"/>
                <w:szCs w:val="28"/>
              </w:rPr>
            </w:pPr>
            <w:r>
              <w:rPr>
                <w:rFonts w:ascii="方正黑体_GBK" w:hAnsi="方正黑体_GBK" w:cs="方正黑体_GBK" w:hint="eastAsia" w:eastAsia="方正黑体_GBK"/>
                <w:sz w:val="28"/>
                <w:szCs w:val="28"/>
              </w:rPr>
              <w:t>指导老师</w:t>
            </w:r>
          </w:p>
          <w:p>
            <w:pPr>
              <w:pStyle w:val="Normal"/>
              <w:spacing w:lineRule="atLeast" w:line="0"/>
              <w:jc w:val="center"/>
              <w:rPr>
                <w:rFonts w:ascii="方正仿宋_GBK" w:hAnsi="方正仿宋_GBK" w:eastAsia="方正仿宋_GBK" w:cs="方正仿宋_GBK"/>
                <w:sz w:val="32"/>
                <w:szCs w:val="32"/>
              </w:rPr>
            </w:pPr>
            <w:r>
              <w:rPr>
                <w:rFonts w:ascii="方正黑体_GBK" w:hAnsi="方正黑体_GBK" w:cs="方正黑体_GBK" w:hint="eastAsia" w:eastAsia="方正黑体_GBK"/>
                <w:sz w:val="28"/>
                <w:szCs w:val="28"/>
              </w:rPr>
              <w:t>意见</w:t>
            </w:r>
          </w:p>
        </w:tc>
        <w:tc>
          <w:tcPr>
            <w:tcW w:w="7501" w:type="dxa"/>
            <w:gridSpan w:val="4"/>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rPr/>
            </w:pPr>
            <w:r>
              <w:rPr>
                <w:rFonts w:ascii="Times New Roman" w:hAnsi="Times New Roman" w:eastAsia="宋体"/>
                <w:sz w:val="21"/>
                <w:szCs w:val="21"/>
              </w:rPr>
              <w:t>指导教师意见：</w:t>
            </w:r>
          </w:p>
          <w:p>
            <w:pPr>
              <w:pStyle w:val="Normal"/>
              <w:spacing w:lineRule="auto" w:line="360"/>
              <w:rPr/>
            </w:pPr>
            <w:r>
              <w:rPr/>
            </w:r>
          </w:p>
          <w:p>
            <w:pPr>
              <w:pStyle w:val="Normal"/>
              <w:spacing w:lineRule="auto" w:line="360"/>
              <w:rPr/>
            </w:pPr>
            <w:r>
              <w:rPr>
                <w:rFonts w:ascii="Times New Roman" w:hAnsi="Times New Roman" w:eastAsia="宋体"/>
                <w:sz w:val="21"/>
                <w:szCs w:val="21"/>
              </w:rPr>
              <w:t xml:space="preserve">本课题选题面向 </w:t>
            </w:r>
            <w:r>
              <w:rPr>
                <w:rFonts w:eastAsia="宋体"/>
                <w:sz w:val="21"/>
                <w:szCs w:val="21"/>
              </w:rPr>
              <w:t xml:space="preserve">AI Agent </w:t>
            </w:r>
            <w:r>
              <w:rPr>
                <w:rFonts w:ascii="Times New Roman" w:hAnsi="Times New Roman" w:eastAsia="宋体"/>
                <w:sz w:val="21"/>
                <w:szCs w:val="21"/>
              </w:rPr>
              <w:t xml:space="preserve">安全治理与 </w:t>
            </w:r>
            <w:r>
              <w:rPr>
                <w:rFonts w:eastAsia="宋体"/>
                <w:sz w:val="21"/>
                <w:szCs w:val="21"/>
              </w:rPr>
              <w:t xml:space="preserve">eBPF </w:t>
            </w:r>
            <w:r>
              <w:rPr>
                <w:rFonts w:ascii="Times New Roman" w:hAnsi="Times New Roman" w:eastAsia="宋体"/>
                <w:sz w:val="21"/>
                <w:szCs w:val="21"/>
              </w:rPr>
              <w:t>系统监控前沿方向，具有较好的学术价值、实践意义和学生科研训练价值。课题技术路线较清晰，团队分工合理，预期成果明确。本人同意指导并推荐申报华南师范大学学生课外科研金种子重点课题。</w:t>
            </w:r>
          </w:p>
          <w:p>
            <w:pPr>
              <w:pStyle w:val="Normal"/>
              <w:spacing w:lineRule="auto" w:line="360"/>
              <w:rPr/>
            </w:pPr>
            <w:r>
              <w:rPr/>
            </w:r>
          </w:p>
          <w:p>
            <w:pPr>
              <w:pStyle w:val="Normal"/>
              <w:spacing w:lineRule="auto" w:line="360"/>
              <w:rPr/>
            </w:pPr>
            <w:r>
              <w:rPr>
                <w:rFonts w:ascii="Times New Roman" w:hAnsi="Times New Roman" w:eastAsia="宋体"/>
                <w:sz w:val="21"/>
                <w:szCs w:val="21"/>
              </w:rPr>
              <w:t>签名：</w:t>
            </w:r>
          </w:p>
          <w:p>
            <w:pPr>
              <w:pStyle w:val="Normal"/>
              <w:spacing w:lineRule="auto" w:line="360"/>
              <w:rPr/>
            </w:pPr>
            <w:r>
              <w:rPr>
                <w:rFonts w:eastAsia="宋体"/>
                <w:sz w:val="21"/>
                <w:szCs w:val="21"/>
              </w:rPr>
              <w:t>2026</w:t>
            </w:r>
            <w:r>
              <w:rPr>
                <w:rFonts w:ascii="Times New Roman" w:hAnsi="Times New Roman" w:eastAsia="宋体"/>
                <w:sz w:val="21"/>
                <w:szCs w:val="21"/>
              </w:rPr>
              <w:t>年  月  日</w:t>
            </w:r>
          </w:p>
        </w:tc>
      </w:tr>
      <w:tr>
        <w:trPr>
          <w:trHeight w:val="2545" w:hRule="atLeast"/>
          <w:cantSplit/>
        </w:trPr>
        <w:tc>
          <w:tcPr>
            <w:tcW w:w="1495" w:type="dxa"/>
            <w:gridSpan w:val="2"/>
            <w:vMerge w:val="continue"/>
            <w:tcBorders>
              <w:top w:val="single" w:sz="4" w:space="0" w:color="000000"/>
              <w:left w:val="single" w:sz="4" w:space="0" w:color="000000"/>
              <w:bottom w:val="single" w:sz="4" w:space="0" w:color="000000"/>
              <w:right w:val="single" w:sz="2" w:space="0" w:color="000000"/>
            </w:tcBorders>
            <w:vAlign w:val="center"/>
          </w:tcPr>
          <w:p>
            <w:pPr>
              <w:pStyle w:val="Normal"/>
              <w:snapToGrid w:val="false"/>
              <w:spacing w:lineRule="auto" w:line="360"/>
              <w:jc w:val="center"/>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tc>
        <w:tc>
          <w:tcPr>
            <w:tcW w:w="7501" w:type="dxa"/>
            <w:gridSpan w:val="4"/>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rPr/>
            </w:pPr>
            <w:r>
              <w:rPr>
                <w:rFonts w:ascii="Times New Roman" w:hAnsi="Times New Roman" w:eastAsia="宋体"/>
                <w:sz w:val="21"/>
                <w:szCs w:val="21"/>
              </w:rPr>
              <w:t>指导教师意见（第二指导教师，如有）：</w:t>
            </w:r>
          </w:p>
          <w:p>
            <w:pPr>
              <w:pStyle w:val="Normal"/>
              <w:spacing w:lineRule="auto" w:line="360"/>
              <w:rPr/>
            </w:pPr>
            <w:r>
              <w:rPr/>
            </w:r>
          </w:p>
          <w:p>
            <w:pPr>
              <w:pStyle w:val="Normal"/>
              <w:spacing w:lineRule="auto" w:line="360"/>
              <w:rPr/>
            </w:pPr>
            <w:r>
              <w:rPr>
                <w:rFonts w:ascii="Times New Roman" w:hAnsi="Times New Roman" w:eastAsia="宋体"/>
                <w:sz w:val="21"/>
                <w:szCs w:val="21"/>
              </w:rPr>
              <w:t>同意申报。</w:t>
            </w:r>
          </w:p>
          <w:p>
            <w:pPr>
              <w:pStyle w:val="Normal"/>
              <w:spacing w:lineRule="auto" w:line="360"/>
              <w:rPr/>
            </w:pPr>
            <w:r>
              <w:rPr/>
            </w:r>
          </w:p>
          <w:p>
            <w:pPr>
              <w:pStyle w:val="Normal"/>
              <w:spacing w:lineRule="auto" w:line="360"/>
              <w:rPr/>
            </w:pPr>
            <w:r>
              <w:rPr>
                <w:rFonts w:ascii="Times New Roman" w:hAnsi="Times New Roman" w:eastAsia="宋体"/>
                <w:sz w:val="21"/>
                <w:szCs w:val="21"/>
              </w:rPr>
              <w:t>签名：</w:t>
            </w:r>
          </w:p>
          <w:p>
            <w:pPr>
              <w:pStyle w:val="Normal"/>
              <w:spacing w:lineRule="auto" w:line="360"/>
              <w:rPr/>
            </w:pPr>
            <w:r>
              <w:rPr>
                <w:rFonts w:eastAsia="宋体"/>
                <w:sz w:val="21"/>
                <w:szCs w:val="21"/>
              </w:rPr>
              <w:t>2026</w:t>
            </w:r>
            <w:r>
              <w:rPr>
                <w:rFonts w:ascii="Times New Roman" w:hAnsi="Times New Roman" w:eastAsia="宋体"/>
                <w:sz w:val="21"/>
                <w:szCs w:val="21"/>
              </w:rPr>
              <w:t>年  月  日</w:t>
            </w:r>
          </w:p>
        </w:tc>
      </w:tr>
      <w:tr>
        <w:trPr>
          <w:trHeight w:val="3753"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widowControl/>
              <w:spacing w:lineRule="atLeast" w:line="280"/>
              <w:jc w:val="center"/>
              <w:rPr>
                <w:rFonts w:ascii="方正仿宋_GBK" w:hAnsi="方正仿宋_GBK" w:eastAsia="方正仿宋_GBK" w:cs="方正仿宋_GBK" w:hint="eastAsia"/>
                <w:sz w:val="28"/>
                <w:szCs w:val="28"/>
              </w:rPr>
            </w:pPr>
            <w:r>
              <w:rPr>
                <w:rFonts w:ascii="方正黑体_GBK" w:hAnsi="方正黑体_GBK" w:cs="方正黑体_GBK" w:hint="eastAsia" w:eastAsia="方正黑体_GBK"/>
                <w:sz w:val="28"/>
                <w:szCs w:val="28"/>
              </w:rPr>
              <w:t>学院学生课外科技创新工作领导小组意见</w:t>
            </w:r>
          </w:p>
        </w:tc>
        <w:tc>
          <w:tcPr>
            <w:tcW w:w="7501" w:type="dxa"/>
            <w:gridSpan w:val="4"/>
            <w:tcBorders>
              <w:top w:val="single" w:sz="4" w:space="0" w:color="000000"/>
              <w:left w:val="single" w:sz="4" w:space="0" w:color="000000"/>
              <w:bottom w:val="single" w:sz="4" w:space="0" w:color="000000"/>
              <w:right w:val="single" w:sz="2" w:space="0" w:color="000000"/>
            </w:tcBorders>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p>
            <w:pPr>
              <w:pStyle w:val="Normal"/>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p>
            <w:pPr>
              <w:pStyle w:val="Normal"/>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p>
            <w:pPr>
              <w:pStyle w:val="Normal"/>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p>
            <w:pPr>
              <w:pStyle w:val="Normal"/>
              <w:spacing w:lineRule="atLeast" w:line="0"/>
              <w:jc w:val="center"/>
              <w:rPr>
                <w:rFonts w:ascii="方正仿宋_GBK" w:hAnsi="方正仿宋_GBK" w:eastAsia="方正仿宋_GBK" w:cs="方正仿宋_GBK" w:hint="eastAsia"/>
                <w:sz w:val="28"/>
                <w:szCs w:val="28"/>
              </w:rPr>
            </w:pPr>
            <w:r>
              <w:rPr>
                <w:rFonts w:ascii="方正仿宋_GBK" w:hAnsi="方正仿宋_GBK" w:cs="方正仿宋_GBK" w:hint="eastAsia" w:eastAsia="方正仿宋_GBK"/>
                <w:sz w:val="28"/>
                <w:szCs w:val="28"/>
              </w:rPr>
              <w:t>由学院学生课外科技创新工作领导小组组长填写并签名。</w:t>
            </w:r>
          </w:p>
          <w:p>
            <w:pPr>
              <w:pStyle w:val="Normal"/>
              <w:spacing w:lineRule="atLeast" w:line="0"/>
              <w:jc w:val="center"/>
              <w:rPr>
                <w:rFonts w:ascii="方正仿宋_GBK" w:hAnsi="方正仿宋_GBK" w:eastAsia="方正仿宋_GBK" w:cs="方正仿宋_GBK" w:hint="eastAsia"/>
                <w:sz w:val="28"/>
                <w:szCs w:val="28"/>
              </w:rPr>
            </w:pPr>
            <w:r>
              <w:rPr/>
            </w:r>
          </w:p>
          <w:p>
            <w:pPr>
              <w:pStyle w:val="Normal"/>
              <w:spacing w:lineRule="atLeast" w:line="0"/>
              <w:jc w:val="center"/>
              <w:rPr>
                <w:rFonts w:ascii="方正仿宋_GBK" w:hAnsi="方正仿宋_GBK" w:eastAsia="方正仿宋_GBK" w:cs="方正仿宋_GBK" w:hint="eastAsia"/>
                <w:sz w:val="28"/>
                <w:szCs w:val="28"/>
              </w:rPr>
            </w:pPr>
            <w:r>
              <w:rPr>
                <w:rFonts w:ascii="方正仿宋_GBK" w:hAnsi="方正仿宋_GBK" w:cs="方正仿宋_GBK" w:hint="eastAsia" w:eastAsia="方正仿宋_GBK"/>
                <w:sz w:val="28"/>
                <w:szCs w:val="28"/>
              </w:rPr>
              <w:t xml:space="preserve">            </w:t>
            </w:r>
            <w:r>
              <w:rPr>
                <w:rFonts w:ascii="方正仿宋_GBK" w:hAnsi="方正仿宋_GBK" w:cs="方正仿宋_GBK" w:hint="eastAsia" w:eastAsia="方正仿宋_GBK"/>
                <w:sz w:val="28"/>
                <w:szCs w:val="28"/>
              </w:rPr>
              <w:t>公章（学院团委盖章）：</w:t>
            </w:r>
          </w:p>
          <w:p>
            <w:pPr>
              <w:pStyle w:val="Normal"/>
              <w:spacing w:lineRule="atLeast" w:line="0"/>
              <w:jc w:val="right"/>
              <w:rPr>
                <w:rFonts w:ascii="方正仿宋_GBK" w:hAnsi="方正仿宋_GBK" w:eastAsia="方正仿宋_GBK" w:cs="方正仿宋_GBK" w:hint="eastAsia"/>
                <w:sz w:val="28"/>
                <w:szCs w:val="28"/>
              </w:rPr>
            </w:pPr>
            <w:r>
              <w:rPr>
                <w:rFonts w:ascii="方正仿宋_GBK" w:hAnsi="方正仿宋_GBK" w:cs="方正仿宋_GBK" w:hint="eastAsia" w:eastAsia="方正仿宋_GBK"/>
                <w:sz w:val="28"/>
                <w:szCs w:val="28"/>
              </w:rPr>
              <w:t>年   月   日</w:t>
            </w:r>
          </w:p>
        </w:tc>
      </w:tr>
      <w:tr>
        <w:trPr>
          <w:trHeight w:val="3343"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widowControl/>
              <w:spacing w:lineRule="atLeast" w:line="280"/>
              <w:jc w:val="center"/>
              <w:rPr>
                <w:rFonts w:ascii="方正仿宋_GBK" w:hAnsi="方正仿宋_GBK" w:eastAsia="方正仿宋_GBK" w:cs="方正仿宋_GBK" w:hint="eastAsia"/>
                <w:sz w:val="28"/>
                <w:szCs w:val="28"/>
              </w:rPr>
            </w:pPr>
            <w:commentRangeStart w:id="3"/>
            <w:r>
              <w:rPr>
                <w:rFonts w:ascii="方正黑体_GBK" w:hAnsi="方正黑体_GBK" w:cs="方正黑体_GBK" w:hint="eastAsia" w:eastAsia="方正黑体_GBK"/>
                <w:sz w:val="28"/>
                <w:szCs w:val="28"/>
              </w:rPr>
              <w:t>学校学生课外科技创新工作领导小组意见</w:t>
            </w:r>
            <w:commentRangeEnd w:id="3"/>
            <w:r>
              <w:commentReference w:id="3"/>
            </w:r>
            <w:r>
              <w:rPr>
                <w:rFonts w:ascii="方正黑体_GBK" w:hAnsi="方正黑体_GBK" w:cs="方正黑体_GBK" w:hint="eastAsia" w:eastAsia="方正黑体_GBK"/>
                <w:sz w:val="28"/>
                <w:szCs w:val="28"/>
              </w:rPr>
            </w:r>
          </w:p>
        </w:tc>
        <w:tc>
          <w:tcPr>
            <w:tcW w:w="7501" w:type="dxa"/>
            <w:gridSpan w:val="4"/>
            <w:tcBorders>
              <w:top w:val="single" w:sz="4" w:space="0" w:color="000000"/>
              <w:left w:val="single" w:sz="4" w:space="0" w:color="000000"/>
              <w:bottom w:val="single" w:sz="4" w:space="0" w:color="000000"/>
              <w:right w:val="single" w:sz="2" w:space="0" w:color="000000"/>
            </w:tcBorders>
          </w:tcPr>
          <w:p>
            <w:pPr>
              <w:pStyle w:val="Normal"/>
              <w:snapToGrid w:val="false"/>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p>
            <w:pPr>
              <w:pStyle w:val="Normal"/>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p>
            <w:pPr>
              <w:pStyle w:val="Normal"/>
              <w:spacing w:lineRule="atLeast" w:line="0"/>
              <w:jc w:val="cen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p>
            <w:pPr>
              <w:pStyle w:val="Normal"/>
              <w:spacing w:lineRule="atLeast" w:line="0"/>
              <w:jc w:val="right"/>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r>
          </w:p>
          <w:p>
            <w:pPr>
              <w:pStyle w:val="Normal"/>
              <w:spacing w:lineRule="atLeast" w:line="0"/>
              <w:jc w:val="center"/>
              <w:rPr>
                <w:rFonts w:ascii="方正仿宋_GBK" w:hAnsi="方正仿宋_GBK" w:eastAsia="方正仿宋_GBK" w:cs="方正仿宋_GBK" w:hint="eastAsia"/>
                <w:sz w:val="28"/>
                <w:szCs w:val="28"/>
              </w:rPr>
            </w:pPr>
            <w:r>
              <w:rPr>
                <w:rFonts w:ascii="方正仿宋_GBK" w:hAnsi="方正仿宋_GBK" w:cs="方正仿宋_GBK" w:hint="eastAsia" w:eastAsia="方正仿宋_GBK"/>
                <w:sz w:val="28"/>
                <w:szCs w:val="28"/>
              </w:rPr>
              <w:t xml:space="preserve">                         </w:t>
            </w:r>
            <w:r>
              <w:rPr>
                <w:rFonts w:ascii="方正仿宋_GBK" w:hAnsi="方正仿宋_GBK" w:cs="方正仿宋_GBK" w:hint="eastAsia" w:eastAsia="方正仿宋_GBK"/>
                <w:sz w:val="28"/>
                <w:szCs w:val="28"/>
              </w:rPr>
              <w:t>部门盖章：</w:t>
            </w:r>
          </w:p>
          <w:p>
            <w:pPr>
              <w:pStyle w:val="Normal"/>
              <w:spacing w:lineRule="atLeast" w:line="0"/>
              <w:jc w:val="right"/>
              <w:rPr>
                <w:rFonts w:ascii="方正仿宋_GBK" w:hAnsi="方正仿宋_GBK" w:eastAsia="方正仿宋_GBK" w:cs="方正仿宋_GBK" w:hint="eastAsia"/>
                <w:sz w:val="28"/>
                <w:szCs w:val="28"/>
              </w:rPr>
            </w:pPr>
            <w:r>
              <w:rPr>
                <w:rFonts w:ascii="方正仿宋_GBK" w:hAnsi="方正仿宋_GBK" w:cs="方正仿宋_GBK" w:hint="eastAsia" w:eastAsia="方正仿宋_GBK"/>
                <w:sz w:val="28"/>
                <w:szCs w:val="28"/>
              </w:rPr>
              <w:t>年  月  日</w:t>
            </w:r>
          </w:p>
        </w:tc>
      </w:tr>
      <w:tr>
        <w:trPr>
          <w:trHeight w:val="1451" w:hRule="atLeast"/>
          <w:cantSplit/>
        </w:trPr>
        <w:tc>
          <w:tcPr>
            <w:tcW w:w="1495" w:type="dxa"/>
            <w:gridSpan w:val="2"/>
            <w:tcBorders>
              <w:top w:val="single" w:sz="4" w:space="0" w:color="000000"/>
              <w:left w:val="single" w:sz="4" w:space="0" w:color="000000"/>
              <w:bottom w:val="single" w:sz="4" w:space="0" w:color="000000"/>
              <w:right w:val="single" w:sz="2" w:space="0" w:color="000000"/>
            </w:tcBorders>
            <w:vAlign w:val="center"/>
          </w:tcPr>
          <w:p>
            <w:pPr>
              <w:pStyle w:val="Normal"/>
              <w:spacing w:lineRule="auto" w:line="360"/>
              <w:jc w:val="center"/>
              <w:rPr>
                <w:rFonts w:ascii="方正仿宋_GBK" w:hAnsi="方正仿宋_GBK" w:eastAsia="方正仿宋_GBK" w:cs="方正仿宋_GBK" w:hint="eastAsia"/>
                <w:sz w:val="28"/>
                <w:szCs w:val="28"/>
              </w:rPr>
            </w:pPr>
            <w:r>
              <w:rPr>
                <w:rFonts w:ascii="方正黑体_GBK" w:hAnsi="方正黑体_GBK" w:cs="方正黑体_GBK" w:hint="eastAsia" w:eastAsia="方正黑体_GBK"/>
                <w:sz w:val="28"/>
                <w:szCs w:val="28"/>
              </w:rPr>
              <w:t>备注</w:t>
            </w:r>
          </w:p>
        </w:tc>
        <w:tc>
          <w:tcPr>
            <w:tcW w:w="7501" w:type="dxa"/>
            <w:gridSpan w:val="4"/>
            <w:tcBorders>
              <w:top w:val="single" w:sz="4" w:space="0" w:color="000000"/>
              <w:left w:val="single" w:sz="4" w:space="0" w:color="000000"/>
              <w:bottom w:val="single" w:sz="4" w:space="0" w:color="000000"/>
              <w:right w:val="single" w:sz="2" w:space="0" w:color="000000"/>
            </w:tcBorders>
            <w:vAlign w:val="center"/>
          </w:tcPr>
          <w:p>
            <w:pPr>
              <w:pStyle w:val="Normal"/>
              <w:spacing w:lineRule="atLeast" w:line="0"/>
              <w:jc w:val="center"/>
              <w:rPr>
                <w:rFonts w:ascii="方正仿宋_GBK" w:hAnsi="方正仿宋_GBK" w:eastAsia="方正仿宋_GBK" w:cs="方正仿宋_GBK" w:hint="eastAsia"/>
                <w:sz w:val="28"/>
                <w:szCs w:val="28"/>
              </w:rPr>
            </w:pPr>
            <w:r>
              <w:rPr>
                <w:rFonts w:ascii="方正仿宋_GBK" w:hAnsi="方正仿宋_GBK" w:cs="方正仿宋_GBK" w:hint="eastAsia" w:eastAsia="方正仿宋_GBK"/>
                <w:sz w:val="28"/>
                <w:szCs w:val="28"/>
              </w:rPr>
              <w:t>该表需提交含签字、盖章的</w:t>
            </w:r>
            <w:r>
              <w:rPr>
                <w:rFonts w:eastAsia="方正仿宋_GBK" w:cs="方正仿宋_GBK" w:hint="eastAsia" w:ascii="方正仿宋_GBK" w:hAnsi="方正仿宋_GBK"/>
                <w:sz w:val="28"/>
                <w:szCs w:val="28"/>
              </w:rPr>
              <w:t>PDF</w:t>
            </w:r>
            <w:r>
              <w:rPr>
                <w:rFonts w:ascii="方正仿宋_GBK" w:hAnsi="方正仿宋_GBK" w:cs="方正仿宋_GBK" w:hint="eastAsia" w:eastAsia="方正仿宋_GBK"/>
                <w:sz w:val="28"/>
                <w:szCs w:val="28"/>
              </w:rPr>
              <w:t>材料。</w:t>
            </w:r>
          </w:p>
        </w:tc>
      </w:tr>
    </w:tbl>
    <w:p>
      <w:pPr>
        <w:pStyle w:val="Normal"/>
        <w:rPr>
          <w:rFonts w:hint="eastAsia"/>
          <w:sz w:val="24"/>
        </w:rPr>
      </w:pPr>
      <w:r>
        <w:rPr>
          <w:rFonts w:hint="eastAsia"/>
          <w:sz w:val="24"/>
        </w:rPr>
      </w:r>
    </w:p>
    <w:sectPr>
      <w:footerReference w:type="even" ns5:id="rId3"/>
      <w:footerReference w:type="default" ns5:id="rId4"/>
      <w:footerReference w:type="first" ns5:id="rId5"/>
      <w:type w:val="nextPage"/>
      <w:pgSz w:w="11906" w:h="16838"/>
      <w:pgMar w:left="1588" w:right="1588" w:gutter="0" w:header="0" w:top="1304" w:footer="992" w:bottom="1304"/>
      <w:pgNumType w:fmt="decimal"/>
      <w:formProt w:val="false"/>
      <w:textDirection w:val="lrTb"/>
      <w:docGrid w:type="line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8618033183429" w:date="2024-03-11T20:30:00Z" w:initials="尹佳">
    <w:p>
      <w:pPr>
        <w:overflowPunct w:val="true"/>
        <w:bidi w:val="0"/>
        <w:jc w:val="left"/>
        <w:rPr/>
      </w:pPr>
      <w:r>
        <w:annotationRef/>
      </w:r>
      <w:r>
        <w:rPr>
          <w:rFonts w:eastAsia="宋体;SimSun" w:cs="Times New Roman" w:hint="eastAsia" w:ascii="Times New Roman" w:hAnsi="Times New Roman"/>
          <w:color w:val="auto"/>
          <w:kern w:val="2"/>
          <w:sz w:val="21"/>
          <w:szCs w:val="24"/>
          <w:lang w:val="en-US" w:eastAsia="en-US" w:bidi="ar-SA"/>
        </w:rPr>
        <w:t>提交文件时，请删去所有批注。</w:t>
      </w:r>
    </w:p>
  </w:comment>
  <w:comment w:id="0" w:author="李易初" w:date="2024-03-11T21:49:00Z" w:initials="李">
    <w:p>
      <w:pPr>
        <w:overflowPunct w:val="true"/>
        <w:bidi w:val="0"/>
        <w:jc w:val="left"/>
        <w:rPr/>
      </w:pPr>
      <w:r>
        <w:annotationRef/>
      </w:r>
      <w:r>
        <w:rPr>
          <w:rFonts w:eastAsia="宋体;SimSun" w:cs="Times New Roman" w:hint="eastAsia" w:ascii="Times New Roman" w:hAnsi="Times New Roman"/>
          <w:color w:val="000000"/>
          <w:kern w:val="2"/>
          <w:sz w:val="21"/>
          <w:szCs w:val="24"/>
          <w:lang w:val="en-US" w:eastAsia="en-US" w:bidi="ar-SA"/>
        </w:rPr>
        <w:t>封面格式不得随意修改</w:t>
      </w:r>
    </w:p>
  </w:comment>
  <w:comment w:id="2" w:author="李易初" w:date="2024-03-11T22:01:00Z" w:initials="李">
    <w:p>
      <w:pPr>
        <w:overflowPunct w:val="true"/>
        <w:bidi w:val="0"/>
        <w:jc w:val="left"/>
        <w:rPr/>
      </w:pPr>
      <w:r>
        <w:annotationRef/>
      </w:r>
      <w:r>
        <w:rPr>
          <w:rFonts w:eastAsia="宋体;SimSun" w:cs="Times New Roman" w:hint="eastAsia" w:ascii="Times New Roman" w:hAnsi="Times New Roman"/>
          <w:color w:val="000000"/>
          <w:kern w:val="2"/>
          <w:sz w:val="21"/>
          <w:szCs w:val="24"/>
          <w:lang w:val="en-US" w:eastAsia="en-US" w:bidi="ar-SA"/>
        </w:rPr>
        <w:t>注意封面底部的两行字不要掉到第二页</w:t>
      </w:r>
    </w:p>
  </w:comment>
  <w:comment w:id="3" w:author="李易初" w:date="2023-08-12T18:54:00Z" w:initials="李">
    <w:p>
      <w:pPr>
        <w:overflowPunct w:val="true"/>
        <w:bidi w:val="0"/>
        <w:jc w:val="left"/>
        <w:rPr/>
      </w:pPr>
      <w:r>
        <w:annotationRef/>
      </w:r>
      <w:r>
        <w:rPr>
          <w:rFonts w:eastAsia="宋体;SimSun" w:cs="Times New Roman" w:hint="eastAsia" w:ascii="Times New Roman" w:hAnsi="Times New Roman"/>
          <w:color w:val="auto"/>
          <w:kern w:val="2"/>
          <w:sz w:val="21"/>
          <w:szCs w:val="24"/>
          <w:lang w:val="en-US" w:eastAsia="en-US" w:bidi="ar-SA"/>
        </w:rPr>
        <w:t>此处由校团委填写</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方正黑体_GBK">
    <w:charset w:val="01"/>
    <w:family w:val="roman"/>
    <w:pitch w:val="variable"/>
  </w:font>
  <w:font w:name="方正小标宋简体">
    <w:charset w:val="01"/>
    <w:family w:val="roman"/>
    <w:pitch w:val="variable"/>
  </w:font>
  <w:font w:name="楷体_GB2312">
    <w:altName w:val="微软雅黑"/>
    <w:charset w:val="01"/>
    <w:family w:val="roman"/>
    <w:pitch w:val="variable"/>
  </w:font>
  <w:font w:name="方正仿宋_GBK">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31" behindDoc="1"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2" name="框架2"/>
              <a:graphic xmlns:a="http://schemas.openxmlformats.org/drawingml/2006/main">
                <a:graphicData uri="http://schemas.microsoft.com/office/word/2010/wordprocessingShape">
                  <wps:wsp>
                    <wps:cNvSpPr/>
                    <wps:spPr>
                      <a:xfrm>
                        <a:off x="0" y="0"/>
                        <a:ext cx="57960" cy="131400"/>
                      </a:xfrm>
                      <a:prstGeom prst="rect">
                        <a:avLst/>
                      </a:prstGeom>
                      <a:noFill/>
                      <a:ln w="0">
                        <a:noFill/>
                      </a:ln>
                    </wps:spPr>
                    <wps:style>
                      <a:lnRef idx="0"/>
                      <a:fillRef idx="0"/>
                      <a:effectRef idx="0"/>
                      <a:fontRef idx="minor"/>
                    </wps:style>
                    <wps:txbx>
                      <w:txbxContent>
                        <w:p>
                          <w:pPr>
                            <w:pStyle w:val="Footer"/>
                            <w:rPr>
                              <w:rStyle w:val="PageNumber"/>
                            </w:rPr>
                          </w:pPr>
                          <w:r>
                            <w:rPr/>
                            <w:fldChar w:fldCharType="begin"/>
                          </w:r>
                          <w:r>
                            <w:rPr/>
                            <w:instrText xml:space="preserve"> PAGE </w:instrText>
                          </w:r>
                          <w:r>
                            <w:rPr/>
                            <w:fldChar w:fldCharType="separate"/>
                          </w:r>
                          <w:r>
                            <w:rPr/>
                            <w:t>15</w:t>
                          </w:r>
                          <w:r>
                            <w:rPr/>
                            <w:fldChar w:fldCharType="end"/>
                          </w:r>
                        </w:p>
                      </w:txbxContent>
                    </wps:txbx>
                    <wps:bodyPr lIns="0" tIns="0" rIns="0" bIns="0" anchor="t">
                      <a:noAutofit/>
                    </wps:bodyPr>
                  </wps:wsp>
                </a:graphicData>
              </a:graphic>
            </wp:anchor>
          </w:drawing>
        </mc:Choice>
        <mc:Fallback>
          <w:pict>
            <v:rect id="shape_0" fillcolor="white" stroked="f" o:allowincell="f" style="position:absolute;margin-left:215.95pt;margin-top:0.05pt;width:4.5pt;height:10.3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fldChar w:fldCharType="begin"/>
                    </w:r>
                    <w:r>
                      <w:rPr/>
                      <w:instrText xml:space="preserve"> PAGE </w:instrText>
                    </w:r>
                    <w:r>
                      <w:rPr/>
                      <w:fldChar w:fldCharType="separate"/>
                    </w:r>
                    <w:r>
                      <w:rPr/>
                      <w:t>15</w:t>
                    </w:r>
                    <w: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31" behindDoc="1"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3" name="框架2"/>
              <a:graphic xmlns:a="http://schemas.openxmlformats.org/drawingml/2006/main">
                <a:graphicData uri="http://schemas.microsoft.com/office/word/2010/wordprocessingShape">
                  <wps:wsp>
                    <wps:cNvSpPr/>
                    <wps:spPr>
                      <a:xfrm>
                        <a:off x="0" y="0"/>
                        <a:ext cx="57960" cy="131400"/>
                      </a:xfrm>
                      <a:prstGeom prst="rect">
                        <a:avLst/>
                      </a:prstGeom>
                      <a:noFill/>
                      <a:ln w="0">
                        <a:noFill/>
                      </a:ln>
                    </wps:spPr>
                    <wps:style>
                      <a:lnRef idx="0"/>
                      <a:fillRef idx="0"/>
                      <a:effectRef idx="0"/>
                      <a:fontRef idx="minor"/>
                    </wps:style>
                    <wps:txbx>
                      <w:txbxContent>
                        <w:p>
                          <w:pPr>
                            <w:pStyle w:val="Footer"/>
                            <w:rPr>
                              <w:rStyle w:val="PageNumber"/>
                            </w:rPr>
                          </w:pPr>
                          <w:r>
                            <w:rPr/>
                            <w:fldChar w:fldCharType="begin"/>
                          </w:r>
                          <w:r>
                            <w:rPr/>
                            <w:instrText xml:space="preserve"> PAGE </w:instrText>
                          </w:r>
                          <w:r>
                            <w:rPr/>
                            <w:fldChar w:fldCharType="separate"/>
                          </w:r>
                          <w:r>
                            <w:rPr/>
                            <w:t>15</w:t>
                          </w:r>
                          <w:r>
                            <w:rPr/>
                            <w:fldChar w:fldCharType="end"/>
                          </w:r>
                        </w:p>
                      </w:txbxContent>
                    </wps:txbx>
                    <wps:bodyPr lIns="0" tIns="0" rIns="0" bIns="0" anchor="t">
                      <a:noAutofit/>
                    </wps:bodyPr>
                  </wps:wsp>
                </a:graphicData>
              </a:graphic>
            </wp:anchor>
          </w:drawing>
        </mc:Choice>
        <mc:Fallback>
          <w:pict>
            <v:rect id="shape_0" fillcolor="white" stroked="f" o:allowincell="f" style="position:absolute;margin-left:215.95pt;margin-top:0.05pt;width:4.5pt;height:10.3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fldChar w:fldCharType="begin"/>
                    </w:r>
                    <w:r>
                      <w:rPr/>
                      <w:instrText xml:space="preserve"> PAGE </w:instrText>
                    </w:r>
                    <w:r>
                      <w:rPr/>
                      <w:fldChar w:fldCharType="separate"/>
                    </w:r>
                    <w:r>
                      <w:rPr/>
                      <w:t>15</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思源宋体 CN"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both"/>
    </w:pPr>
    <w:rPr>
      <w:rFonts w:ascii="Times New Roman" w:hAnsi="Times New Roman" w:eastAsia="宋体;SimSun" w:cs="Times New Roman"/>
      <w:color w:val="auto"/>
      <w:kern w:val="2"/>
      <w:sz w:val="21"/>
      <w:szCs w:val="24"/>
      <w:lang w:val="en-US" w:eastAsia="zh-CN" w:bidi="ar-SA"/>
    </w:rPr>
  </w:style>
  <w:style w:type="character" w:styleId="Style14">
    <w:name w:val="默认段落字体"/>
    <w:qFormat/>
    <w:rPr>
      <w:rFonts w:ascii="Times New Roman" w:hAnsi="Times New Roman" w:eastAsia="宋体;SimSun" w:cs="Times New Roman"/>
    </w:rPr>
  </w:style>
  <w:style w:type="character" w:styleId="Style15">
    <w:name w:val="批注文字 字符"/>
    <w:qFormat/>
    <w:rPr>
      <w:rFonts w:ascii="Times New Roman" w:hAnsi="Times New Roman" w:eastAsia="宋体;SimSun" w:cs="Times New Roman"/>
      <w:kern w:val="2"/>
      <w:sz w:val="21"/>
      <w:szCs w:val="24"/>
    </w:rPr>
  </w:style>
  <w:style w:type="character" w:styleId="Style16">
    <w:name w:val="页眉 字符"/>
    <w:qFormat/>
    <w:rPr>
      <w:rFonts w:ascii="Times New Roman" w:hAnsi="Times New Roman" w:eastAsia="宋体;SimSun" w:cs="Times New Roman"/>
      <w:kern w:val="2"/>
      <w:sz w:val="18"/>
      <w:szCs w:val="18"/>
    </w:rPr>
  </w:style>
  <w:style w:type="character" w:styleId="PageNumber">
    <w:name w:val="page number"/>
    <w:rPr>
      <w:rFonts w:ascii="Times New Roman" w:hAnsi="Times New Roman" w:eastAsia="宋体;SimSun" w:cs="Times New Roman"/>
    </w:rPr>
  </w:style>
  <w:style w:type="character" w:styleId="Style17">
    <w:name w:val="批注引用"/>
    <w:qFormat/>
    <w:rPr>
      <w:rFonts w:ascii="Times New Roman" w:hAnsi="Times New Roman" w:eastAsia="宋体;SimSun" w:cs="Times New Roman"/>
      <w:sz w:val="21"/>
      <w:szCs w:val="21"/>
    </w:rPr>
  </w:style>
  <w:style w:type="paragraph" w:styleId="Style18">
    <w:name w:val="标题样式"/>
    <w:basedOn w:val="Normal"/>
    <w:next w:val="BodyText"/>
    <w:qFormat/>
    <w:pPr>
      <w:keepNext w:val="true"/>
      <w:spacing w:before="240" w:after="120"/>
    </w:pPr>
    <w:rPr>
      <w:rFonts w:ascii="Liberation Sans" w:hAnsi="Liberation Sans" w:eastAsia="思源黑体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9">
    <w:name w:val="索引"/>
    <w:basedOn w:val="Normal"/>
    <w:qFormat/>
    <w:pPr>
      <w:suppressLineNumbers/>
    </w:pPr>
    <w:rPr>
      <w:rFonts w:cs="Noto Sans Devanagari"/>
    </w:rPr>
  </w:style>
  <w:style w:type="paragraph" w:styleId="user">
    <w:name w:val="标题样式 (user)"/>
    <w:basedOn w:val="Normal"/>
    <w:next w:val="BodyText"/>
    <w:qFormat/>
    <w:pPr>
      <w:keepNext w:val="true"/>
      <w:spacing w:before="240" w:after="120"/>
    </w:pPr>
    <w:rPr>
      <w:rFonts w:ascii="Liberation Sans" w:hAnsi="Liberation Sans" w:eastAsia="思源黑体 CN" w:cs="Noto Sans Devanagari"/>
      <w:sz w:val="28"/>
      <w:szCs w:val="28"/>
    </w:rPr>
  </w:style>
  <w:style w:type="paragraph" w:styleId="user1">
    <w:name w:val="索引 (user)"/>
    <w:basedOn w:val="Normal"/>
    <w:qFormat/>
    <w:pPr>
      <w:suppressLineNumbers/>
    </w:pPr>
    <w:rPr>
      <w:rFonts w:cs="Noto Sans Devanagari"/>
    </w:rPr>
  </w:style>
  <w:style w:type="paragraph" w:styleId="Style20">
    <w:name w:val="批注文字"/>
    <w:basedOn w:val="Normal"/>
    <w:qFormat/>
    <w:pPr>
      <w:jc w:val="left"/>
    </w:pPr>
    <w:rPr>
      <w:rFonts w:ascii="Times New Roman" w:hAnsi="Times New Roman" w:eastAsia="宋体;SimSun" w:cs="Times New Roman"/>
    </w:rPr>
  </w:style>
  <w:style w:type="paragraph" w:styleId="Style21">
    <w:name w:val="批注框文本"/>
    <w:basedOn w:val="Normal"/>
    <w:qFormat/>
    <w:pPr/>
    <w:rPr>
      <w:rFonts w:ascii="Times New Roman" w:hAnsi="Times New Roman" w:eastAsia="宋体;SimSun" w:cs="Times New Roman"/>
      <w:sz w:val="18"/>
      <w:szCs w:val="18"/>
    </w:rPr>
  </w:style>
  <w:style w:type="paragraph" w:styleId="user2">
    <w:name w:val="页眉与页脚 (user)"/>
    <w:basedOn w:val="Normal"/>
    <w:qFormat/>
    <w:pPr>
      <w:suppressLineNumbers/>
      <w:tabs>
        <w:tab w:val="clear" w:pos="420"/>
        <w:tab w:val="center" w:pos="4819" w:leader="none"/>
        <w:tab w:val="right" w:pos="9638" w:leader="none"/>
      </w:tabs>
    </w:pPr>
    <w:rPr/>
  </w:style>
  <w:style w:type="paragraph" w:styleId="Style22">
    <w:name w:val="页眉与页脚"/>
    <w:basedOn w:val="Normal"/>
    <w:qFormat/>
    <w:pPr/>
    <w:rPr/>
  </w:style>
  <w:style w:type="paragraph" w:styleId="Footer">
    <w:name w:val="footer"/>
    <w:basedOn w:val="Normal"/>
    <w:pPr>
      <w:tabs>
        <w:tab w:val="clear" w:pos="420"/>
        <w:tab w:val="center" w:pos="4153" w:leader="none"/>
        <w:tab w:val="right" w:pos="8306" w:leader="none"/>
      </w:tabs>
      <w:snapToGrid w:val="false"/>
      <w:jc w:val="left"/>
    </w:pPr>
    <w:rPr>
      <w:rFonts w:ascii="Times New Roman" w:hAnsi="Times New Roman" w:eastAsia="宋体;SimSun"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SimSun" w:cs="Times New Roman"/>
      <w:sz w:val="18"/>
      <w:szCs w:val="18"/>
    </w:rPr>
  </w:style>
  <w:style w:type="paragraph" w:styleId="Style23">
    <w:name w:val="批注主题"/>
    <w:basedOn w:val="Style20"/>
    <w:next w:val="Style20"/>
    <w:qFormat/>
    <w:pPr/>
    <w:rPr>
      <w:rFonts w:ascii="Times New Roman" w:hAnsi="Times New Roman" w:eastAsia="宋体;SimSun" w:cs="Times New Roman"/>
      <w:b/>
      <w:bCs/>
    </w:rPr>
  </w:style>
  <w:style w:type="paragraph" w:styleId="user3">
    <w:name w:val="框架内容 (user)"/>
    <w:basedOn w:val="Normal"/>
    <w:qFormat/>
    <w:pPr/>
    <w:rPr/>
  </w:style>
  <w:style w:type="paragraph" w:styleId="user4">
    <w:name w:val="表格内容 (user)"/>
    <w:basedOn w:val="Normal"/>
    <w:qFormat/>
    <w:pPr>
      <w:widowControl w:val="false"/>
      <w:suppressLineNumbers/>
    </w:pPr>
    <w:rPr/>
  </w:style>
  <w:style w:type="paragraph" w:styleId="user5">
    <w:name w:val="表格标题 (user)"/>
    <w:basedOn w:val="user4"/>
    <w:qFormat/>
    <w:pPr>
      <w:suppressLineNumbers/>
      <w:jc w:val="center"/>
    </w:pPr>
    <w:rPr>
      <w:b/>
      <w:bCs/>
    </w:rPr>
  </w:style>
  <w:style w:type="paragraph" w:styleId="Style24">
    <w:name w:val="框架内容"/>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LibreOffice/26.2.3.2$Linux_X86_64 LibreOffice_project/a31940f583db492bb69b3a601caf6d1b0ecf61f1</Application>
  <AppVersion>15.0000</AppVersion>
  <Pages>15</Pages>
  <Words>4798</Words>
  <Characters>5633</Characters>
  <CharactersWithSpaces>6002</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2025-04-09T20:37:00Z</dcterms:created>
  <dc:creator>jojo</dc:creator>
  <dc:description/>
  <dc:language>zh-CN</dc:language>
  <cp:lastModifiedBy/>
  <dcterms:modified xsi:type="dcterms:W3CDTF">2026-05-10T09:34:46Z</dcterms:modified>
  <cp:revision>10</cp:revision>
  <dc:subject/>
  <dc:title>附件四：</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54AB8311A962403A6D56CA691C1D55B8_43</vt:lpwstr>
  </property>
  <property fmtid="{D5CDD505-2E9C-101B-9397-08002B2CF9AE}" pid="3" name="KSOProductBuildVer">
    <vt:lpwstr>2052-12.1.23135.23135</vt:lpwstr>
  </property>
  <property fmtid="{D5CDD505-2E9C-101B-9397-08002B2CF9AE}" pid="4" name="KSOTemplateDocerSaveRecord">
    <vt:lpwstr>eyJoZGlkIjoiY2I0Y2U5N2NlZjM1ZTFkMWViNzYwM2YxMzU4MGY0ZTMiLCJ1c2VySWQiOiIyNTYwNjA2MzQifQ==</vt:lpwstr>
  </property>
</Properties>
</file>