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r w:rsidR="009C569A">
        <w:t>ptc/2012-12-</w:t>
      </w:r>
      <w:del w:id="0" w:author="Sumant Tambe" w:date="2012-12-04T14:45:00Z">
        <w:r w:rsidR="009C569A" w:rsidDel="009F60E5">
          <w:delText>06</w:delText>
        </w:r>
      </w:del>
      <w:ins w:id="1" w:author="Sumant Tambe" w:date="2012-12-04T14:45:00Z">
        <w:r w:rsidR="009F60E5">
          <w:t>xx</w:t>
        </w:r>
      </w:ins>
      <w:bookmarkStart w:id="2" w:name="_GoBack"/>
      <w:bookmarkEnd w:id="2"/>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F55534">
        <w:t>ptc/2012-12-01</w:t>
      </w:r>
    </w:p>
    <w:p w:rsidR="00096DA3" w:rsidRDefault="00096DA3" w:rsidP="00096DA3">
      <w:pPr>
        <w:pStyle w:val="Inventory"/>
      </w:pPr>
      <w:r>
        <w:t>Revised specification (change-bar):</w:t>
      </w:r>
      <w:r>
        <w:tab/>
      </w:r>
      <w:r w:rsidR="00F55534">
        <w:t>ptc/2012-12-02</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BE5AC5">
        <w:t>ptc/2012-12-03</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r w:rsidR="00BE5AC5">
        <w:t>ptc/2012-12-04</w:t>
      </w:r>
      <w:r w:rsidR="00096DA3" w:rsidRPr="009B039F">
        <w:tab/>
        <w:t>Normative</w:t>
      </w:r>
    </w:p>
    <w:p w:rsidR="00096DA3" w:rsidRPr="00DB5F86" w:rsidRDefault="00735CD8">
      <w:pPr>
        <w:pStyle w:val="BodyText"/>
        <w:rPr>
          <w:b/>
        </w:rPr>
      </w:pPr>
      <w:r w:rsidRPr="00DB5F86">
        <w:rPr>
          <w:b/>
        </w:rPr>
        <w:t>Inventory:</w:t>
      </w:r>
      <w:r w:rsidRPr="00DB5F86">
        <w:rPr>
          <w:b/>
        </w:rPr>
        <w:tab/>
      </w:r>
      <w:r w:rsidRPr="00DB5F86">
        <w:rPr>
          <w:b/>
        </w:rPr>
        <w:tab/>
      </w:r>
      <w:r w:rsidRPr="00DB5F86">
        <w:rPr>
          <w:b/>
        </w:rPr>
        <w:tab/>
      </w:r>
      <w:r w:rsidRPr="00DB5F86">
        <w:rPr>
          <w:b/>
        </w:rPr>
        <w:tab/>
      </w:r>
      <w:r w:rsidRPr="00DB5F86">
        <w:rPr>
          <w:b/>
        </w:rPr>
        <w:tab/>
        <w:t>ptc/2012-12-05</w:t>
      </w:r>
      <w:r w:rsidRPr="00DB5F86">
        <w:rPr>
          <w:b/>
        </w:rPr>
        <w:tab/>
        <w:t>Non-normative</w:t>
      </w: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3" w:name="TOC"/>
      <w:bookmarkEnd w:id="3"/>
      <w:r>
        <w:lastRenderedPageBreak/>
        <w:t>Table of Contents</w:t>
      </w:r>
    </w:p>
    <w:p w:rsidR="00770814"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770814">
        <w:t>Summary of DDS-PSM-Java FTF Activities</w:t>
      </w:r>
      <w:r w:rsidR="00770814">
        <w:tab/>
      </w:r>
      <w:r w:rsidR="00770814">
        <w:fldChar w:fldCharType="begin"/>
      </w:r>
      <w:r w:rsidR="00770814">
        <w:instrText xml:space="preserve"> PAGEREF _Toc342394592 \h </w:instrText>
      </w:r>
      <w:r w:rsidR="00770814">
        <w:fldChar w:fldCharType="separate"/>
      </w:r>
      <w:r w:rsidR="00770814">
        <w:t>1</w:t>
      </w:r>
      <w:r w:rsidR="00770814">
        <w:fldChar w:fldCharType="end"/>
      </w:r>
    </w:p>
    <w:p w:rsidR="00770814" w:rsidRDefault="00770814">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_Toc342394593 \h </w:instrText>
      </w:r>
      <w:r>
        <w:fldChar w:fldCharType="separate"/>
      </w:r>
      <w:r>
        <w:t>1</w:t>
      </w:r>
      <w:r>
        <w:fldChar w:fldCharType="end"/>
      </w:r>
    </w:p>
    <w:p w:rsidR="00770814" w:rsidRDefault="00770814">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_Toc342394594 \h </w:instrText>
      </w:r>
      <w:r>
        <w:fldChar w:fldCharType="separate"/>
      </w:r>
      <w:r>
        <w:t>1</w:t>
      </w:r>
      <w:r>
        <w:fldChar w:fldCharType="end"/>
      </w:r>
    </w:p>
    <w:p w:rsidR="00770814" w:rsidRDefault="00770814">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_Toc342394595 \h </w:instrText>
      </w:r>
      <w:r>
        <w:fldChar w:fldCharType="separate"/>
      </w:r>
      <w:r>
        <w:t>1</w:t>
      </w:r>
      <w:r>
        <w:fldChar w:fldCharType="end"/>
      </w:r>
    </w:p>
    <w:p w:rsidR="00770814" w:rsidRDefault="00770814">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_Toc342394596 \h </w:instrText>
      </w:r>
      <w:r>
        <w:fldChar w:fldCharType="separate"/>
      </w:r>
      <w:r>
        <w:t>3</w:t>
      </w:r>
      <w:r>
        <w:fldChar w:fldCharType="end"/>
      </w:r>
    </w:p>
    <w:p w:rsidR="00770814" w:rsidRDefault="00770814">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_Toc342394597 \h </w:instrText>
      </w:r>
      <w:r>
        <w:fldChar w:fldCharType="separate"/>
      </w:r>
      <w:r>
        <w:t>4</w:t>
      </w:r>
      <w:r>
        <w:fldChar w:fldCharType="end"/>
      </w:r>
    </w:p>
    <w:p w:rsidR="00770814" w:rsidRDefault="00770814">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_Toc342394598 \h </w:instrText>
      </w:r>
      <w:r>
        <w:fldChar w:fldCharType="separate"/>
      </w:r>
      <w:r>
        <w:t>5</w:t>
      </w:r>
      <w:r>
        <w:fldChar w:fldCharType="end"/>
      </w:r>
    </w:p>
    <w:p w:rsidR="00770814" w:rsidRDefault="00770814">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_Toc342394599 \h </w:instrText>
      </w:r>
      <w:r>
        <w:fldChar w:fldCharType="separate"/>
      </w:r>
      <w:r>
        <w:t>6</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_Toc342394600 \h </w:instrText>
      </w:r>
      <w:r>
        <w:fldChar w:fldCharType="separate"/>
      </w:r>
      <w:r>
        <w:t>6</w:t>
      </w:r>
      <w:r>
        <w:fldChar w:fldCharType="end"/>
      </w:r>
    </w:p>
    <w:p w:rsidR="00770814" w:rsidRDefault="00770814">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_Toc342394601 \h </w:instrText>
      </w:r>
      <w:r>
        <w:fldChar w:fldCharType="separate"/>
      </w:r>
      <w:r>
        <w:t>7</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_Toc342394602 \h </w:instrText>
      </w:r>
      <w:r>
        <w:fldChar w:fldCharType="separate"/>
      </w:r>
      <w:r>
        <w:t>7</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_Toc342394603 \h </w:instrText>
      </w:r>
      <w:r>
        <w:fldChar w:fldCharType="separate"/>
      </w:r>
      <w:r>
        <w:t>8</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_Toc342394604 \h </w:instrText>
      </w:r>
      <w:r>
        <w:fldChar w:fldCharType="separate"/>
      </w:r>
      <w:r>
        <w:t>8</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_Toc342394605 \h </w:instrText>
      </w:r>
      <w:r>
        <w:fldChar w:fldCharType="separate"/>
      </w:r>
      <w:r>
        <w:t>10</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_Toc342394606 \h </w:instrText>
      </w:r>
      <w:r>
        <w:fldChar w:fldCharType="separate"/>
      </w:r>
      <w:r>
        <w:t>10</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_Toc342394607 \h </w:instrText>
      </w:r>
      <w:r>
        <w:fldChar w:fldCharType="separate"/>
      </w:r>
      <w:r>
        <w:t>12</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_Toc342394608 \h </w:instrText>
      </w:r>
      <w:r>
        <w:fldChar w:fldCharType="separate"/>
      </w:r>
      <w:r>
        <w:t>12</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_Toc342394609 \h </w:instrText>
      </w:r>
      <w:r>
        <w:fldChar w:fldCharType="separate"/>
      </w:r>
      <w:r>
        <w:t>13</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_Toc342394610 \h </w:instrText>
      </w:r>
      <w:r>
        <w:fldChar w:fldCharType="separate"/>
      </w:r>
      <w:r>
        <w:t>13</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_Toc342394611 \h </w:instrText>
      </w:r>
      <w:r>
        <w:fldChar w:fldCharType="separate"/>
      </w:r>
      <w:r>
        <w:t>15</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_Toc342394612 \h </w:instrText>
      </w:r>
      <w:r>
        <w:fldChar w:fldCharType="separate"/>
      </w:r>
      <w:r>
        <w:t>15</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_Toc342394613 \h </w:instrText>
      </w:r>
      <w:r>
        <w:fldChar w:fldCharType="separate"/>
      </w:r>
      <w:r>
        <w:t>16</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_Toc342394614 \h </w:instrText>
      </w:r>
      <w:r>
        <w:fldChar w:fldCharType="separate"/>
      </w:r>
      <w:r>
        <w:t>16</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_Toc342394615 \h </w:instrText>
      </w:r>
      <w:r>
        <w:fldChar w:fldCharType="separate"/>
      </w:r>
      <w:r>
        <w:t>18</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_Toc342394616 \h </w:instrText>
      </w:r>
      <w:r>
        <w:fldChar w:fldCharType="separate"/>
      </w:r>
      <w:r>
        <w:t>18</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_Toc342394617 \h </w:instrText>
      </w:r>
      <w:r>
        <w:fldChar w:fldCharType="separate"/>
      </w:r>
      <w:r>
        <w:t>19</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_Toc342394618 \h </w:instrText>
      </w:r>
      <w:r>
        <w:fldChar w:fldCharType="separate"/>
      </w:r>
      <w:r>
        <w:t>19</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_Toc342394619 \h </w:instrText>
      </w:r>
      <w:r>
        <w:fldChar w:fldCharType="separate"/>
      </w:r>
      <w:r>
        <w:t>20</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_Toc342394620 \h </w:instrText>
      </w:r>
      <w:r>
        <w:fldChar w:fldCharType="separate"/>
      </w:r>
      <w:r>
        <w:t>21</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_Toc342394621 \h </w:instrText>
      </w:r>
      <w:r>
        <w:fldChar w:fldCharType="separate"/>
      </w:r>
      <w:r>
        <w:t>21</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_Toc342394622 \h </w:instrText>
      </w:r>
      <w:r>
        <w:fldChar w:fldCharType="separate"/>
      </w:r>
      <w:r>
        <w:t>22</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_Toc342394623 \h </w:instrText>
      </w:r>
      <w:r>
        <w:fldChar w:fldCharType="separate"/>
      </w:r>
      <w:r>
        <w:t>22</w:t>
      </w:r>
      <w:r>
        <w:fldChar w:fldCharType="end"/>
      </w:r>
    </w:p>
    <w:p w:rsidR="00770814" w:rsidRDefault="00770814">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_Toc342394624 \h </w:instrText>
      </w:r>
      <w:r>
        <w:fldChar w:fldCharType="separate"/>
      </w:r>
      <w:r>
        <w:t>23</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_Toc342394625 \h </w:instrText>
      </w:r>
      <w:r>
        <w:fldChar w:fldCharType="separate"/>
      </w:r>
      <w:r>
        <w:t>23</w:t>
      </w:r>
      <w:r>
        <w:fldChar w:fldCharType="end"/>
      </w:r>
    </w:p>
    <w:p w:rsidR="00770814" w:rsidRDefault="00770814">
      <w:pPr>
        <w:pStyle w:val="TOC1"/>
        <w:rPr>
          <w:rFonts w:asciiTheme="minorHAnsi" w:eastAsiaTheme="minorEastAsia" w:hAnsiTheme="minorHAnsi" w:cstheme="minorBidi"/>
          <w:b w:val="0"/>
          <w:snapToGrid/>
          <w:sz w:val="22"/>
          <w:szCs w:val="22"/>
        </w:rPr>
      </w:pPr>
      <w:r>
        <w:t xml:space="preserve">Disposition: </w:t>
      </w:r>
      <w:r w:rsidRPr="00C07C51">
        <w:rPr>
          <w:b w:val="0"/>
        </w:rPr>
        <w:t>Resolved</w:t>
      </w:r>
      <w:r>
        <w:tab/>
      </w:r>
      <w:r>
        <w:fldChar w:fldCharType="begin"/>
      </w:r>
      <w:r>
        <w:instrText xml:space="preserve"> PAGEREF _Toc342394626 \h </w:instrText>
      </w:r>
      <w:r>
        <w:fldChar w:fldCharType="separate"/>
      </w:r>
      <w:r>
        <w:t>24</w:t>
      </w:r>
      <w:r>
        <w:fldChar w:fldCharType="end"/>
      </w:r>
    </w:p>
    <w:p w:rsidR="00770814" w:rsidRDefault="00770814">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_Toc342394627 \h </w:instrText>
      </w:r>
      <w:r>
        <w:fldChar w:fldCharType="separate"/>
      </w:r>
      <w:r>
        <w:t>25</w:t>
      </w:r>
      <w:r>
        <w:fldChar w:fldCharType="end"/>
      </w:r>
    </w:p>
    <w:p w:rsidR="00770814" w:rsidRDefault="00770814">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_Toc342394628 \h </w:instrText>
      </w:r>
      <w:r>
        <w:fldChar w:fldCharType="separate"/>
      </w:r>
      <w:r>
        <w:t>26</w:t>
      </w:r>
      <w:r>
        <w:fldChar w:fldCharType="end"/>
      </w:r>
    </w:p>
    <w:p w:rsidR="00770814" w:rsidRDefault="00770814">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_Toc342394629 \h </w:instrText>
      </w:r>
      <w:r>
        <w:fldChar w:fldCharType="separate"/>
      </w:r>
      <w:r>
        <w:t>27</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4" w:name="_Toc342394592"/>
      <w:r w:rsidRPr="006E31A1">
        <w:lastRenderedPageBreak/>
        <w:t xml:space="preserve">Summary of </w:t>
      </w:r>
      <w:r w:rsidR="005B5728">
        <w:t>DDS-PSM-Java</w:t>
      </w:r>
      <w:r w:rsidRPr="006E31A1">
        <w:t xml:space="preserve"> FTF </w:t>
      </w:r>
      <w:r w:rsidRPr="00B2342F">
        <w:t>Activities</w:t>
      </w:r>
      <w:bookmarkEnd w:id="4"/>
    </w:p>
    <w:p w:rsidR="00096DA3" w:rsidRPr="00B2342F" w:rsidRDefault="00096DA3" w:rsidP="00096DA3">
      <w:pPr>
        <w:pStyle w:val="Heading2"/>
      </w:pPr>
      <w:bookmarkStart w:id="5" w:name="_Toc342394593"/>
      <w:r w:rsidRPr="006E31A1">
        <w:t>Formation</w:t>
      </w:r>
      <w:bookmarkEnd w:id="5"/>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6" w:name="_Toc342394594"/>
      <w:r w:rsidRPr="006E31A1">
        <w:t>Revision / Finalization Task Force Membership</w:t>
      </w:r>
      <w:bookmarkEnd w:id="6"/>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7" w:name="_Toc342394595"/>
      <w:r>
        <w:t>Issue Disposition:</w:t>
      </w:r>
      <w:bookmarkEnd w:id="7"/>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2936A4" w:rsidP="000D2CC3">
            <w:pPr>
              <w:pStyle w:val="BodyText"/>
              <w:jc w:val="center"/>
            </w:pPr>
            <w:r>
              <w:t>13</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2936A4" w:rsidP="000D2CC3">
            <w:pPr>
              <w:pStyle w:val="BodyText"/>
              <w:jc w:val="center"/>
            </w:pPr>
            <w:r>
              <w:t>1</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8" w:name="_Toc342394596"/>
      <w:r>
        <w:lastRenderedPageBreak/>
        <w:t>Voting Record:</w:t>
      </w:r>
      <w:bookmarkEnd w:id="8"/>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Angelo Corsaro</w:t>
            </w:r>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Virginie Watine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9" w:name="_Toc342394597"/>
      <w:r w:rsidR="00096DA3" w:rsidRPr="00997DE4">
        <w:lastRenderedPageBreak/>
        <w:t>Summary of Changes Made</w:t>
      </w:r>
      <w:bookmarkEnd w:id="9"/>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10" w:name="IssueBegin"/>
      <w:bookmarkEnd w:id="10"/>
    </w:p>
    <w:p w:rsidR="00096DA3" w:rsidRDefault="00096DA3" w:rsidP="00096DA3">
      <w:pPr>
        <w:pStyle w:val="DispositionHeader"/>
      </w:pPr>
      <w:bookmarkStart w:id="11" w:name="_Toc342394598"/>
      <w:r>
        <w:lastRenderedPageBreak/>
        <w:t>Disposition: Resolved</w:t>
      </w:r>
      <w:bookmarkEnd w:id="11"/>
    </w:p>
    <w:p w:rsidR="00F14C5C" w:rsidRDefault="00F14C5C" w:rsidP="00F14C5C">
      <w:pPr>
        <w:pStyle w:val="OMGIssueNO"/>
      </w:pPr>
      <w:bookmarkStart w:id="12" w:name="_Toc342394599"/>
      <w:bookmarkStart w:id="13" w:name="_Toc30934246"/>
      <w:r>
        <w:lastRenderedPageBreak/>
        <w:t xml:space="preserve">OMG Issue No: </w:t>
      </w:r>
      <w:r w:rsidRPr="001070B8">
        <w:t>1</w:t>
      </w:r>
      <w:r>
        <w:t>5966</w:t>
      </w:r>
      <w:bookmarkEnd w:id="12"/>
      <w:r w:rsidRPr="001070B8">
        <w:t xml:space="preserve"> </w:t>
      </w:r>
    </w:p>
    <w:p w:rsidR="00F14C5C" w:rsidRDefault="00F14C5C" w:rsidP="00F14C5C">
      <w:pPr>
        <w:pStyle w:val="OMGTitle"/>
      </w:pPr>
      <w:bookmarkStart w:id="14" w:name="_Toc342394600"/>
      <w:r w:rsidRPr="00FB1A1D">
        <w:t>Title</w:t>
      </w:r>
      <w:r>
        <w:t>:</w:t>
      </w:r>
      <w:r>
        <w:tab/>
      </w:r>
      <w:r w:rsidRPr="00BE4FA6">
        <w:t>XML-Based QoS Policy Settings</w:t>
      </w:r>
      <w:bookmarkEnd w:id="14"/>
    </w:p>
    <w:p w:rsidR="00F14C5C" w:rsidRDefault="00F14C5C" w:rsidP="00F14C5C">
      <w:pPr>
        <w:pStyle w:val="OMGSource"/>
      </w:pPr>
      <w:r w:rsidRPr="00FB1A1D">
        <w:t>Source</w:t>
      </w:r>
      <w:r>
        <w:t>:</w:t>
      </w:r>
    </w:p>
    <w:p w:rsidR="00F14C5C" w:rsidRDefault="00F14C5C" w:rsidP="00F14C5C">
      <w:pPr>
        <w:pStyle w:val="BodyText"/>
      </w:pPr>
      <w:r w:rsidRPr="000150B7">
        <w:t>PrismTech (Dr. Angelo Corsaro, PhD., angelo.corsaro(at)prismtech.com)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The newly introduced XML Based Policy configuration adds new methods in the core DDS entities that allow to fetch QoS from XML filers. This solution is not ideal since if generalized, e.g. QoS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The suggestion is to remove the added methods from the core API and  use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r w:rsidRPr="000150B7">
        <w:rPr>
          <w:rFonts w:ascii="Courier New" w:hAnsi="Courier New" w:cs="Courier New"/>
          <w:sz w:val="22"/>
        </w:rPr>
        <w:t>PolicyBuilder  builder = PolicyBuilder::load("XMLBuilder");</w:t>
      </w:r>
    </w:p>
    <w:p w:rsidR="00F14C5C" w:rsidRDefault="00F14C5C" w:rsidP="00F14C5C">
      <w:pPr>
        <w:pStyle w:val="BodyText"/>
      </w:pPr>
      <w:r w:rsidRPr="000150B7">
        <w:rPr>
          <w:rFonts w:ascii="Courier New" w:hAnsi="Courier New" w:cs="Courier New"/>
          <w:sz w:val="22"/>
        </w:rPr>
        <w:t>TopicQos tqos = builder.topic_qos(file_name, profile_name);</w:t>
      </w:r>
    </w:p>
    <w:p w:rsidR="00F14C5C" w:rsidRDefault="00F14C5C" w:rsidP="00F14C5C">
      <w:pPr>
        <w:pStyle w:val="BodyText"/>
      </w:pPr>
      <w:r>
        <w:t>Notice that the suggested approach allows to easily extend the supported format for QoS representation w/o any impact on the core DDS API and overall facilitate the support for multiple approaches.</w:t>
      </w:r>
    </w:p>
    <w:p w:rsidR="00F14C5C" w:rsidRDefault="00F14C5C" w:rsidP="00F14C5C">
      <w:pPr>
        <w:pStyle w:val="OMGRevisedText"/>
      </w:pPr>
      <w:r w:rsidRPr="00081DCC">
        <w:t>Revised Text:</w:t>
      </w:r>
    </w:p>
    <w:p w:rsidR="005228DD" w:rsidRDefault="00F14C5C" w:rsidP="00F14C5C">
      <w:pPr>
        <w:pStyle w:val="BodyText"/>
      </w:pPr>
      <w:r>
        <w:t xml:space="preserve">A </w:t>
      </w:r>
      <w:r w:rsidRPr="00BD7F3C">
        <w:rPr>
          <w:rFonts w:ascii="Courier New" w:hAnsi="Courier New" w:cs="Courier New"/>
        </w:rPr>
        <w:t>QoSProvider</w:t>
      </w:r>
      <w:r>
        <w:rPr>
          <w:rFonts w:ascii="Courier New" w:hAnsi="Courier New" w:cs="Courier New"/>
        </w:rPr>
        <w:t xml:space="preserve"> </w:t>
      </w:r>
      <w:r>
        <w:t xml:space="preserve">interface has been added. </w:t>
      </w:r>
      <w:r w:rsidR="008105C9">
        <w:t xml:space="preserve">Please see </w:t>
      </w:r>
      <w:r w:rsidR="002936A4">
        <w:t xml:space="preserve">section 7.2.5.3 in the specification. </w:t>
      </w:r>
      <w:r w:rsidR="001E4C53">
        <w:t>T</w:t>
      </w:r>
      <w:r w:rsidR="001E4C53" w:rsidRPr="001E4C53">
        <w:t xml:space="preserve">he QosProvider interface allows Entity’s Qos to be obtained from the names of QoS library and profile. The Qos library source is provided as a uniform resource identifier (URI). Conforming implementation must support “file://” prefix. For instance, “file:///path/to/qos/library”. </w:t>
      </w:r>
    </w:p>
    <w:p w:rsidR="00F14C5C" w:rsidRDefault="00F14C5C" w:rsidP="00F14C5C">
      <w:pPr>
        <w:pStyle w:val="BodyText"/>
      </w:pPr>
      <w:r>
        <w:t xml:space="preserve">An instance of </w:t>
      </w:r>
      <w:r w:rsidRPr="0023038F">
        <w:rPr>
          <w:rFonts w:ascii="Courier New" w:hAnsi="Courier New" w:cs="Courier New"/>
        </w:rPr>
        <w:t>QosProvider</w:t>
      </w:r>
      <w:r>
        <w:t xml:space="preserve"> is obtained from the </w:t>
      </w:r>
      <w:r w:rsidRPr="0023038F">
        <w:rPr>
          <w:rFonts w:ascii="Courier New" w:hAnsi="Courier New" w:cs="Courier New"/>
        </w:rPr>
        <w:t>ServiceEnvironment</w:t>
      </w:r>
      <w:r>
        <w:t>. For example,</w:t>
      </w:r>
    </w:p>
    <w:p w:rsidR="00F14C5C" w:rsidRPr="00386170" w:rsidRDefault="00F14C5C" w:rsidP="00F14C5C">
      <w:pPr>
        <w:pStyle w:val="BodyText"/>
        <w:rPr>
          <w:rFonts w:ascii="Courier New" w:hAnsi="Courier New" w:cs="Courier New"/>
        </w:rPr>
      </w:pPr>
      <w:r>
        <w:rPr>
          <w:rFonts w:ascii="Courier New" w:hAnsi="Courier New" w:cs="Courier New"/>
        </w:rPr>
        <w:t>serviceEnv.</w:t>
      </w:r>
      <w:r w:rsidRPr="0023038F">
        <w:rPr>
          <w:rFonts w:ascii="Courier New" w:hAnsi="Courier New" w:cs="Courier New"/>
        </w:rPr>
        <w:t>newQosProvider(String uri, String profile);</w:t>
      </w:r>
    </w:p>
    <w:p w:rsidR="00F14C5C" w:rsidRDefault="00F14C5C">
      <w:pPr>
        <w:pStyle w:val="BodyText"/>
      </w:pPr>
      <w:r>
        <w:t xml:space="preserve">uri specifies the protocol and source of the qos library.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15" w:name="_Toc342394601"/>
      <w:r w:rsidRPr="002C1E39">
        <w:lastRenderedPageBreak/>
        <w:t xml:space="preserve">OMG Issue No: </w:t>
      </w:r>
      <w:r>
        <w:t>15968</w:t>
      </w:r>
      <w:bookmarkEnd w:id="15"/>
    </w:p>
    <w:p w:rsidR="00252930" w:rsidRDefault="00252930" w:rsidP="00252930">
      <w:pPr>
        <w:pStyle w:val="OMGTitle"/>
      </w:pPr>
      <w:bookmarkStart w:id="16" w:name="_Toc342394602"/>
      <w:r w:rsidRPr="00FB1A1D">
        <w:t>Title</w:t>
      </w:r>
      <w:r>
        <w:t>:</w:t>
      </w:r>
      <w:r>
        <w:tab/>
      </w:r>
      <w:r w:rsidRPr="00DA00F0">
        <w:t>formal description of how topic types are mapped to Java classes needed</w:t>
      </w:r>
      <w:bookmarkEnd w:id="16"/>
    </w:p>
    <w:p w:rsidR="00252930" w:rsidRDefault="00252930" w:rsidP="00252930">
      <w:pPr>
        <w:pStyle w:val="OMGSource"/>
      </w:pPr>
      <w:r w:rsidRPr="00FB1A1D">
        <w:t>Source</w:t>
      </w:r>
      <w:r>
        <w:t>:</w:t>
      </w:r>
    </w:p>
    <w:p w:rsidR="00252930" w:rsidRDefault="00252930" w:rsidP="00252930">
      <w:pPr>
        <w:pStyle w:val="BodyText"/>
      </w:pPr>
      <w:r w:rsidRPr="00AB6DB9">
        <w:t>PrismTech (</w:t>
      </w:r>
      <w:r>
        <w:t xml:space="preserve">Angelo Corsaro,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 xml:space="preserve">Note that DDS-PSM-Cxx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r w:rsidR="00C41284" w:rsidRPr="00C41284">
        <w:t>ptc/2010-05-12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Unbounded sequences will be mapped to Java interface java.util.Collection&lt;E&gt;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00BE1A0C">
        <w:t>Closed</w:t>
      </w:r>
      <w:r w:rsidR="000B0877">
        <w:t>.</w:t>
      </w:r>
      <w:r w:rsidR="00BE1A0C">
        <w:t xml:space="preserve"> No change.</w:t>
      </w:r>
    </w:p>
    <w:p w:rsidR="00252930" w:rsidRDefault="00252930" w:rsidP="00252930">
      <w:pPr>
        <w:pStyle w:val="OMGIssueNO"/>
      </w:pPr>
      <w:bookmarkStart w:id="17" w:name="_Toc342394603"/>
      <w:r>
        <w:lastRenderedPageBreak/>
        <w:t>OMG Issue No: 16529</w:t>
      </w:r>
      <w:bookmarkEnd w:id="17"/>
      <w:r w:rsidRPr="001070B8">
        <w:t xml:space="preserve"> </w:t>
      </w:r>
    </w:p>
    <w:p w:rsidR="00252930" w:rsidRDefault="00252930" w:rsidP="00252930">
      <w:pPr>
        <w:pStyle w:val="OMGTitle"/>
      </w:pPr>
      <w:bookmarkStart w:id="18" w:name="_Toc342394604"/>
      <w:r w:rsidRPr="00FB1A1D">
        <w:t>Title</w:t>
      </w:r>
      <w:r>
        <w:t>:</w:t>
      </w:r>
      <w:r>
        <w:tab/>
      </w:r>
      <w:r w:rsidRPr="00197572">
        <w:t>Modifiable Types should be removed and replaced by values (e.g. immutable types)</w:t>
      </w:r>
      <w:bookmarkEnd w:id="18"/>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The biggest occurrence of the bucket pattern—QoS policies—now use a DSL as described in issue #16536. Additionally, a PolicyFactory has been added as described in issue #15966</w:t>
      </w:r>
      <w:r w:rsidR="0060652D">
        <w:t>. See Section 7.2.5.1.</w:t>
      </w:r>
    </w:p>
    <w:p w:rsidR="00252930" w:rsidRDefault="00252930" w:rsidP="00252930">
      <w:pPr>
        <w:pStyle w:val="BodyText"/>
        <w:numPr>
          <w:ilvl w:val="0"/>
          <w:numId w:val="37"/>
        </w:numPr>
      </w:pPr>
      <w:r w:rsidRPr="00A61725">
        <w:rPr>
          <w:rFonts w:ascii="Courier New" w:hAnsi="Courier New" w:cs="Courier New"/>
        </w:rPr>
        <w:t>ModifiableDuration</w:t>
      </w:r>
      <w:r>
        <w:t xml:space="preserve"> has been removed.</w:t>
      </w:r>
    </w:p>
    <w:p w:rsidR="00252930" w:rsidRPr="001B6877" w:rsidRDefault="00252930" w:rsidP="00252930">
      <w:pPr>
        <w:pStyle w:val="BodyText"/>
        <w:numPr>
          <w:ilvl w:val="0"/>
          <w:numId w:val="37"/>
        </w:numPr>
      </w:pPr>
      <w:r w:rsidRPr="001B6877">
        <w:rPr>
          <w:rFonts w:ascii="Courier New" w:hAnsi="Courier New" w:cs="Courier New"/>
        </w:rPr>
        <w:t>Sample.getSourceTimestamp</w:t>
      </w:r>
      <w:r>
        <w:t xml:space="preserve"> return changed from </w:t>
      </w:r>
      <w:r w:rsidRPr="001B6877">
        <w:rPr>
          <w:rFonts w:ascii="Courier New" w:hAnsi="Courier New" w:cs="Courier New"/>
        </w:rPr>
        <w:t xml:space="preserve">ModifiableTime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r w:rsidRPr="0090023E">
        <w:t>ptc/2011-10-05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19" w:name="_Toc342394605"/>
      <w:r>
        <w:lastRenderedPageBreak/>
        <w:t xml:space="preserve">OMG Issue No: </w:t>
      </w:r>
      <w:r w:rsidRPr="001070B8">
        <w:t>16531</w:t>
      </w:r>
      <w:bookmarkEnd w:id="19"/>
      <w:r w:rsidRPr="001070B8">
        <w:t xml:space="preserve"> </w:t>
      </w:r>
    </w:p>
    <w:p w:rsidR="00252930" w:rsidRDefault="00252930" w:rsidP="00252930">
      <w:pPr>
        <w:pStyle w:val="OMGTitle"/>
      </w:pPr>
      <w:bookmarkStart w:id="20" w:name="_Toc342394606"/>
      <w:r w:rsidRPr="00FB1A1D">
        <w:t>Title</w:t>
      </w:r>
      <w:r>
        <w:t>:</w:t>
      </w:r>
      <w:r>
        <w:tab/>
      </w:r>
      <w:r w:rsidRPr="00D45BAD">
        <w:t>Getting rid of the Bootstrap object</w:t>
      </w:r>
      <w:bookmarkEnd w:id="20"/>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r w:rsidRPr="00D3302D">
        <w:rPr>
          <w:rFonts w:ascii="Courier New" w:hAnsi="Courier New" w:cs="Courier New"/>
        </w:rPr>
        <w:t>ServiceEnvironement</w:t>
      </w:r>
      <w:r w:rsidR="0060140E">
        <w:t>.</w:t>
      </w:r>
      <w:r w:rsidR="005F5649">
        <w:t xml:space="preserve"> See Section 7.2.1.</w:t>
      </w:r>
      <w:r w:rsidR="0060140E">
        <w:t xml:space="preserve"> The functionality offered by this</w:t>
      </w:r>
      <w:r>
        <w:t xml:space="preserve"> class is valuable and the details are discussed in FTF1 report </w:t>
      </w:r>
      <w:r w:rsidRPr="0044438A">
        <w:t>(ptc/2011-10-05).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To support OSGi, and J2EE containers.</w:t>
      </w:r>
    </w:p>
    <w:p w:rsidR="00396866" w:rsidRDefault="002335C8" w:rsidP="00252930">
      <w:pPr>
        <w:pStyle w:val="BodyText"/>
      </w:pPr>
      <w:r>
        <w:t xml:space="preserve">The </w:t>
      </w:r>
      <w:r w:rsidRPr="002335C8">
        <w:rPr>
          <w:rFonts w:ascii="Courier New" w:hAnsi="Courier New" w:cs="Courier New"/>
        </w:rPr>
        <w:t>ServiceEnvironment</w:t>
      </w:r>
      <w:r>
        <w:t xml:space="preserve"> object need not be passed around because </w:t>
      </w:r>
      <w:r w:rsidR="00297B93">
        <w:t xml:space="preserve">it is very easy access it as long as there is a </w:t>
      </w:r>
      <w:r w:rsidR="00297B93" w:rsidRPr="00297B93">
        <w:rPr>
          <w:rFonts w:ascii="Courier New" w:hAnsi="Courier New" w:cs="Courier New"/>
        </w:rPr>
        <w:t>DDSObject</w:t>
      </w:r>
      <w:r w:rsidR="00297B93">
        <w:t xml:space="preserve"> “around”. E</w:t>
      </w:r>
      <w:r>
        <w:t xml:space="preserve">very </w:t>
      </w:r>
      <w:r w:rsidRPr="002335C8">
        <w:rPr>
          <w:rFonts w:ascii="Courier New" w:hAnsi="Courier New" w:cs="Courier New"/>
        </w:rPr>
        <w:t>DDSObject</w:t>
      </w:r>
      <w:r>
        <w:t xml:space="preserve"> provides an interface to retrieve the parent </w:t>
      </w:r>
      <w:r w:rsidRPr="002335C8">
        <w:rPr>
          <w:rFonts w:ascii="Courier New" w:hAnsi="Courier New" w:cs="Courier New"/>
        </w:rPr>
        <w:t>ServiceEnvironment</w:t>
      </w:r>
      <w:r>
        <w:t xml:space="preserve"> that created the object.</w:t>
      </w:r>
      <w:r w:rsidR="00E704EE">
        <w:t xml:space="preserve"> </w:t>
      </w:r>
      <w:r w:rsidR="00396866">
        <w:t xml:space="preserve">Given a </w:t>
      </w:r>
      <w:r w:rsidR="00396866" w:rsidRPr="00896124">
        <w:rPr>
          <w:rFonts w:ascii="Courier New" w:hAnsi="Courier New" w:cs="Courier New"/>
        </w:rPr>
        <w:t>ServiceEnvironment</w:t>
      </w:r>
      <w:r w:rsidR="00396866">
        <w:t xml:space="preserve"> object, ot</w:t>
      </w:r>
      <w:r w:rsidR="00896124">
        <w:t xml:space="preserve">her objects </w:t>
      </w:r>
      <w:r w:rsidR="00396866">
        <w:t xml:space="preserve">can be created in two ways. Two example of creating a </w:t>
      </w:r>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r w:rsidR="00396866">
        <w:t xml:space="preserve"> are given.</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 xml:space="preserve">ServiceEnvironment env = </w:t>
      </w:r>
      <w:r w:rsidR="00777B78" w:rsidRPr="00777B78">
        <w:rPr>
          <w:rFonts w:ascii="Courier New" w:hAnsi="Courier New" w:cs="Courier New"/>
          <w:sz w:val="22"/>
        </w:rPr>
        <w:t>(DDSObject) obj.getServiceEnvironment();</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WaitSet.newWaitSet(env); // (1)</w:t>
      </w:r>
    </w:p>
    <w:p w:rsidR="00396866" w:rsidRPr="00777B78" w:rsidRDefault="00396866" w:rsidP="00252930">
      <w:pPr>
        <w:pStyle w:val="BodyText"/>
        <w:rPr>
          <w:sz w:val="22"/>
        </w:rPr>
      </w:pPr>
      <w:r w:rsidRPr="00777B78">
        <w:rPr>
          <w:rFonts w:ascii="Courier New" w:hAnsi="Courier New" w:cs="Courier New"/>
          <w:sz w:val="22"/>
        </w:rPr>
        <w:t>env.getSPI().newWaitSet(); // (2)</w:t>
      </w:r>
    </w:p>
    <w:p w:rsidR="002335C8" w:rsidRDefault="002335C8" w:rsidP="00252930">
      <w:pPr>
        <w:pStyle w:val="BodyText"/>
      </w:pPr>
    </w:p>
    <w:p w:rsidR="00252930" w:rsidRDefault="00501F6C" w:rsidP="00252930">
      <w:pPr>
        <w:pStyle w:val="BodyText"/>
      </w:pPr>
      <w:r>
        <w:lastRenderedPageBreak/>
        <w:t>In addition to that, a</w:t>
      </w:r>
      <w:r w:rsidR="00252930">
        <w:t xml:space="preserve">n attempt has been made to reduce the occurrences of </w:t>
      </w:r>
      <w:r w:rsidR="00252930" w:rsidRPr="005B05B4">
        <w:rPr>
          <w:rFonts w:ascii="Courier New" w:hAnsi="Courier New" w:cs="Courier New"/>
        </w:rPr>
        <w:t>ServiceEnviroment</w:t>
      </w:r>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r w:rsidRPr="00ED097A">
        <w:rPr>
          <w:rFonts w:ascii="Courier New" w:hAnsi="Courier New" w:cs="Courier New"/>
        </w:rPr>
        <w:t>DomainParticipant</w:t>
      </w:r>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21" w:name="_Toc342394607"/>
      <w:r>
        <w:lastRenderedPageBreak/>
        <w:t xml:space="preserve">OMG Issue No: </w:t>
      </w:r>
      <w:r w:rsidRPr="001070B8">
        <w:t>1</w:t>
      </w:r>
      <w:r>
        <w:t>6535</w:t>
      </w:r>
      <w:bookmarkEnd w:id="21"/>
      <w:r w:rsidRPr="001070B8">
        <w:t xml:space="preserve"> </w:t>
      </w:r>
    </w:p>
    <w:p w:rsidR="000C0FA1" w:rsidRDefault="000C0FA1" w:rsidP="000C0FA1">
      <w:pPr>
        <w:pStyle w:val="OMGTitle"/>
      </w:pPr>
      <w:bookmarkStart w:id="22" w:name="_Toc342394608"/>
      <w:r w:rsidRPr="00FB1A1D">
        <w:t>Title</w:t>
      </w:r>
      <w:r>
        <w:t>:</w:t>
      </w:r>
      <w:r>
        <w:tab/>
      </w:r>
      <w:r w:rsidRPr="000C0FA1">
        <w:t>Large Number of Spurious Import</w:t>
      </w:r>
      <w:bookmarkEnd w:id="22"/>
    </w:p>
    <w:p w:rsidR="000C0FA1" w:rsidRDefault="000C0FA1" w:rsidP="000C0FA1">
      <w:pPr>
        <w:pStyle w:val="OMGSource"/>
      </w:pPr>
      <w:r w:rsidRPr="00FB1A1D">
        <w:t>Source</w:t>
      </w:r>
      <w:r>
        <w:t>:</w:t>
      </w:r>
    </w:p>
    <w:p w:rsidR="000C0FA1" w:rsidRDefault="000C0FA1" w:rsidP="000C0FA1">
      <w:pPr>
        <w:pStyle w:val="BodyText"/>
      </w:pPr>
      <w:r w:rsidRPr="000150B7">
        <w:t>PrismTech (Dr. Angelo Corsaro, PhD., angelo.corsaro(at)prismtech.com)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The dds-psm-java makes use of impo</w:t>
      </w:r>
      <w:r>
        <w:rPr>
          <w:b w:val="0"/>
        </w:rPr>
        <w:t>rt as a way to take care of the</w:t>
      </w:r>
      <w:r w:rsidRPr="000C0FA1">
        <w:rPr>
          <w:b w:val="0"/>
        </w:rPr>
        <w:t xml:space="preserve"> @link directive on Javadoc. This is not a good practice and it</w:t>
      </w:r>
      <w:r>
        <w:rPr>
          <w:b w:val="0"/>
        </w:rPr>
        <w:t xml:space="preserve"> </w:t>
      </w:r>
      <w:r w:rsidRPr="000C0FA1">
        <w:rPr>
          <w:b w:val="0"/>
        </w:rPr>
        <w:t>is better to use the fully qualified type name on the @link javadoc</w:t>
      </w:r>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F1201E" w:rsidRDefault="00064E7B" w:rsidP="00AE69CF">
      <w:pPr>
        <w:pStyle w:val="BodyText"/>
      </w:pPr>
      <w:r>
        <w:t xml:space="preserve">Spurious import statements have been removed (as indicated by the Checkstyle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512BC4">
        <w:rPr>
          <w:b w:val="0"/>
        </w:rPr>
        <w:t>Under Discussion</w:t>
      </w:r>
    </w:p>
    <w:p w:rsidR="00252930" w:rsidRDefault="00252930" w:rsidP="00252930">
      <w:pPr>
        <w:pStyle w:val="OMGIssueNO"/>
      </w:pPr>
      <w:bookmarkStart w:id="23" w:name="_Toc342394609"/>
      <w:r>
        <w:lastRenderedPageBreak/>
        <w:t xml:space="preserve">OMG Issue No: </w:t>
      </w:r>
      <w:r w:rsidRPr="001070B8">
        <w:t>1</w:t>
      </w:r>
      <w:r>
        <w:t>6536</w:t>
      </w:r>
      <w:bookmarkEnd w:id="23"/>
      <w:r w:rsidRPr="001070B8">
        <w:t xml:space="preserve"> </w:t>
      </w:r>
    </w:p>
    <w:p w:rsidR="00252930" w:rsidRDefault="00252930" w:rsidP="00252930">
      <w:pPr>
        <w:pStyle w:val="OMGTitle"/>
      </w:pPr>
      <w:bookmarkStart w:id="24" w:name="_Toc342394610"/>
      <w:r w:rsidRPr="00FB1A1D">
        <w:t>Title</w:t>
      </w:r>
      <w:r>
        <w:t>:</w:t>
      </w:r>
      <w:r>
        <w:tab/>
      </w:r>
      <w:r w:rsidRPr="00256874">
        <w:t>QoS DSL Needed</w:t>
      </w:r>
      <w:bookmarkEnd w:id="24"/>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The absence of a DSL for facilitating the correct creation of QoS (in QoS classes such as:</w:t>
      </w:r>
    </w:p>
    <w:p w:rsidR="00252930" w:rsidRPr="00717903" w:rsidRDefault="00252930" w:rsidP="00252930">
      <w:pPr>
        <w:pStyle w:val="OMGRevisedText"/>
        <w:rPr>
          <w:b w:val="0"/>
        </w:rPr>
      </w:pPr>
      <w:r w:rsidRPr="00717903">
        <w:rPr>
          <w:b w:val="0"/>
        </w:rPr>
        <w:t xml:space="preserve">    TopicQos, DataWriterQos, etc.) in the</w:t>
      </w:r>
    </w:p>
    <w:p w:rsidR="00252930" w:rsidRPr="00717903" w:rsidRDefault="00252930" w:rsidP="00252930">
      <w:pPr>
        <w:pStyle w:val="OMGRevisedText"/>
        <w:rPr>
          <w:b w:val="0"/>
        </w:rPr>
      </w:pPr>
      <w:r w:rsidRPr="00717903">
        <w:rPr>
          <w:b w:val="0"/>
        </w:rPr>
        <w:t xml:space="preserve">    dds-psm-java not only makes QoS manipulation cumbersone, but it also</w:t>
      </w:r>
    </w:p>
    <w:p w:rsidR="00252930" w:rsidRPr="00717903" w:rsidRDefault="00252930" w:rsidP="00252930">
      <w:pPr>
        <w:pStyle w:val="OMGRevisedText"/>
        <w:rPr>
          <w:b w:val="0"/>
        </w:rPr>
      </w:pPr>
      <w:r w:rsidRPr="00717903">
        <w:rPr>
          <w:b w:val="0"/>
        </w:rPr>
        <w:t xml:space="preserve">     introduces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QoS DSL for the dds-psm-cxx which might look like this:</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 Durability.Transient());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w:t>
      </w:r>
    </w:p>
    <w:p w:rsidR="00252930" w:rsidRPr="00717903" w:rsidRDefault="00252930" w:rsidP="00252930">
      <w:pPr>
        <w:pStyle w:val="OMGRevisedText"/>
        <w:rPr>
          <w:b w:val="0"/>
        </w:rPr>
      </w:pPr>
      <w:r w:rsidRPr="00717903">
        <w:rPr>
          <w:b w:val="0"/>
        </w:rPr>
        <w:t xml:space="preserve">            .with(Durability.Transient());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provide a total order... Otherwise how can one do RxO?</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pPr>
      <w:r>
        <w:t xml:space="preserve">Section 7.2.5.3 in the specification describes the QoS DSL. </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r>
        <w:t xml:space="preserve">Qos objects are accessible only via (a) QosProvider, (b) getDefault***Qos, and (c) getQos. I.e., Qos objects are created using </w:t>
      </w:r>
      <w:r w:rsidR="000B47BC">
        <w:t xml:space="preserve">the </w:t>
      </w:r>
      <w:r>
        <w:t xml:space="preserve">factory pattern. </w:t>
      </w:r>
      <w:r>
        <w:lastRenderedPageBreak/>
        <w:t>They can’t be created out of thin air.</w:t>
      </w:r>
      <w:r w:rsidR="00D37DD9">
        <w:t xml:space="preserve"> </w:t>
      </w:r>
      <w:r w:rsidR="000B47BC">
        <w:t xml:space="preserve">Section 7.2.5.3 </w:t>
      </w:r>
      <w:r w:rsidR="00D37DD9">
        <w:t xml:space="preserve">in the specification describes </w:t>
      </w:r>
      <w:r w:rsidR="000B47BC">
        <w:t>the QosProvider interface.</w:t>
      </w:r>
    </w:p>
    <w:p w:rsidR="00252930" w:rsidRDefault="00252930" w:rsidP="00252930">
      <w:pPr>
        <w:pStyle w:val="BodyText"/>
        <w:numPr>
          <w:ilvl w:val="0"/>
          <w:numId w:val="36"/>
        </w:numPr>
      </w:pPr>
      <w:r>
        <w:t>Qos objects have withPolicy and withPolicies methods (instead of just “with”). It serves as a reminder that only policy objects are allowed. Auto-completion provides no help here at all because the interface is quite generic. For example, DataReaderQos.withPolicies method has no idea if you want to pass Reliability or History or something else.</w:t>
      </w:r>
    </w:p>
    <w:p w:rsidR="00252930" w:rsidRDefault="00252930" w:rsidP="00252930">
      <w:pPr>
        <w:pStyle w:val="BodyText"/>
        <w:numPr>
          <w:ilvl w:val="0"/>
          <w:numId w:val="36"/>
        </w:numPr>
      </w:pPr>
      <w:r>
        <w:t>The Qos policies themselves are Java interfaces. As a consequence, their objects can’t be created. Therefore, a PolicyFactory class has been introduced. An instance of PolicyFactory can be obtained as follows.</w:t>
      </w:r>
    </w:p>
    <w:p w:rsidR="00252930" w:rsidRDefault="00252930" w:rsidP="00252930">
      <w:pPr>
        <w:pStyle w:val="BodyText"/>
        <w:ind w:left="720"/>
        <w:rPr>
          <w:sz w:val="20"/>
        </w:rPr>
      </w:pPr>
      <w:r w:rsidRPr="00831220">
        <w:rPr>
          <w:sz w:val="20"/>
        </w:rPr>
        <w:t>PolicyFactory pf = anyDDSObject.getServiceEnvironment().getPolicyFactory();</w:t>
      </w:r>
    </w:p>
    <w:p w:rsidR="00252930" w:rsidRDefault="00252930" w:rsidP="00252930">
      <w:pPr>
        <w:pStyle w:val="BodyText"/>
        <w:numPr>
          <w:ilvl w:val="0"/>
          <w:numId w:val="36"/>
        </w:numPr>
        <w:rPr>
          <w:sz w:val="20"/>
        </w:rPr>
      </w:pPr>
      <w:r>
        <w:t>PolicyFactory class provides many methods to create “default” DDS Qos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The Qos policy classes provide descriptive methods to change the policy setting. For example, the following code creates a Reliable reliability qos policy</w:t>
      </w:r>
    </w:p>
    <w:p w:rsidR="00252930" w:rsidRDefault="00252930" w:rsidP="00252930">
      <w:pPr>
        <w:pStyle w:val="BodyText"/>
        <w:ind w:left="720"/>
        <w:rPr>
          <w:rFonts w:ascii="Courier New" w:hAnsi="Courier New" w:cs="Courier New"/>
        </w:rPr>
      </w:pPr>
      <w:r w:rsidRPr="00341546">
        <w:rPr>
          <w:rFonts w:ascii="Courier New" w:hAnsi="Courier New" w:cs="Courier New"/>
        </w:rPr>
        <w:t>pf.Reliability().withReliable();</w:t>
      </w:r>
    </w:p>
    <w:p w:rsidR="00252930" w:rsidRDefault="00252930" w:rsidP="00252930">
      <w:pPr>
        <w:pStyle w:val="BodyText"/>
        <w:ind w:left="720"/>
      </w:pPr>
      <w:r>
        <w:t>The “with” prefix is used here because (1) it maintains consistency, (2) typing “w” “I” “t” “h” quickly reduces auto-completion options, and (3) it improves readability when used with a number of qos policies that are configurable with some integer or time values. For instance,</w:t>
      </w:r>
    </w:p>
    <w:p w:rsidR="00252930" w:rsidRDefault="00252930" w:rsidP="00252930">
      <w:pPr>
        <w:pStyle w:val="BodyText"/>
        <w:ind w:left="720"/>
        <w:rPr>
          <w:rFonts w:ascii="Courier New" w:hAnsi="Courier New" w:cs="Courier New"/>
          <w:sz w:val="22"/>
        </w:rPr>
      </w:pPr>
      <w:r w:rsidRPr="00DF022C">
        <w:rPr>
          <w:rFonts w:ascii="Courier New" w:hAnsi="Courier New" w:cs="Courier New"/>
          <w:sz w:val="22"/>
        </w:rPr>
        <w:t>pf.ResourceLimits().withMaxSamples(P).withMaxInstances(Q);</w:t>
      </w:r>
    </w:p>
    <w:p w:rsidR="00252930" w:rsidRPr="00DF022C" w:rsidRDefault="00252930" w:rsidP="00252930">
      <w:pPr>
        <w:pStyle w:val="BodyText"/>
        <w:numPr>
          <w:ilvl w:val="0"/>
          <w:numId w:val="36"/>
        </w:numPr>
        <w:rPr>
          <w:rFonts w:ascii="Courier New" w:hAnsi="Courier New" w:cs="Courier New"/>
          <w:sz w:val="20"/>
        </w:rPr>
      </w:pPr>
      <w:r>
        <w:t xml:space="preserve">Finally, the QosPolicy interface extends the raw </w:t>
      </w:r>
      <w:r w:rsidRPr="000F4023">
        <w:rPr>
          <w:rFonts w:ascii="Courier New" w:hAnsi="Courier New" w:cs="Courier New"/>
        </w:rPr>
        <w:t>java.lang.Comparable</w:t>
      </w:r>
      <w:r>
        <w:t xml:space="preserve"> interface as opposed to each qos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QosPolicies. Comparison of two “vectors” of qos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25" w:name="_Toc342394611"/>
      <w:r>
        <w:lastRenderedPageBreak/>
        <w:t>OMG Issue No: 16587</w:t>
      </w:r>
      <w:bookmarkEnd w:id="25"/>
      <w:r w:rsidRPr="001070B8">
        <w:t xml:space="preserve"> </w:t>
      </w:r>
    </w:p>
    <w:p w:rsidR="0012520F" w:rsidRDefault="0012520F" w:rsidP="0012520F">
      <w:pPr>
        <w:pStyle w:val="OMGTitle"/>
      </w:pPr>
      <w:bookmarkStart w:id="26" w:name="_Toc342394612"/>
      <w:r w:rsidRPr="00FB1A1D">
        <w:t>Title</w:t>
      </w:r>
      <w:r>
        <w:t>:</w:t>
      </w:r>
      <w:r>
        <w:tab/>
      </w:r>
      <w:r w:rsidRPr="0012520F">
        <w:t>API Should Avoid Side-Effects, e.g. Remove Bucket Accessors</w:t>
      </w:r>
      <w:bookmarkEnd w:id="26"/>
    </w:p>
    <w:p w:rsidR="0012520F" w:rsidRDefault="0012520F" w:rsidP="0012520F">
      <w:pPr>
        <w:pStyle w:val="OMGSource"/>
      </w:pPr>
      <w:r w:rsidRPr="00FB1A1D">
        <w:t>Source</w:t>
      </w:r>
      <w:r>
        <w:t>:</w:t>
      </w:r>
    </w:p>
    <w:p w:rsidR="0012520F" w:rsidRDefault="0012520F" w:rsidP="0012520F">
      <w:pPr>
        <w:pStyle w:val="BodyText"/>
      </w:pPr>
      <w:r w:rsidRPr="0012520F">
        <w:t>PrismTech (Dr. Angelo Corsaro, PhD., angelo.corsaro(at)prismtech.com)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The DDS-PSM-Java provides bucket accessors that allow to "return"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x.getFoo(f)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The solution suggested to avoid bucket accessors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on  QoS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12520F" w:rsidRDefault="00375836" w:rsidP="0012520F">
      <w:pPr>
        <w:pStyle w:val="BodyText"/>
      </w:pPr>
      <w:r>
        <w:t xml:space="preserve">Most instances of the </w:t>
      </w:r>
      <w:r w:rsidR="00F779D8">
        <w:t xml:space="preserve">“bucket getter” pattern has been removed. </w:t>
      </w:r>
      <w:r w:rsidR="00BE530B">
        <w:t xml:space="preserve">The pattern is only used in the performance critical mtethods. </w:t>
      </w:r>
      <w:r w:rsidR="00F779D8">
        <w:t>Please see</w:t>
      </w:r>
      <w:r w:rsidR="0048146F">
        <w:t xml:space="preserve"> revision 184:</w:t>
      </w:r>
    </w:p>
    <w:p w:rsidR="00A50A6C" w:rsidRPr="00187CA6" w:rsidRDefault="000E21E9" w:rsidP="0012520F">
      <w:pPr>
        <w:pStyle w:val="BodyText"/>
        <w:rPr>
          <w:color w:val="0000FF"/>
          <w:u w:val="single"/>
        </w:rPr>
      </w:pPr>
      <w:hyperlink r:id="rId24" w:history="1">
        <w:r w:rsidR="00F779D8" w:rsidRPr="00177B9A">
          <w:rPr>
            <w:rStyle w:val="Hyperlink"/>
          </w:rPr>
          <w:t>https://code.google.com/p/datadistrib4j/source/detail?r=184</w:t>
        </w:r>
      </w:hyperlink>
    </w:p>
    <w:p w:rsidR="00A50A6C" w:rsidRPr="00187CA6" w:rsidRDefault="00A50A6C" w:rsidP="0012520F">
      <w:pPr>
        <w:pStyle w:val="OMGDisposition"/>
        <w:rPr>
          <w:b w:val="0"/>
        </w:rPr>
      </w:pPr>
      <w:r>
        <w:rPr>
          <w:b w:val="0"/>
        </w:rPr>
        <w:t>This issue does not make any changes to the specification document.</w:t>
      </w:r>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F779D8">
        <w:rPr>
          <w:b w:val="0"/>
        </w:rPr>
        <w:t>Under Discussion</w:t>
      </w:r>
    </w:p>
    <w:p w:rsidR="00252930" w:rsidRDefault="00252930" w:rsidP="00252930">
      <w:pPr>
        <w:pStyle w:val="OMGIssueNO"/>
      </w:pPr>
      <w:bookmarkStart w:id="27" w:name="_Toc342394613"/>
      <w:r>
        <w:lastRenderedPageBreak/>
        <w:t xml:space="preserve">OMG Issue No: </w:t>
      </w:r>
      <w:r w:rsidRPr="001070B8">
        <w:t>1</w:t>
      </w:r>
      <w:r>
        <w:t>7065</w:t>
      </w:r>
      <w:bookmarkEnd w:id="27"/>
      <w:r w:rsidRPr="001070B8">
        <w:t xml:space="preserve"> </w:t>
      </w:r>
    </w:p>
    <w:p w:rsidR="00252930" w:rsidRDefault="00252930" w:rsidP="00252930">
      <w:pPr>
        <w:pStyle w:val="OMGTitle"/>
      </w:pPr>
      <w:bookmarkStart w:id="28" w:name="_Toc342394614"/>
      <w:r w:rsidRPr="00FB1A1D">
        <w:t>Title</w:t>
      </w:r>
      <w:r>
        <w:t>:</w:t>
      </w:r>
      <w:r>
        <w:tab/>
      </w:r>
      <w:r w:rsidRPr="00423DC4">
        <w:t>Class for Query Expression</w:t>
      </w:r>
      <w:bookmarkEnd w:id="28"/>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r w:rsidRPr="00423DC4">
        <w:rPr>
          <w:b w:val="0"/>
        </w:rPr>
        <w:t>ContentFiltered topics, QueryCondition, and MultiTopic all require a "Query" parameter made by an expression and a set of parameters. The current API,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datareader.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t>For instance</w:t>
      </w:r>
    </w:p>
    <w:p w:rsidR="00252930" w:rsidRPr="00864071" w:rsidRDefault="00252930" w:rsidP="00252930">
      <w:pPr>
        <w:pStyle w:val="BodyText"/>
        <w:rPr>
          <w:rFonts w:ascii="Courier New" w:hAnsi="Courier New" w:cs="Courier New"/>
          <w:sz w:val="20"/>
        </w:rPr>
      </w:pPr>
      <w:r w:rsidRPr="00864071">
        <w:rPr>
          <w:rFonts w:ascii="Courier New" w:hAnsi="Courier New" w:cs="Courier New"/>
          <w:sz w:val="20"/>
        </w:rPr>
        <w:t>DataReader&lt;Track&gt; dr = …</w:t>
      </w:r>
      <w:r w:rsidRPr="00864071">
        <w:rPr>
          <w:rFonts w:ascii="Courier New" w:hAnsi="Courier New" w:cs="Courier New"/>
          <w:sz w:val="20"/>
        </w:rPr>
        <w:br/>
        <w:t>dr.select().instance(someHandle)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r w:rsidRPr="00864071">
        <w:rPr>
          <w:rFonts w:ascii="Courier New" w:hAnsi="Courier New" w:cs="Courier New"/>
          <w:sz w:val="20"/>
        </w:rPr>
        <w:t>DataReader&lt;Track&gt; dr = …</w:t>
      </w:r>
      <w:r w:rsidRPr="00864071">
        <w:rPr>
          <w:rFonts w:ascii="Courier New" w:hAnsi="Courier New" w:cs="Courier New"/>
          <w:sz w:val="20"/>
        </w:rPr>
        <w:br/>
        <w:t>dr.</w:t>
      </w:r>
      <w:r>
        <w:rPr>
          <w:rFonts w:ascii="Courier New" w:hAnsi="Courier New" w:cs="Courier New"/>
          <w:sz w:val="20"/>
        </w:rPr>
        <w:t>read(dr.</w:t>
      </w:r>
      <w:r w:rsidRPr="00864071">
        <w:rPr>
          <w:rFonts w:ascii="Courier New" w:hAnsi="Courier New" w:cs="Courier New"/>
          <w:sz w:val="20"/>
        </w:rPr>
        <w:t>select().instance(someHandle)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lastRenderedPageBreak/>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29" w:name="_Toc342394615"/>
      <w:r>
        <w:lastRenderedPageBreak/>
        <w:t xml:space="preserve">OMG Issue No: </w:t>
      </w:r>
      <w:r w:rsidRPr="001070B8">
        <w:t>1</w:t>
      </w:r>
      <w:r>
        <w:t>7204</w:t>
      </w:r>
      <w:bookmarkEnd w:id="29"/>
      <w:r w:rsidRPr="001070B8">
        <w:t xml:space="preserve"> </w:t>
      </w:r>
    </w:p>
    <w:p w:rsidR="00C93F73" w:rsidRDefault="00C93F73" w:rsidP="00C93F73">
      <w:pPr>
        <w:pStyle w:val="OMGTitle"/>
      </w:pPr>
      <w:bookmarkStart w:id="30" w:name="_Toc342394616"/>
      <w:r w:rsidRPr="00FB1A1D">
        <w:t>Title</w:t>
      </w:r>
      <w:r>
        <w:t>:</w:t>
      </w:r>
      <w:r>
        <w:tab/>
      </w:r>
      <w:r w:rsidRPr="00C93F73">
        <w:t>Obsolete EntityQos interface name</w:t>
      </w:r>
      <w:bookmarkEnd w:id="30"/>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The base interface for all Entity-level QoS objects (e.g. DataReaderQos) is org.omg.dds.core.EntityQos. At one time during the evolution of the specification, this interface was called org.omg.dds.core.Qos. Due to an editorial oversight, this obsolete name persists in the specification document and should be updated.</w:t>
      </w:r>
    </w:p>
    <w:p w:rsidR="00A0680C" w:rsidRDefault="00A0680C" w:rsidP="00A0680C">
      <w:pPr>
        <w:pStyle w:val="BodyText"/>
      </w:pPr>
      <w:r>
        <w:t xml:space="preserve">   * Section 7.2.5, "QoS and QoS Policies"</w:t>
      </w:r>
    </w:p>
    <w:p w:rsidR="00C93F73" w:rsidRDefault="00A0680C" w:rsidP="00A0680C">
      <w:pPr>
        <w:pStyle w:val="BodyText"/>
      </w:pPr>
      <w:r>
        <w:t xml:space="preserve">   * Section 7.2.5.2, "Entity QoS"</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15B4F" w:rsidP="00A0680C">
      <w:pPr>
        <w:pStyle w:val="BodyText"/>
      </w:pPr>
      <w:r>
        <w:t xml:space="preserve">Section </w:t>
      </w:r>
      <w:r w:rsidR="00A0680C">
        <w:t>7.2.5</w:t>
      </w:r>
      <w:r w:rsidR="00A0680C">
        <w:tab/>
        <w:t>QoS and QoS Policies</w:t>
      </w:r>
    </w:p>
    <w:p w:rsidR="00A0680C" w:rsidRDefault="00A0680C" w:rsidP="00A0680C">
      <w:pPr>
        <w:pStyle w:val="BodyText"/>
      </w:pPr>
      <w:r>
        <w:t>QoS-related types fall into two categories, as expressed in the DDS PIM: individual QoS policies (such as reliability) and the collections of policies that apply to a particular DDS Entity type. This PSM represents the former with the base interface org.omg.dds.core.policy.QosPolicy and the latter with the base interface org.omg.dds.core.</w:t>
      </w:r>
      <w:r w:rsidRPr="00A94303">
        <w:rPr>
          <w:color w:val="0070C0"/>
          <w:u w:val="single"/>
        </w:rPr>
        <w:t>Entity</w:t>
      </w:r>
      <w:r>
        <w:t>Qos.</w:t>
      </w:r>
    </w:p>
    <w:p w:rsidR="00A94303" w:rsidRDefault="00A15B4F" w:rsidP="00A94303">
      <w:pPr>
        <w:pStyle w:val="BodyText"/>
      </w:pPr>
      <w:r>
        <w:t xml:space="preserve">Section </w:t>
      </w:r>
      <w:r w:rsidR="00A94303">
        <w:t>7.2.5.2</w:t>
      </w:r>
      <w:r w:rsidR="00A94303">
        <w:tab/>
        <w:t>Entity QoS</w:t>
      </w:r>
    </w:p>
    <w:p w:rsidR="00A94303" w:rsidRDefault="00A94303" w:rsidP="00A94303">
      <w:pPr>
        <w:pStyle w:val="BodyText"/>
      </w:pPr>
      <w:r>
        <w:t>Each Entity QoS (e.g., DataReaderQos) is an interface extending org.omg.dds.core.</w:t>
      </w:r>
      <w:r w:rsidRPr="00A94303">
        <w:rPr>
          <w:color w:val="0070C0"/>
          <w:u w:val="single"/>
        </w:rPr>
        <w:t>Entity</w:t>
      </w:r>
      <w:r>
        <w:t>Qos.</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31" w:name="_Toc342394617"/>
      <w:r>
        <w:lastRenderedPageBreak/>
        <w:t xml:space="preserve">OMG Issue No: </w:t>
      </w:r>
      <w:r w:rsidRPr="001070B8">
        <w:t>1</w:t>
      </w:r>
      <w:r>
        <w:t>7302</w:t>
      </w:r>
      <w:bookmarkEnd w:id="31"/>
      <w:r w:rsidRPr="001070B8">
        <w:t xml:space="preserve"> </w:t>
      </w:r>
    </w:p>
    <w:p w:rsidR="00BA10CA" w:rsidRDefault="00BA10CA" w:rsidP="00BA10CA">
      <w:pPr>
        <w:pStyle w:val="OMGTitle"/>
      </w:pPr>
      <w:bookmarkStart w:id="32" w:name="_Toc342394618"/>
      <w:r w:rsidRPr="00FB1A1D">
        <w:t>Title</w:t>
      </w:r>
      <w:r>
        <w:t>:</w:t>
      </w:r>
      <w:r>
        <w:tab/>
      </w:r>
      <w:r w:rsidRPr="00BA10CA">
        <w:t>Implement Java5 Closeable interface</w:t>
      </w:r>
      <w:bookmarkEnd w:id="32"/>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DDS code will be easier to integrate into third-party I/O code if the Entity, ReadCondition, and TopicDescription interfaces implement the java.util.Closeable interface. This is especially true under Java 7, which provides specific new language constructs for dealing with this interface.</w:t>
      </w:r>
    </w:p>
    <w:p w:rsidR="00BA10CA" w:rsidRDefault="00BA10CA" w:rsidP="00BA10CA">
      <w:pPr>
        <w:pStyle w:val="BodyText"/>
      </w:pPr>
      <w:r>
        <w:t>The only method in the interface is a no-argument close(), which all of these interfaces already have.</w:t>
      </w:r>
    </w:p>
    <w:p w:rsidR="00BA10CA" w:rsidRDefault="00BA10CA" w:rsidP="00BA10CA">
      <w:pPr>
        <w:pStyle w:val="OMGResolution"/>
      </w:pPr>
      <w:r>
        <w:t>Proposed Resolution:</w:t>
      </w:r>
    </w:p>
    <w:p w:rsidR="00BA10CA" w:rsidRDefault="001C1FFD" w:rsidP="00BA10CA">
      <w:pPr>
        <w:pStyle w:val="BodyText"/>
      </w:pPr>
      <w:r>
        <w:t>Update Entity, ReadCondition, and TopicDescription to inherit from java.io.</w:t>
      </w:r>
      <w:r w:rsidR="00133A2E">
        <w:t>C</w:t>
      </w:r>
      <w:r>
        <w:t>loseable.</w:t>
      </w:r>
    </w:p>
    <w:p w:rsidR="00BA10CA" w:rsidRDefault="00BA10CA" w:rsidP="00BA10CA">
      <w:pPr>
        <w:pStyle w:val="OMGRevisedText"/>
      </w:pPr>
      <w:r w:rsidRPr="00081DCC">
        <w:t>Revised Text:</w:t>
      </w:r>
    </w:p>
    <w:p w:rsidR="00853A4A" w:rsidRPr="00853A4A" w:rsidRDefault="00A15B4F" w:rsidP="00853A4A">
      <w:pPr>
        <w:pStyle w:val="BodyText"/>
      </w:pPr>
      <w:r>
        <w:t xml:space="preserve">Section 7.6.3 describes the use of java.io.Closeable interface. </w:t>
      </w:r>
      <w:r w:rsidR="00853A4A">
        <w:t>The Java5 Closeable interface has been added</w:t>
      </w:r>
      <w:r>
        <w:t xml:space="preserve"> to the </w:t>
      </w:r>
      <w:r w:rsidRPr="00187CA6">
        <w:rPr>
          <w:rFonts w:ascii="Courier New" w:hAnsi="Courier New" w:cs="Courier New"/>
        </w:rPr>
        <w:t>Sample.Iterator</w:t>
      </w:r>
      <w:r>
        <w:t xml:space="preserve"> interface.</w:t>
      </w:r>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33" w:name="_Toc342394619"/>
      <w:r w:rsidRPr="002C1E39">
        <w:lastRenderedPageBreak/>
        <w:t xml:space="preserve">OMG Issue No: </w:t>
      </w:r>
      <w:r>
        <w:t>17303</w:t>
      </w:r>
      <w:bookmarkEnd w:id="33"/>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4" w:name="Issue17303"/>
      <w:r w:rsidRPr="00252930">
        <w:rPr>
          <w:rFonts w:ascii="Arial" w:hAnsi="Arial" w:cs="Arial"/>
          <w:b/>
          <w:sz w:val="28"/>
        </w:rPr>
        <w:t>Update specification for final DDS-XTypes</w:t>
      </w:r>
    </w:p>
    <w:bookmarkEnd w:id="34"/>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DDS-XTypes spec introduced several API changes that should be incorporated into the DDS-PSM-Java spec.</w:t>
      </w:r>
    </w:p>
    <w:p w:rsidR="00252930" w:rsidRDefault="00252930" w:rsidP="00252930">
      <w:pPr>
        <w:pStyle w:val="BodyText"/>
      </w:pPr>
      <w:r>
        <w:t>At the same time, the contents of the relevant portions of the DDS-XTypes spec should be incorporated as JavaDoc comments, just as has already been done for DDS itself.</w:t>
      </w:r>
    </w:p>
    <w:p w:rsidR="00F54939" w:rsidRDefault="00F54939" w:rsidP="00F54939">
      <w:pPr>
        <w:pStyle w:val="OMGSummary"/>
      </w:pPr>
      <w:r>
        <w:t>Revised Text:</w:t>
      </w:r>
    </w:p>
    <w:p w:rsidR="00F54939" w:rsidRDefault="006C63BE" w:rsidP="00F54939">
      <w:pPr>
        <w:pStyle w:val="BodyText"/>
      </w:pPr>
      <w:r>
        <w:t xml:space="preserve">Section 9 in the specification describes the new type napping with respect to the final </w:t>
      </w:r>
      <w:r w:rsidR="00AC038C">
        <w:t>DDS-</w:t>
      </w:r>
      <w:r>
        <w:t xml:space="preserve">XTypes specification. </w:t>
      </w:r>
      <w:r w:rsidR="008E78B0">
        <w:t>The DDS Java PSM API has been revised to reflect the latest revision of XTypes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pPr>
      <w:r>
        <w:t>Change-set for dynamic type</w:t>
      </w:r>
      <w:r w:rsidR="00C55C17">
        <w:t>:</w:t>
      </w:r>
      <w:r w:rsidR="00FC37F0">
        <w:t xml:space="preserve"> </w:t>
      </w:r>
      <w:hyperlink r:id="rId28" w:history="1">
        <w:r w:rsidR="00C55C17">
          <w:rPr>
            <w:rStyle w:val="Hyperlink"/>
          </w:rPr>
          <w:t>https://code.google.com/p/datadistrib4j/source/detail?r=206</w:t>
        </w:r>
      </w:hyperlink>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35" w:name="_Toc342394620"/>
      <w:r>
        <w:lastRenderedPageBreak/>
        <w:t xml:space="preserve">OMG Issue No: </w:t>
      </w:r>
      <w:r w:rsidRPr="001070B8">
        <w:t>1</w:t>
      </w:r>
      <w:r>
        <w:t>7304</w:t>
      </w:r>
      <w:bookmarkEnd w:id="35"/>
      <w:r w:rsidRPr="001070B8">
        <w:t xml:space="preserve"> </w:t>
      </w:r>
    </w:p>
    <w:p w:rsidR="00252930" w:rsidRDefault="00252930" w:rsidP="00252930">
      <w:pPr>
        <w:pStyle w:val="OMGTitle"/>
      </w:pPr>
      <w:bookmarkStart w:id="36" w:name="_Toc342394621"/>
      <w:r w:rsidRPr="00FB1A1D">
        <w:t>Title</w:t>
      </w:r>
      <w:r>
        <w:t>:</w:t>
      </w:r>
      <w:r>
        <w:tab/>
      </w:r>
      <w:r w:rsidRPr="009D2981">
        <w:t>Improve compile-time type safety of EntityQos</w:t>
      </w:r>
      <w:bookmarkEnd w:id="36"/>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The EntityQos interface implements java.util.Map.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Pr="00024BEE" w:rsidRDefault="00024BEE" w:rsidP="00187CA6">
      <w:pPr>
        <w:pStyle w:val="BodyText"/>
      </w:pPr>
      <w:r>
        <w:t>This issue requires no changes in the specification document.</w:t>
      </w:r>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37" w:name="_Toc342394622"/>
      <w:r>
        <w:lastRenderedPageBreak/>
        <w:t xml:space="preserve">OMG Issue No: </w:t>
      </w:r>
      <w:r w:rsidRPr="001070B8">
        <w:t>1</w:t>
      </w:r>
      <w:r>
        <w:t>7415</w:t>
      </w:r>
      <w:bookmarkEnd w:id="37"/>
      <w:r w:rsidRPr="001070B8">
        <w:t xml:space="preserve"> </w:t>
      </w:r>
    </w:p>
    <w:p w:rsidR="001B7AED" w:rsidRDefault="001B7AED" w:rsidP="001B7AED">
      <w:pPr>
        <w:pStyle w:val="OMGTitle"/>
      </w:pPr>
      <w:bookmarkStart w:id="38" w:name="_Toc342394623"/>
      <w:r w:rsidRPr="00FB1A1D">
        <w:t>Title</w:t>
      </w:r>
      <w:r>
        <w:t>:</w:t>
      </w:r>
      <w:r>
        <w:tab/>
      </w:r>
      <w:r w:rsidRPr="001B7AED">
        <w:t>Implement java.io.Closeable in Sample.Iterator</w:t>
      </w:r>
      <w:bookmarkEnd w:id="38"/>
    </w:p>
    <w:p w:rsidR="001B7AED" w:rsidRDefault="001B7AED" w:rsidP="001B7AED">
      <w:pPr>
        <w:pStyle w:val="OMGSource"/>
      </w:pPr>
      <w:r w:rsidRPr="00FB1A1D">
        <w:t>Source</w:t>
      </w:r>
      <w:r>
        <w:t>:</w:t>
      </w:r>
    </w:p>
    <w:p w:rsidR="001B7AED" w:rsidRDefault="001B7AED" w:rsidP="001B7AED">
      <w:pPr>
        <w:pStyle w:val="BodyText"/>
      </w:pPr>
      <w:r w:rsidRPr="001B7AED">
        <w:t>Real-Time Innovations (Mr. Sumant Tambe, sumant(at)rti.com)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Java 7 has a try-with-resources construct that allows a close() method to be called automatically when a certain code block ends. Java PSM can support this construct with sample loans in a way that's backwards compatible with Java 5. All we have to do is to rename the Sample.Iterator.returnLoan() method to close() and make Sample.Iterator implement the interface java.io.Closeable. Note:  java.lang.AutoCloseable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r w:rsidR="00E04F4C">
        <w:t xml:space="preserve">Sample.Iterator </w:t>
      </w:r>
      <w:r>
        <w:t>from Java.io.Closeable</w:t>
      </w:r>
      <w:r w:rsidR="00475AFC">
        <w:t xml:space="preserve"> and </w:t>
      </w:r>
      <w:r w:rsidR="00475AFC" w:rsidRPr="00475AFC">
        <w:t>rename the Sample.Iterator.returnLoan() method to close()</w:t>
      </w:r>
    </w:p>
    <w:p w:rsidR="001B7AED" w:rsidRDefault="001B7AED" w:rsidP="001B7AED">
      <w:pPr>
        <w:pStyle w:val="OMGRevisedText"/>
      </w:pPr>
      <w:r w:rsidRPr="00081DCC">
        <w:t>Revised Text:</w:t>
      </w:r>
    </w:p>
    <w:p w:rsidR="002579A0" w:rsidRPr="002579A0" w:rsidRDefault="00C45E22" w:rsidP="002579A0">
      <w:pPr>
        <w:pStyle w:val="BodyText"/>
      </w:pPr>
      <w:r>
        <w:t xml:space="preserve">Section 7.6.3 describes </w:t>
      </w:r>
      <w:r w:rsidR="00B807CF">
        <w:t>the role of java.io.Closeable. The DataReader.</w:t>
      </w:r>
      <w:r w:rsidR="002579A0">
        <w:t xml:space="preserve">returnLoan </w:t>
      </w:r>
      <w:r w:rsidR="00B807CF">
        <w:t xml:space="preserve">method </w:t>
      </w:r>
      <w:r w:rsidR="002579A0">
        <w:t xml:space="preserve">has been renamed as </w:t>
      </w:r>
      <w:r w:rsidR="00B807CF">
        <w:t>DataReader.</w:t>
      </w:r>
      <w:r w:rsidR="002579A0">
        <w:t>close.</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39" w:name="_Toc342394624"/>
      <w:r>
        <w:lastRenderedPageBreak/>
        <w:t xml:space="preserve">OMG Issue No: </w:t>
      </w:r>
      <w:r w:rsidRPr="001070B8">
        <w:t>1</w:t>
      </w:r>
      <w:r w:rsidR="00FC388B">
        <w:t>8285</w:t>
      </w:r>
      <w:bookmarkEnd w:id="39"/>
      <w:r w:rsidRPr="001070B8">
        <w:t xml:space="preserve"> </w:t>
      </w:r>
    </w:p>
    <w:p w:rsidR="00681986" w:rsidRDefault="00681986" w:rsidP="00681986">
      <w:pPr>
        <w:pStyle w:val="OMGTitle"/>
      </w:pPr>
      <w:bookmarkStart w:id="40" w:name="_Toc342394625"/>
      <w:r w:rsidRPr="00FB1A1D">
        <w:t>Title</w:t>
      </w:r>
      <w:r>
        <w:t>:</w:t>
      </w:r>
      <w:r>
        <w:tab/>
        <w:t>Redundant</w:t>
      </w:r>
      <w:r w:rsidRPr="0076069B">
        <w:t xml:space="preserve"> "QoSPolicy" Suffix on Policy Types</w:t>
      </w:r>
      <w:r w:rsidRPr="00F31C5A">
        <w:t>.</w:t>
      </w:r>
      <w:bookmarkEnd w:id="40"/>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dds-psm-java uses a superfluous "QoSPolicy"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"QosPolicy" suffix.</w:t>
      </w:r>
    </w:p>
    <w:p w:rsidR="00681986" w:rsidRDefault="00681986" w:rsidP="00681986">
      <w:pPr>
        <w:pStyle w:val="OMGRevisedText"/>
      </w:pPr>
      <w:r w:rsidRPr="00081DCC">
        <w:t>Revised Text:</w:t>
      </w:r>
    </w:p>
    <w:p w:rsidR="00562246" w:rsidRDefault="00562246" w:rsidP="00681986">
      <w:pPr>
        <w:pStyle w:val="BodyText"/>
      </w:pPr>
      <w:r>
        <w:t>This issue requires no changes to the specification document.</w:t>
      </w:r>
    </w:p>
    <w:p w:rsidR="00681986" w:rsidRPr="00B3701A" w:rsidRDefault="00681986" w:rsidP="00681986">
      <w:pPr>
        <w:pStyle w:val="BodyText"/>
      </w:pPr>
      <w:r>
        <w:t>Removed “QosPolicy” suffix.</w:t>
      </w:r>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the attached file </w:t>
      </w:r>
      <w:r w:rsidRPr="00782C11">
        <w:t>diff_omg_issue_165</w:t>
      </w:r>
      <w:r>
        <w:t>30</w:t>
      </w:r>
      <w:r w:rsidRPr="00782C11">
        <w:t>.txt</w:t>
      </w:r>
      <w:r>
        <w:t>.</w:t>
      </w:r>
    </w:p>
    <w:p w:rsidR="00681986" w:rsidRDefault="00681986" w:rsidP="00681986">
      <w:pPr>
        <w:pStyle w:val="BodyText"/>
      </w:pPr>
      <w:r w:rsidRPr="00B3701A">
        <w:rPr>
          <w:b/>
        </w:rPr>
        <w:t>Proposed Disposition:</w:t>
      </w:r>
      <w:r>
        <w:t xml:space="preserve"> Resolved</w:t>
      </w:r>
    </w:p>
    <w:p w:rsidR="00A014F8" w:rsidRDefault="00A014F8" w:rsidP="00681986">
      <w:pPr>
        <w:pStyle w:val="BodyText"/>
      </w:pPr>
      <w:r w:rsidRPr="00A014F8">
        <w:rPr>
          <w:b/>
        </w:rPr>
        <w:t>Disposition:</w:t>
      </w:r>
      <w:r>
        <w:t xml:space="preserve"> Under Discussion</w:t>
      </w:r>
    </w:p>
    <w:p w:rsidR="00681986" w:rsidRDefault="00681986" w:rsidP="00681986">
      <w:pPr>
        <w:pStyle w:val="DispositionHeader"/>
      </w:pPr>
      <w:bookmarkStart w:id="41" w:name="_Toc342394626"/>
      <w:r w:rsidRPr="00FB1A1D">
        <w:lastRenderedPageBreak/>
        <w:t>Disposition</w:t>
      </w:r>
      <w:r>
        <w:t xml:space="preserve">: </w:t>
      </w:r>
      <w:r>
        <w:rPr>
          <w:b w:val="0"/>
        </w:rPr>
        <w:t>Resolved</w:t>
      </w:r>
      <w:bookmarkEnd w:id="41"/>
    </w:p>
    <w:p w:rsidR="00096DA3" w:rsidRDefault="00096DA3" w:rsidP="00096DA3">
      <w:pPr>
        <w:pStyle w:val="DispositionHeader"/>
      </w:pPr>
      <w:bookmarkStart w:id="42" w:name="_Toc342394627"/>
      <w:r>
        <w:lastRenderedPageBreak/>
        <w:t>Disposition: Deferred</w:t>
      </w:r>
      <w:bookmarkEnd w:id="13"/>
      <w:bookmarkEnd w:id="42"/>
    </w:p>
    <w:p w:rsidR="00096DA3" w:rsidRDefault="00096DA3" w:rsidP="00096DA3">
      <w:pPr>
        <w:pStyle w:val="DispositionHeader"/>
      </w:pPr>
      <w:bookmarkStart w:id="43" w:name="_Toc30934252"/>
      <w:bookmarkStart w:id="44" w:name="_Toc342394628"/>
      <w:r>
        <w:lastRenderedPageBreak/>
        <w:t>Disposition: Closed, no change</w:t>
      </w:r>
      <w:bookmarkEnd w:id="43"/>
      <w:bookmarkEnd w:id="44"/>
    </w:p>
    <w:p w:rsidR="00096DA3" w:rsidRDefault="00096DA3" w:rsidP="00096DA3">
      <w:pPr>
        <w:pStyle w:val="DispositionHeader"/>
      </w:pPr>
      <w:bookmarkStart w:id="45" w:name="_Toc30934255"/>
      <w:bookmarkStart w:id="46" w:name="_Toc342394629"/>
      <w:r>
        <w:lastRenderedPageBreak/>
        <w:t>Disposition: Duplicate/merged</w:t>
      </w:r>
      <w:bookmarkEnd w:id="45"/>
      <w:bookmarkEnd w:id="46"/>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1E9" w:rsidRDefault="000E21E9">
      <w:r>
        <w:separator/>
      </w:r>
    </w:p>
  </w:endnote>
  <w:endnote w:type="continuationSeparator" w:id="0">
    <w:p w:rsidR="000E21E9" w:rsidRDefault="000E2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34" w:rsidRDefault="00F55534"/>
  <w:tbl>
    <w:tblPr>
      <w:tblW w:w="0" w:type="auto"/>
      <w:tblBorders>
        <w:top w:val="double" w:sz="4" w:space="0" w:color="auto"/>
      </w:tblBorders>
      <w:tblLayout w:type="fixed"/>
      <w:tblLook w:val="0000" w:firstRow="0" w:lastRow="0" w:firstColumn="0" w:lastColumn="0" w:noHBand="0" w:noVBand="0"/>
    </w:tblPr>
    <w:tblGrid>
      <w:gridCol w:w="4428"/>
      <w:gridCol w:w="4428"/>
    </w:tblGrid>
    <w:tr w:rsidR="00F55534">
      <w:tc>
        <w:tcPr>
          <w:tcW w:w="4428" w:type="dxa"/>
        </w:tcPr>
        <w:p w:rsidR="00F55534" w:rsidRPr="001B4E3E" w:rsidRDefault="00F55534"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F55534" w:rsidRDefault="00F55534">
          <w:pPr>
            <w:pStyle w:val="Footer"/>
            <w:jc w:val="right"/>
            <w:rPr>
              <w:rFonts w:ascii="Arial" w:hAnsi="Arial"/>
              <w:sz w:val="20"/>
            </w:rPr>
          </w:pPr>
        </w:p>
        <w:p w:rsidR="00F55534" w:rsidRDefault="00F55534">
          <w:pPr>
            <w:pStyle w:val="Footer"/>
            <w:jc w:val="right"/>
            <w:rPr>
              <w:rFonts w:ascii="Arial" w:hAnsi="Arial"/>
              <w:sz w:val="20"/>
            </w:rPr>
          </w:pPr>
        </w:p>
        <w:p w:rsidR="00F55534" w:rsidRDefault="00F55534">
          <w:pPr>
            <w:pStyle w:val="Footer"/>
            <w:jc w:val="right"/>
            <w:rPr>
              <w:rFonts w:ascii="Arial" w:hAnsi="Arial"/>
              <w:sz w:val="20"/>
            </w:rPr>
          </w:pPr>
        </w:p>
      </w:tc>
    </w:tr>
  </w:tbl>
  <w:p w:rsidR="00F55534" w:rsidRDefault="00F555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55534">
      <w:tc>
        <w:tcPr>
          <w:tcW w:w="5328" w:type="dxa"/>
        </w:tcPr>
        <w:p w:rsidR="00F55534" w:rsidRDefault="00F55534">
          <w:pPr>
            <w:pStyle w:val="Footer"/>
            <w:ind w:right="360"/>
          </w:pPr>
          <w:r>
            <w:fldChar w:fldCharType="begin"/>
          </w:r>
          <w:r>
            <w:instrText xml:space="preserve"> DATE \@ "M/d/yy" </w:instrText>
          </w:r>
          <w:r>
            <w:fldChar w:fldCharType="separate"/>
          </w:r>
          <w:r w:rsidR="009F60E5">
            <w:rPr>
              <w:noProof/>
            </w:rPr>
            <w:t>12/4/12</w:t>
          </w:r>
          <w:r>
            <w:rPr>
              <w:noProof/>
            </w:rPr>
            <w:fldChar w:fldCharType="end"/>
          </w:r>
        </w:p>
      </w:tc>
      <w:tc>
        <w:tcPr>
          <w:tcW w:w="3528" w:type="dxa"/>
        </w:tcPr>
        <w:p w:rsidR="00F55534" w:rsidRDefault="00F55534">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F55534" w:rsidRDefault="00F555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55534">
      <w:tc>
        <w:tcPr>
          <w:tcW w:w="5328" w:type="dxa"/>
        </w:tcPr>
        <w:p w:rsidR="00F55534" w:rsidRPr="001B4E3E" w:rsidRDefault="00F55534"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F55534" w:rsidRDefault="00F55534">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9F60E5">
            <w:rPr>
              <w:rStyle w:val="PageNumber"/>
              <w:rFonts w:ascii="Arial" w:hAnsi="Arial"/>
              <w:noProof/>
              <w:sz w:val="20"/>
            </w:rPr>
            <w:t>27</w:t>
          </w:r>
          <w:r>
            <w:rPr>
              <w:rStyle w:val="PageNumber"/>
              <w:rFonts w:ascii="Arial" w:hAnsi="Arial"/>
              <w:sz w:val="20"/>
            </w:rPr>
            <w:fldChar w:fldCharType="end"/>
          </w:r>
          <w:r>
            <w:rPr>
              <w:rFonts w:ascii="Arial" w:hAnsi="Arial"/>
            </w:rPr>
            <w:t xml:space="preserve"> </w:t>
          </w:r>
        </w:p>
      </w:tc>
    </w:tr>
  </w:tbl>
  <w:p w:rsidR="00F55534" w:rsidRDefault="00F55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1E9" w:rsidRDefault="000E21E9">
      <w:r>
        <w:separator/>
      </w:r>
    </w:p>
  </w:footnote>
  <w:footnote w:type="continuationSeparator" w:id="0">
    <w:p w:rsidR="000E21E9" w:rsidRDefault="000E2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F55534">
      <w:tc>
        <w:tcPr>
          <w:tcW w:w="4428" w:type="dxa"/>
        </w:tcPr>
        <w:p w:rsidR="00F55534" w:rsidRDefault="00F55534">
          <w:pPr>
            <w:pStyle w:val="Header"/>
            <w:rPr>
              <w:rFonts w:ascii="Arial" w:hAnsi="Arial"/>
              <w:sz w:val="20"/>
            </w:rPr>
          </w:pPr>
          <w:r>
            <w:rPr>
              <w:rFonts w:ascii="Arial" w:hAnsi="Arial"/>
              <w:sz w:val="20"/>
            </w:rPr>
            <w:t>Object Management Group</w:t>
          </w:r>
        </w:p>
      </w:tc>
      <w:tc>
        <w:tcPr>
          <w:tcW w:w="4428" w:type="dxa"/>
        </w:tcPr>
        <w:p w:rsidR="00F55534" w:rsidRDefault="00F55534" w:rsidP="00096DA3">
          <w:pPr>
            <w:pStyle w:val="Header"/>
            <w:jc w:val="right"/>
            <w:rPr>
              <w:rFonts w:ascii="Arial" w:hAnsi="Arial"/>
              <w:sz w:val="20"/>
            </w:rPr>
          </w:pPr>
          <w:r>
            <w:rPr>
              <w:rFonts w:ascii="Arial" w:hAnsi="Arial"/>
              <w:sz w:val="20"/>
            </w:rPr>
            <w:t>Final FTF Report</w:t>
          </w:r>
        </w:p>
      </w:tc>
    </w:tr>
  </w:tbl>
  <w:p w:rsidR="00F55534" w:rsidRDefault="00F55534">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F55534">
      <w:tc>
        <w:tcPr>
          <w:tcW w:w="4428" w:type="dxa"/>
        </w:tcPr>
        <w:p w:rsidR="00F55534" w:rsidRDefault="00F55534">
          <w:pPr>
            <w:pStyle w:val="Header"/>
            <w:rPr>
              <w:rFonts w:ascii="Arial" w:hAnsi="Arial"/>
              <w:sz w:val="20"/>
            </w:rPr>
          </w:pPr>
          <w:r>
            <w:rPr>
              <w:rFonts w:ascii="Arial" w:hAnsi="Arial"/>
              <w:sz w:val="20"/>
            </w:rPr>
            <w:t>Java 5 Language PSM for DDS</w:t>
          </w:r>
        </w:p>
        <w:p w:rsidR="00F55534" w:rsidRDefault="00F55534">
          <w:pPr>
            <w:pStyle w:val="Header"/>
            <w:rPr>
              <w:rFonts w:ascii="Arial" w:hAnsi="Arial"/>
              <w:sz w:val="20"/>
            </w:rPr>
          </w:pPr>
        </w:p>
      </w:tc>
      <w:tc>
        <w:tcPr>
          <w:tcW w:w="4428" w:type="dxa"/>
        </w:tcPr>
        <w:p w:rsidR="00F55534" w:rsidRDefault="00F55534">
          <w:pPr>
            <w:pStyle w:val="Header"/>
            <w:jc w:val="right"/>
            <w:rPr>
              <w:rFonts w:ascii="Arial" w:hAnsi="Arial"/>
              <w:sz w:val="20"/>
            </w:rPr>
          </w:pPr>
          <w:r>
            <w:rPr>
              <w:rFonts w:ascii="Arial" w:hAnsi="Arial"/>
              <w:sz w:val="20"/>
            </w:rPr>
            <w:t>Final Report</w:t>
          </w:r>
        </w:p>
      </w:tc>
    </w:tr>
  </w:tbl>
  <w:p w:rsidR="00F55534" w:rsidRDefault="00F55534"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F55534">
      <w:tc>
        <w:tcPr>
          <w:tcW w:w="3528" w:type="dxa"/>
        </w:tcPr>
        <w:p w:rsidR="00F55534" w:rsidRPr="00A66DCD" w:rsidRDefault="00F55534">
          <w:pPr>
            <w:pStyle w:val="Header"/>
            <w:rPr>
              <w:rFonts w:ascii="Arial" w:hAnsi="Arial"/>
              <w:sz w:val="20"/>
            </w:rPr>
          </w:pPr>
          <w:r>
            <w:rPr>
              <w:rFonts w:ascii="Arial" w:hAnsi="Arial"/>
              <w:sz w:val="20"/>
            </w:rPr>
            <w:t>Java 5 Language PSM for DDS</w:t>
          </w:r>
        </w:p>
      </w:tc>
      <w:tc>
        <w:tcPr>
          <w:tcW w:w="5220" w:type="dxa"/>
        </w:tcPr>
        <w:p w:rsidR="00F55534" w:rsidRDefault="00F55534">
          <w:pPr>
            <w:pStyle w:val="Header"/>
            <w:tabs>
              <w:tab w:val="clear" w:pos="4320"/>
              <w:tab w:val="left" w:pos="5454"/>
            </w:tabs>
            <w:ind w:left="72"/>
            <w:jc w:val="right"/>
            <w:rPr>
              <w:rFonts w:ascii="Arial" w:hAnsi="Arial"/>
              <w:sz w:val="20"/>
            </w:rPr>
          </w:pPr>
          <w:r>
            <w:rPr>
              <w:rFonts w:ascii="Arial" w:hAnsi="Arial"/>
              <w:sz w:val="20"/>
            </w:rPr>
            <w:t>Final Report</w:t>
          </w:r>
        </w:p>
        <w:p w:rsidR="00F55534" w:rsidRDefault="00F55534">
          <w:pPr>
            <w:pStyle w:val="Header"/>
            <w:tabs>
              <w:tab w:val="clear" w:pos="4320"/>
              <w:tab w:val="left" w:pos="5454"/>
            </w:tabs>
            <w:ind w:left="72"/>
            <w:jc w:val="right"/>
            <w:rPr>
              <w:rFonts w:ascii="Arial" w:hAnsi="Arial"/>
              <w:sz w:val="20"/>
            </w:rPr>
          </w:pPr>
        </w:p>
      </w:tc>
    </w:tr>
  </w:tbl>
  <w:p w:rsidR="00F55534" w:rsidRDefault="00F555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F55534">
      <w:tc>
        <w:tcPr>
          <w:tcW w:w="3978" w:type="dxa"/>
        </w:tcPr>
        <w:p w:rsidR="00F55534" w:rsidRDefault="00F55534">
          <w:pPr>
            <w:pStyle w:val="Header"/>
            <w:rPr>
              <w:rFonts w:ascii="Arial" w:hAnsi="Arial"/>
              <w:sz w:val="20"/>
            </w:rPr>
          </w:pPr>
          <w:r>
            <w:rPr>
              <w:rFonts w:ascii="Arial" w:hAnsi="Arial"/>
              <w:sz w:val="20"/>
            </w:rPr>
            <w:t>Java 5 Language PSM for DDS</w:t>
          </w:r>
        </w:p>
      </w:tc>
      <w:tc>
        <w:tcPr>
          <w:tcW w:w="4860" w:type="dxa"/>
        </w:tcPr>
        <w:p w:rsidR="00F55534" w:rsidRDefault="000E21E9">
          <w:pPr>
            <w:pStyle w:val="Header"/>
            <w:tabs>
              <w:tab w:val="clear" w:pos="4320"/>
              <w:tab w:val="left" w:pos="5454"/>
            </w:tabs>
            <w:ind w:left="72"/>
            <w:jc w:val="right"/>
            <w:rPr>
              <w:rFonts w:ascii="Arial" w:hAnsi="Arial"/>
              <w:b/>
              <w:sz w:val="20"/>
            </w:rPr>
          </w:pPr>
          <w:r>
            <w:fldChar w:fldCharType="begin"/>
          </w:r>
          <w:r>
            <w:instrText>STYLEREF "Disposition Header" \* MERGEFORMAT</w:instrText>
          </w:r>
          <w:r>
            <w:fldChar w:fldCharType="separate"/>
          </w:r>
          <w:r w:rsidR="009F60E5">
            <w:rPr>
              <w:noProof/>
            </w:rPr>
            <w:t>Disposition: Duplicate/merged</w:t>
          </w:r>
          <w:r>
            <w:rPr>
              <w:noProof/>
            </w:rPr>
            <w:fldChar w:fldCharType="end"/>
          </w:r>
        </w:p>
        <w:p w:rsidR="00F55534" w:rsidRDefault="000E21E9">
          <w:pPr>
            <w:pStyle w:val="Header"/>
            <w:tabs>
              <w:tab w:val="clear" w:pos="4320"/>
              <w:tab w:val="left" w:pos="5454"/>
            </w:tabs>
            <w:ind w:left="72"/>
            <w:jc w:val="right"/>
            <w:rPr>
              <w:rFonts w:ascii="Arial" w:hAnsi="Arial"/>
              <w:sz w:val="20"/>
            </w:rPr>
          </w:pPr>
          <w:r>
            <w:fldChar w:fldCharType="begin"/>
          </w:r>
          <w:r>
            <w:instrText>STYLEREF "OMG Issue NO" \* MERGEFORMAT</w:instrText>
          </w:r>
          <w:r>
            <w:fldChar w:fldCharType="separate"/>
          </w:r>
          <w:r w:rsidR="009F60E5">
            <w:rPr>
              <w:noProof/>
            </w:rPr>
            <w:t>OMG Issue No: 18285</w:t>
          </w:r>
          <w:r>
            <w:rPr>
              <w:noProof/>
            </w:rPr>
            <w:fldChar w:fldCharType="end"/>
          </w:r>
        </w:p>
      </w:tc>
    </w:tr>
  </w:tbl>
  <w:p w:rsidR="00F55534" w:rsidRDefault="00F555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6651"/>
    <w:rsid w:val="000366FB"/>
    <w:rsid w:val="000370BF"/>
    <w:rsid w:val="00040F08"/>
    <w:rsid w:val="00041711"/>
    <w:rsid w:val="00041F7B"/>
    <w:rsid w:val="00043794"/>
    <w:rsid w:val="00043B84"/>
    <w:rsid w:val="00043C1C"/>
    <w:rsid w:val="00044C30"/>
    <w:rsid w:val="00052535"/>
    <w:rsid w:val="00052E7C"/>
    <w:rsid w:val="00054AFD"/>
    <w:rsid w:val="00056904"/>
    <w:rsid w:val="00060DFE"/>
    <w:rsid w:val="00062754"/>
    <w:rsid w:val="000635BD"/>
    <w:rsid w:val="00063827"/>
    <w:rsid w:val="0006413B"/>
    <w:rsid w:val="00064E7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21E9"/>
    <w:rsid w:val="000E3A1C"/>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6A4"/>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4D86"/>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40B77"/>
    <w:rsid w:val="00341546"/>
    <w:rsid w:val="00343C98"/>
    <w:rsid w:val="00344217"/>
    <w:rsid w:val="003466C5"/>
    <w:rsid w:val="00347F36"/>
    <w:rsid w:val="003554A9"/>
    <w:rsid w:val="00355A65"/>
    <w:rsid w:val="00355FD6"/>
    <w:rsid w:val="00357A52"/>
    <w:rsid w:val="00361262"/>
    <w:rsid w:val="00362D2B"/>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73FE"/>
    <w:rsid w:val="00423DC4"/>
    <w:rsid w:val="00423EA0"/>
    <w:rsid w:val="00427479"/>
    <w:rsid w:val="0042749A"/>
    <w:rsid w:val="00427879"/>
    <w:rsid w:val="00427B67"/>
    <w:rsid w:val="00434157"/>
    <w:rsid w:val="00434420"/>
    <w:rsid w:val="00435064"/>
    <w:rsid w:val="00441DCC"/>
    <w:rsid w:val="00442A64"/>
    <w:rsid w:val="00442E7A"/>
    <w:rsid w:val="0044438A"/>
    <w:rsid w:val="004449B5"/>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143A"/>
    <w:rsid w:val="0052269D"/>
    <w:rsid w:val="005228DD"/>
    <w:rsid w:val="00523620"/>
    <w:rsid w:val="00524686"/>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5F5649"/>
    <w:rsid w:val="00600FBE"/>
    <w:rsid w:val="0060140E"/>
    <w:rsid w:val="006029AD"/>
    <w:rsid w:val="00602A90"/>
    <w:rsid w:val="0060496C"/>
    <w:rsid w:val="006060FD"/>
    <w:rsid w:val="0060652D"/>
    <w:rsid w:val="0060688F"/>
    <w:rsid w:val="00611768"/>
    <w:rsid w:val="00615ADE"/>
    <w:rsid w:val="00622836"/>
    <w:rsid w:val="006233A7"/>
    <w:rsid w:val="00627C8C"/>
    <w:rsid w:val="0063013B"/>
    <w:rsid w:val="00630CE5"/>
    <w:rsid w:val="00633F78"/>
    <w:rsid w:val="0063430A"/>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2058"/>
    <w:rsid w:val="00675C35"/>
    <w:rsid w:val="00677280"/>
    <w:rsid w:val="006811C7"/>
    <w:rsid w:val="00681986"/>
    <w:rsid w:val="00682770"/>
    <w:rsid w:val="00683393"/>
    <w:rsid w:val="0068436F"/>
    <w:rsid w:val="0069074A"/>
    <w:rsid w:val="00690A01"/>
    <w:rsid w:val="00695DEB"/>
    <w:rsid w:val="00696EAA"/>
    <w:rsid w:val="00697CFA"/>
    <w:rsid w:val="006A090D"/>
    <w:rsid w:val="006A23AA"/>
    <w:rsid w:val="006A38AB"/>
    <w:rsid w:val="006B20BB"/>
    <w:rsid w:val="006B41BE"/>
    <w:rsid w:val="006B5A93"/>
    <w:rsid w:val="006B5BDB"/>
    <w:rsid w:val="006B760B"/>
    <w:rsid w:val="006B7D9E"/>
    <w:rsid w:val="006C0875"/>
    <w:rsid w:val="006C09D4"/>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24B0"/>
    <w:rsid w:val="00723416"/>
    <w:rsid w:val="00724A88"/>
    <w:rsid w:val="00735CD8"/>
    <w:rsid w:val="00737C79"/>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1D7"/>
    <w:rsid w:val="007F091B"/>
    <w:rsid w:val="007F0DD4"/>
    <w:rsid w:val="007F2F29"/>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CA4"/>
    <w:rsid w:val="008771CF"/>
    <w:rsid w:val="00880EFE"/>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C02"/>
    <w:rsid w:val="008D79E0"/>
    <w:rsid w:val="008E0A32"/>
    <w:rsid w:val="008E12F6"/>
    <w:rsid w:val="008E1A53"/>
    <w:rsid w:val="008E3E93"/>
    <w:rsid w:val="008E56ED"/>
    <w:rsid w:val="008E78B0"/>
    <w:rsid w:val="008F0896"/>
    <w:rsid w:val="0090023E"/>
    <w:rsid w:val="00900244"/>
    <w:rsid w:val="009027F6"/>
    <w:rsid w:val="0090315D"/>
    <w:rsid w:val="00904B71"/>
    <w:rsid w:val="00904BBB"/>
    <w:rsid w:val="009061C8"/>
    <w:rsid w:val="00906C65"/>
    <w:rsid w:val="00910590"/>
    <w:rsid w:val="00921D9C"/>
    <w:rsid w:val="0092373E"/>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325B"/>
    <w:rsid w:val="009A5305"/>
    <w:rsid w:val="009A7B94"/>
    <w:rsid w:val="009B04E8"/>
    <w:rsid w:val="009B1EE6"/>
    <w:rsid w:val="009B4068"/>
    <w:rsid w:val="009B4FB9"/>
    <w:rsid w:val="009B7326"/>
    <w:rsid w:val="009B78CB"/>
    <w:rsid w:val="009B7E82"/>
    <w:rsid w:val="009C4385"/>
    <w:rsid w:val="009C569A"/>
    <w:rsid w:val="009C5C95"/>
    <w:rsid w:val="009D2981"/>
    <w:rsid w:val="009D32EB"/>
    <w:rsid w:val="009D533D"/>
    <w:rsid w:val="009D53C0"/>
    <w:rsid w:val="009E15FD"/>
    <w:rsid w:val="009E2E15"/>
    <w:rsid w:val="009E72CA"/>
    <w:rsid w:val="009E7C6D"/>
    <w:rsid w:val="009F074E"/>
    <w:rsid w:val="009F5274"/>
    <w:rsid w:val="009F60E5"/>
    <w:rsid w:val="009F6D63"/>
    <w:rsid w:val="00A014F8"/>
    <w:rsid w:val="00A015B4"/>
    <w:rsid w:val="00A06325"/>
    <w:rsid w:val="00A0680C"/>
    <w:rsid w:val="00A13038"/>
    <w:rsid w:val="00A15B4F"/>
    <w:rsid w:val="00A16859"/>
    <w:rsid w:val="00A17FEA"/>
    <w:rsid w:val="00A2404D"/>
    <w:rsid w:val="00A247D4"/>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B0F"/>
    <w:rsid w:val="00AD1BE7"/>
    <w:rsid w:val="00AD2E86"/>
    <w:rsid w:val="00AD30E6"/>
    <w:rsid w:val="00AD432D"/>
    <w:rsid w:val="00AE1AF3"/>
    <w:rsid w:val="00AE464D"/>
    <w:rsid w:val="00AE53A6"/>
    <w:rsid w:val="00AE69CF"/>
    <w:rsid w:val="00AF128E"/>
    <w:rsid w:val="00AF285D"/>
    <w:rsid w:val="00AF7D32"/>
    <w:rsid w:val="00B00F7D"/>
    <w:rsid w:val="00B03FC6"/>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2BC0"/>
    <w:rsid w:val="00B54E90"/>
    <w:rsid w:val="00B60397"/>
    <w:rsid w:val="00B60F8F"/>
    <w:rsid w:val="00B63109"/>
    <w:rsid w:val="00B64140"/>
    <w:rsid w:val="00B641D7"/>
    <w:rsid w:val="00B655EB"/>
    <w:rsid w:val="00B67D04"/>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053"/>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5F86"/>
    <w:rsid w:val="00DB6EBB"/>
    <w:rsid w:val="00DB6F0B"/>
    <w:rsid w:val="00DC1024"/>
    <w:rsid w:val="00DC2C98"/>
    <w:rsid w:val="00DC3D53"/>
    <w:rsid w:val="00DC4FBB"/>
    <w:rsid w:val="00DC74F7"/>
    <w:rsid w:val="00DD13AE"/>
    <w:rsid w:val="00DD20C4"/>
    <w:rsid w:val="00DD6096"/>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55A7"/>
    <w:rsid w:val="00E30726"/>
    <w:rsid w:val="00E31607"/>
    <w:rsid w:val="00E322C3"/>
    <w:rsid w:val="00E32742"/>
    <w:rsid w:val="00E377F9"/>
    <w:rsid w:val="00E41972"/>
    <w:rsid w:val="00E44275"/>
    <w:rsid w:val="00E4637E"/>
    <w:rsid w:val="00E51824"/>
    <w:rsid w:val="00E555AA"/>
    <w:rsid w:val="00E57288"/>
    <w:rsid w:val="00E575DB"/>
    <w:rsid w:val="00E5790C"/>
    <w:rsid w:val="00E648FD"/>
    <w:rsid w:val="00E70344"/>
    <w:rsid w:val="00E704EE"/>
    <w:rsid w:val="00E71EDB"/>
    <w:rsid w:val="00E72D9A"/>
    <w:rsid w:val="00E7682A"/>
    <w:rsid w:val="00E77D71"/>
    <w:rsid w:val="00E84F78"/>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7F0"/>
    <w:rsid w:val="00FC383C"/>
    <w:rsid w:val="00FC388B"/>
    <w:rsid w:val="00FC39B2"/>
    <w:rsid w:val="00FD1C37"/>
    <w:rsid w:val="00FD1DBE"/>
    <w:rsid w:val="00FD2B54"/>
    <w:rsid w:val="00FD3080"/>
    <w:rsid w:val="00FD37C2"/>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DCE87-54DF-403D-83D6-E13DFC56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30854</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3</cp:revision>
  <cp:lastPrinted>2011-02-17T22:15:00Z</cp:lastPrinted>
  <dcterms:created xsi:type="dcterms:W3CDTF">2012-12-04T22:33:00Z</dcterms:created>
  <dcterms:modified xsi:type="dcterms:W3CDTF">2012-12-04T22:45:00Z</dcterms:modified>
</cp:coreProperties>
</file>