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r w:rsidR="00717DC8">
        <w:rPr>
          <w:rFonts w:ascii="Times New Roman" w:hAnsi="Times New Roman" w:cs="Times New Roman"/>
        </w:rPr>
        <w:t xml:space="preserve">December </w:t>
      </w:r>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r w:rsidR="00717DC8">
        <w:rPr>
          <w:rFonts w:ascii="Times New Roman" w:hAnsi="Times New Roman" w:cs="Times New Roman"/>
        </w:rPr>
        <w:t>2</w:t>
      </w:r>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r>
      <w:proofErr w:type="spellStart"/>
      <w:r>
        <w:rPr>
          <w:rFonts w:ascii="Arial" w:hAnsi="Arial" w:cs="Arial"/>
          <w:b/>
          <w:bCs/>
        </w:rPr>
        <w:t>ptc</w:t>
      </w:r>
      <w:proofErr w:type="spellEnd"/>
      <w:r>
        <w:rPr>
          <w:rFonts w:ascii="Arial" w:hAnsi="Arial" w:cs="Arial"/>
          <w:b/>
          <w:bCs/>
        </w:rPr>
        <w:t>/2011-</w:t>
      </w:r>
      <w:r w:rsidR="006812F9">
        <w:rPr>
          <w:rFonts w:ascii="Arial" w:hAnsi="Arial" w:cs="Arial"/>
          <w:b/>
          <w:bCs/>
        </w:rPr>
        <w:t>10-07</w:t>
      </w:r>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8"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9"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10"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R="002166B4" w:rsidDel="002166B4">
        <w:rPr>
          <w:rFonts w:ascii="Arial" w:hAnsi="Arial" w:cs="Arial"/>
          <w:sz w:val="20"/>
        </w:rPr>
        <w:t xml:space="preserve"> </w:t>
      </w:r>
      <w:proofErr w:type="spellStart"/>
      <w:r w:rsidR="002166B4" w:rsidRPr="002166B4">
        <w:rPr>
          <w:rFonts w:ascii="Arial" w:hAnsi="Arial" w:cs="Arial"/>
          <w:sz w:val="20"/>
        </w:rPr>
        <w:t>ptc</w:t>
      </w:r>
      <w:proofErr w:type="spellEnd"/>
      <w:r w:rsidR="002166B4" w:rsidRPr="002166B4">
        <w:rPr>
          <w:rFonts w:ascii="Arial" w:hAnsi="Arial" w:cs="Arial"/>
          <w:sz w:val="20"/>
        </w:rPr>
        <w:t>/2011-10-09</w:t>
      </w:r>
      <w:r w:rsidRPr="002166B4">
        <w:rPr>
          <w:rFonts w:ascii="Arial" w:hAnsi="Arial" w:cs="Arial"/>
          <w:sz w:val="20"/>
        </w:rPr>
        <w:t xml:space="preserve"> (</w:t>
      </w:r>
      <w:r>
        <w:rPr>
          <w:rFonts w:ascii="Arial" w:hAnsi="Arial" w:cs="Arial"/>
          <w:sz w:val="20"/>
        </w:rPr>
        <w:t xml:space="preserve">omgdds.jar), </w:t>
      </w:r>
      <w:proofErr w:type="spellStart"/>
      <w:r w:rsidR="009027D6" w:rsidRPr="009027D6">
        <w:rPr>
          <w:rFonts w:ascii="Arial" w:hAnsi="Arial" w:cs="Arial"/>
          <w:sz w:val="20"/>
        </w:rPr>
        <w:t>ptc</w:t>
      </w:r>
      <w:proofErr w:type="spellEnd"/>
      <w:r w:rsidR="009027D6" w:rsidRPr="009027D6">
        <w:rPr>
          <w:rFonts w:ascii="Arial" w:hAnsi="Arial" w:cs="Arial"/>
          <w:sz w:val="20"/>
        </w:rPr>
        <w:t>/2011-10-08</w:t>
      </w:r>
      <w:r w:rsidR="009027D6">
        <w:rPr>
          <w:rFonts w:ascii="Arial" w:hAnsi="Arial" w:cs="Arial"/>
          <w:sz w:val="20"/>
        </w:rPr>
        <w:t xml:space="preserve"> </w:t>
      </w:r>
      <w:r>
        <w:rPr>
          <w:rFonts w:ascii="Arial" w:hAnsi="Arial" w:cs="Arial"/>
          <w:sz w:val="20"/>
        </w:rPr>
        <w:t>(omgdds_src.zip)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1 </w:t>
      </w:r>
      <w:r>
        <w:rPr>
          <w:rFonts w:ascii="Arial" w:hAnsi="Arial" w:cs="Arial"/>
        </w:rPr>
        <w:t>document (</w:t>
      </w:r>
      <w:proofErr w:type="spellStart"/>
      <w:r w:rsidR="009027D6">
        <w:rPr>
          <w:rFonts w:ascii="Arial" w:hAnsi="Arial" w:cs="Arial"/>
        </w:rPr>
        <w:t>ptc</w:t>
      </w:r>
      <w:proofErr w:type="spellEnd"/>
      <w:r w:rsidR="009027D6">
        <w:rPr>
          <w:rFonts w:ascii="Arial" w:hAnsi="Arial" w:cs="Arial"/>
        </w:rPr>
        <w:t>/2011-01-01</w:t>
      </w:r>
      <w:r>
        <w:rPr>
          <w:rFonts w:ascii="Arial" w:hAnsi="Arial" w:cs="Arial"/>
        </w:rPr>
        <w:t xml:space="preserve">). It is an OMG Adopted Beta Specification and is currently in the finalization phase. Comments on the content of this document are welcome, and should be directed to </w:t>
      </w:r>
      <w:hyperlink r:id="rId11"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2"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proofErr w:type="gramStart"/>
      <w:r>
        <w:rPr>
          <w:sz w:val="22"/>
          <w:szCs w:val="22"/>
        </w:rPr>
        <w:t>)</w:t>
      </w:r>
      <w:proofErr w:type="gramEnd"/>
      <w:r>
        <w:rPr>
          <w:sz w:val="22"/>
          <w:szCs w:val="22"/>
        </w:rPr>
        <w:br/>
        <w:t xml:space="preserve">Copyright © 2010, </w:t>
      </w:r>
      <w:proofErr w:type="spellStart"/>
      <w:r>
        <w:rPr>
          <w:sz w:val="22"/>
          <w:szCs w:val="22"/>
        </w:rPr>
        <w:t>PrismTech</w:t>
      </w:r>
      <w:proofErr w:type="spellEnd"/>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w:t>
      </w:r>
      <w:proofErr w:type="gramStart"/>
      <w:r>
        <w:t>conformed</w:t>
      </w:r>
      <w:proofErr w:type="gramEnd"/>
      <w:r>
        <w:t xml:space="preserve">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 xml:space="preserve">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0" w:name="DDE_LINK1"/>
      <w:r>
        <w:t>Platf</w:t>
      </w:r>
      <w:bookmarkEnd w:id="0"/>
      <w:r>
        <w:t>orm Specific Model and Interface Specifications</w:t>
      </w:r>
    </w:p>
    <w:p w:rsidR="00C26DAF" w:rsidRDefault="00157CCB">
      <w:pPr>
        <w:pStyle w:val="Bullet1"/>
        <w:numPr>
          <w:ilvl w:val="0"/>
          <w:numId w:val="4"/>
        </w:numPr>
      </w:pPr>
      <w:proofErr w:type="spellStart"/>
      <w:r>
        <w:t>CORBAservices</w:t>
      </w:r>
      <w:proofErr w:type="spellEnd"/>
    </w:p>
    <w:p w:rsidR="00C26DAF" w:rsidRDefault="00157CCB">
      <w:pPr>
        <w:pStyle w:val="Bullet1"/>
        <w:numPr>
          <w:ilvl w:val="0"/>
          <w:numId w:val="4"/>
        </w:numPr>
      </w:pPr>
      <w:proofErr w:type="spellStart"/>
      <w:r>
        <w:lastRenderedPageBreak/>
        <w:t>CORBAfacilities</w:t>
      </w:r>
      <w:proofErr w:type="spellEnd"/>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3"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 xml:space="preserve">Helvetica/Arial - 10 </w:t>
      </w:r>
      <w:proofErr w:type="spellStart"/>
      <w:r>
        <w:rPr>
          <w:rFonts w:ascii="Arial" w:hAnsi="Arial" w:cs="Arial"/>
          <w:color w:val="000000"/>
        </w:rPr>
        <w:t>pt</w:t>
      </w:r>
      <w:proofErr w:type="spellEnd"/>
      <w:r>
        <w:rPr>
          <w:rFonts w:ascii="Times" w:hAnsi="Times" w:cs="Times"/>
          <w:color w:val="000000"/>
        </w:rPr>
        <w:t>: Exceptions</w:t>
      </w:r>
    </w:p>
    <w:p w:rsidR="00C26DAF" w:rsidRDefault="00157CCB">
      <w:pPr>
        <w:pStyle w:val="Body"/>
        <w:tabs>
          <w:tab w:val="right" w:leader="dot" w:pos="8258"/>
        </w:tabs>
        <w:sectPr w:rsidR="00C26DAF">
          <w:footerReference w:type="even" r:id="rId14"/>
          <w:footerReference w:type="default" r:id="rId15"/>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1" w:name="_Toc181353232"/>
      <w:r w:rsidRPr="00B95E87">
        <w:lastRenderedPageBreak/>
        <w:t>Scope</w:t>
      </w:r>
      <w:bookmarkEnd w:id="1"/>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xml:space="preserve">) an API to specifying </w:t>
      </w:r>
      <w:proofErr w:type="spellStart"/>
      <w:r>
        <w:t>QoS</w:t>
      </w:r>
      <w:proofErr w:type="spellEnd"/>
      <w:r>
        <w:t xml:space="preserve">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2" w:name="_Ref134959754"/>
      <w:bookmarkStart w:id="3" w:name="_Toc181353233"/>
      <w:r>
        <w:t>Conformance</w:t>
      </w:r>
      <w:bookmarkEnd w:id="2"/>
      <w:bookmarkEnd w:id="3"/>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w:t>
      </w:r>
      <w:proofErr w:type="spellStart"/>
      <w:r>
        <w:t>QoS</w:t>
      </w:r>
      <w:proofErr w:type="spellEnd"/>
      <w:r>
        <w:t xml:space="preserve"> based on the XML </w:t>
      </w:r>
      <w:proofErr w:type="spellStart"/>
      <w:r>
        <w:t>QoS</w:t>
      </w:r>
      <w:proofErr w:type="spellEnd"/>
      <w:r>
        <w:t xml:space="preserve"> libraries and profiles defined by the </w:t>
      </w:r>
      <w:r>
        <w:rPr>
          <w:i/>
          <w:iCs/>
        </w:rPr>
        <w:t>DDS for Lightweight CCM</w:t>
      </w:r>
      <w:r>
        <w:t xml:space="preserve"> specification. Implementations that support these XML </w:t>
      </w:r>
      <w:proofErr w:type="spellStart"/>
      <w:r>
        <w:t>QoS</w:t>
      </w:r>
      <w:proofErr w:type="spellEnd"/>
      <w:r>
        <w:t xml:space="preserve">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4" w:name="_Toc181353234"/>
      <w:r>
        <w:t>References</w:t>
      </w:r>
      <w:bookmarkEnd w:id="4"/>
    </w:p>
    <w:p w:rsidR="00C26DAF" w:rsidRDefault="00157CCB" w:rsidP="00B95E87">
      <w:pPr>
        <w:pStyle w:val="Heading2"/>
      </w:pPr>
      <w:bookmarkStart w:id="5" w:name="_Toc181353235"/>
      <w:r w:rsidRPr="00B95E87">
        <w:t>Normative</w:t>
      </w:r>
      <w:r>
        <w:t xml:space="preserve"> References</w:t>
      </w:r>
      <w:bookmarkEnd w:id="5"/>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w:t>
      </w:r>
      <w:proofErr w:type="spellStart"/>
      <w:r w:rsidRPr="00EA1B50">
        <w:rPr>
          <w:rStyle w:val="SC1090142"/>
          <w:b/>
          <w:bCs/>
          <w:sz w:val="24"/>
          <w:szCs w:val="24"/>
        </w:rPr>
        <w:t>XTypes</w:t>
      </w:r>
      <w:proofErr w:type="spellEnd"/>
      <w:r w:rsidRPr="00EA1B50">
        <w:rPr>
          <w:rStyle w:val="SC1090142"/>
          <w:b/>
          <w:bCs/>
          <w:sz w:val="24"/>
          <w:szCs w:val="24"/>
        </w:rPr>
        <w:t>]</w:t>
      </w:r>
      <w:r w:rsidRPr="00EA1B50">
        <w:rPr>
          <w:rStyle w:val="SC1090142"/>
          <w:i/>
          <w:iCs/>
          <w:sz w:val="24"/>
          <w:szCs w:val="24"/>
        </w:rPr>
        <w:t xml:space="preserve"> Extensible and Dynamic Topic Types for DDS</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[Java-MAP] </w:t>
      </w:r>
      <w:r w:rsidRPr="008E40F5">
        <w:rPr>
          <w:i/>
          <w:iCs/>
          <w:kern w:val="0"/>
        </w:rPr>
        <w:t>IDL to Java Language Mapping</w:t>
      </w:r>
      <w:r w:rsidRPr="008E40F5">
        <w:rPr>
          <w:kern w:val="0"/>
        </w:rPr>
        <w:t>, Version 1.3 (OMG document formal/2008-01-11)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6" w:name="_Toc181353236"/>
      <w:r>
        <w:t>Non-Normative References</w:t>
      </w:r>
      <w:bookmarkEnd w:id="6"/>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6" w:history="1">
        <w:r>
          <w:rPr>
            <w:rStyle w:val="Hyperlink"/>
          </w:rPr>
          <w:t>http://java.sun.com/products/jms/docs.html</w:t>
        </w:r>
      </w:hyperlink>
      <w:r>
        <w:t>).</w:t>
      </w:r>
    </w:p>
    <w:p w:rsidR="00C26DAF" w:rsidRDefault="00157CCB" w:rsidP="00B95E87">
      <w:pPr>
        <w:pStyle w:val="Heading1"/>
      </w:pPr>
      <w:bookmarkStart w:id="7" w:name="_Toc181353237"/>
      <w:r>
        <w:t>Terms and Definitions</w:t>
      </w:r>
      <w:bookmarkEnd w:id="7"/>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 xml:space="preserve">An abstract computing machine capable of executing interpreted and/or compiled Java byte code. JVM implementations typically take the form of </w:t>
      </w:r>
      <w:proofErr w:type="spellStart"/>
      <w:r>
        <w:t>executables</w:t>
      </w:r>
      <w:proofErr w:type="spellEnd"/>
      <w:r>
        <w:t xml:space="preserve">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8" w:name="_Toc181353238"/>
      <w:r>
        <w:t>Symbols</w:t>
      </w:r>
      <w:bookmarkEnd w:id="8"/>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9" w:name="_Toc181353239"/>
      <w:r>
        <w:t>Additional Information</w:t>
      </w:r>
      <w:bookmarkEnd w:id="9"/>
    </w:p>
    <w:p w:rsidR="00C26DAF" w:rsidRDefault="00157CCB" w:rsidP="00B95E87">
      <w:pPr>
        <w:pStyle w:val="Heading2"/>
      </w:pPr>
      <w:bookmarkStart w:id="10" w:name="_Toc181353240"/>
      <w:r>
        <w:t>Changes to Adopted OMG Specifications</w:t>
      </w:r>
      <w:bookmarkEnd w:id="10"/>
    </w:p>
    <w:p w:rsidR="00C26DAF" w:rsidRDefault="00157CCB">
      <w:pPr>
        <w:pStyle w:val="Body"/>
      </w:pPr>
      <w:r>
        <w:t>This specification does not extend or modify any existing OMG specifications.</w:t>
      </w:r>
    </w:p>
    <w:p w:rsidR="00C26DAF" w:rsidRDefault="00157CCB" w:rsidP="00B95E87">
      <w:pPr>
        <w:pStyle w:val="Heading2"/>
      </w:pPr>
      <w:bookmarkStart w:id="11" w:name="_Ref134958252"/>
      <w:bookmarkStart w:id="12" w:name="_Toc181353241"/>
      <w:r>
        <w:t>Relationships to Non-OMG Specifications</w:t>
      </w:r>
      <w:bookmarkEnd w:id="11"/>
      <w:bookmarkEnd w:id="12"/>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3" w:name="_Toc181353242"/>
      <w:r>
        <w:t>Acknowledgements</w:t>
      </w:r>
      <w:bookmarkEnd w:id="13"/>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proofErr w:type="spellStart"/>
      <w:r>
        <w:t>PrismTech</w:t>
      </w:r>
      <w:proofErr w:type="spellEnd"/>
    </w:p>
    <w:p w:rsidR="00C26DAF" w:rsidRDefault="00157CCB" w:rsidP="00B95E87">
      <w:pPr>
        <w:pStyle w:val="Heading1"/>
      </w:pPr>
      <w:bookmarkStart w:id="14" w:name="_Ref134957713"/>
      <w:bookmarkStart w:id="15" w:name="_Toc181353243"/>
      <w:r>
        <w:t>Java 5 Language PSM for DDS</w:t>
      </w:r>
      <w:bookmarkEnd w:id="14"/>
      <w:bookmarkEnd w:id="15"/>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16" w:name="_Toc181353244"/>
      <w:r>
        <w:t>General Concerns and Conventions</w:t>
      </w:r>
      <w:bookmarkEnd w:id="16"/>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17" w:name="_Ref134958313"/>
      <w:bookmarkStart w:id="18" w:name="_Ref134966439"/>
      <w:bookmarkStart w:id="19" w:name="_Toc181353245"/>
      <w:r>
        <w:t xml:space="preserve">Packages and Type </w:t>
      </w:r>
      <w:r w:rsidRPr="00B95E87">
        <w:t>Organization</w:t>
      </w:r>
      <w:bookmarkEnd w:id="17"/>
      <w:bookmarkEnd w:id="18"/>
      <w:bookmarkEnd w:id="19"/>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 xml:space="preserve">Annex </w:t>
      </w:r>
      <w:proofErr w:type="gramStart"/>
      <w:r>
        <w:rPr>
          <w:i/>
          <w:iCs/>
        </w:rPr>
        <w:t>A</w:t>
      </w:r>
      <w:proofErr w:type="gramEnd"/>
      <w:r>
        <w:rPr>
          <w:i/>
          <w:iCs/>
        </w:rPr>
        <w:t>: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This PSM divides the types it defines into multiple packages, rather than </w:t>
      </w:r>
      <w:proofErr w:type="gramStart"/>
      <w:r>
        <w:t>collocating</w:t>
      </w:r>
      <w:proofErr w:type="gramEnd"/>
      <w:r>
        <w:t xml:space="preserve">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0" w:name="_Toc181353246"/>
      <w:r>
        <w:lastRenderedPageBreak/>
        <w:t>Implementation Coexistence</w:t>
      </w:r>
      <w:bookmarkEnd w:id="20"/>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1" w:name="_Ref134966238"/>
      <w:bookmarkStart w:id="22" w:name="_Ref134967993"/>
      <w:bookmarkStart w:id="23" w:name="_Toc181353247"/>
      <w:r>
        <w:t>Resource Management</w:t>
      </w:r>
      <w:bookmarkEnd w:id="21"/>
      <w:bookmarkEnd w:id="22"/>
      <w:bookmarkEnd w:id="23"/>
    </w:p>
    <w:p w:rsidR="00C26DAF" w:rsidRDefault="00157CCB">
      <w:pPr>
        <w:pStyle w:val="Body"/>
        <w:rPr>
          <w:rFonts w:ascii="MS Serif" w:hAnsi="MS Serif"/>
        </w:rPr>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w:t>
      </w:r>
      <w:proofErr w:type="spellStart"/>
      <w:r>
        <w:t>QoS</w:t>
      </w:r>
      <w:proofErr w:type="spellEnd"/>
      <w:r>
        <w:t xml:space="preserve">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proofErr w:type="spellStart"/>
      <w:r>
        <w:rPr>
          <w:rStyle w:val="CodeChar"/>
        </w:rPr>
        <w:t>DataWriter</w:t>
      </w:r>
      <w:r>
        <w:t>s</w:t>
      </w:r>
      <w:proofErr w:type="spellEnd"/>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4" w:name="_Toc181353248"/>
      <w:r>
        <w:t>Concurrency and Reentrancy</w:t>
      </w:r>
      <w:bookmarkEnd w:id="24"/>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sidR="00C3501D">
        <w:rPr>
          <w:rStyle w:val="CodeChar"/>
        </w:rPr>
        <w:t>ServiceEnvironment</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w:t>
      </w:r>
      <w:proofErr w:type="spellStart"/>
      <w:r>
        <w:t>mutexes</w:t>
      </w:r>
      <w:proofErr w:type="spellEnd"/>
      <w:r>
        <w:t xml:space="preserve"> within their implementation need not permit </w:t>
      </w:r>
      <w:r>
        <w:rPr>
          <w:rStyle w:val="CodeChar"/>
        </w:rPr>
        <w:t>close</w:t>
      </w:r>
      <w:r>
        <w:t xml:space="preserve"> invocations currently with other method invocations. This is to allow implementations to dispose of these </w:t>
      </w:r>
      <w:proofErr w:type="spellStart"/>
      <w:r>
        <w:t>mutexes</w:t>
      </w:r>
      <w:proofErr w:type="spellEnd"/>
      <w:r>
        <w:t xml:space="preserve">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25" w:name="_Toc181353249"/>
      <w:r>
        <w:lastRenderedPageBreak/>
        <w:t>Method Signature Conventions</w:t>
      </w:r>
      <w:bookmarkEnd w:id="25"/>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 xml:space="preserve">Properties defined by the DDS PIM are expressed as sets of </w:t>
      </w:r>
      <w:proofErr w:type="spellStart"/>
      <w:r>
        <w:t>accessor</w:t>
      </w:r>
      <w:proofErr w:type="spellEnd"/>
      <w:r>
        <w:t xml:space="preserve"> and </w:t>
      </w:r>
      <w:proofErr w:type="spellStart"/>
      <w:r>
        <w:t>mutator</w:t>
      </w:r>
      <w:proofErr w:type="spellEnd"/>
      <w:r>
        <w:t xml:space="preserve"> methods. The signatures of these methods conform to the following convention:</w:t>
      </w:r>
    </w:p>
    <w:p w:rsidR="00C26DAF" w:rsidRDefault="00157CCB">
      <w:pPr>
        <w:pStyle w:val="Body"/>
        <w:numPr>
          <w:ilvl w:val="0"/>
          <w:numId w:val="8"/>
        </w:numPr>
        <w:rPr>
          <w:rFonts w:ascii="MS Serif" w:hAnsi="MS Serif"/>
        </w:rPr>
      </w:pPr>
      <w:proofErr w:type="spellStart"/>
      <w:r>
        <w:t>Mutators</w:t>
      </w:r>
      <w:proofErr w:type="spellEnd"/>
      <w:r>
        <w:t xml:space="preserve"> are named </w:t>
      </w:r>
      <w:r>
        <w:rPr>
          <w:rStyle w:val="CodeChar"/>
        </w:rPr>
        <w:t>set&lt;</w:t>
      </w:r>
      <w:r>
        <w:rPr>
          <w:rStyle w:val="CodeChar"/>
          <w:i/>
          <w:iCs/>
        </w:rPr>
        <w:t>PropertyName</w:t>
      </w:r>
      <w:r>
        <w:rPr>
          <w:rStyle w:val="CodeChar"/>
        </w:rPr>
        <w:t>&gt;</w:t>
      </w:r>
      <w:r>
        <w:t xml:space="preserve">. (For example, the </w:t>
      </w:r>
      <w:proofErr w:type="spellStart"/>
      <w:r>
        <w:t>mutator</w:t>
      </w:r>
      <w:proofErr w:type="spellEnd"/>
      <w:r>
        <w:t xml:space="preserve">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proofErr w:type="spellStart"/>
      <w:r>
        <w:t>Accessors</w:t>
      </w:r>
      <w:proofErr w:type="spellEnd"/>
      <w:r>
        <w:t xml:space="preserve"> for properties that are either of </w:t>
      </w:r>
      <w:proofErr w:type="spellStart"/>
      <w:r>
        <w:t>unmodifiable</w:t>
      </w:r>
      <w:proofErr w:type="spellEnd"/>
      <w:r>
        <w:t xml:space="preserve"> objects (such as those of primitive types, primitive box types, or strings) or pointers to the internal state of an object </w:t>
      </w:r>
      <w:proofErr w:type="gramStart"/>
      <w:r>
        <w:t>are</w:t>
      </w:r>
      <w:proofErr w:type="gramEnd"/>
      <w:r>
        <w:t xml:space="preserve"> named </w:t>
      </w:r>
      <w:r>
        <w:rPr>
          <w:rStyle w:val="CodeChar"/>
        </w:rPr>
        <w:t>get&lt;</w:t>
      </w:r>
      <w:r>
        <w:rPr>
          <w:rStyle w:val="CodeChar"/>
          <w:i/>
          <w:iCs/>
        </w:rPr>
        <w:t>PropertyName</w:t>
      </w:r>
      <w:r>
        <w:rPr>
          <w:rStyle w:val="CodeChar"/>
        </w:rPr>
        <w:t>&gt;</w:t>
      </w:r>
      <w:r>
        <w:t xml:space="preserve">. (For example, the </w:t>
      </w:r>
      <w:proofErr w:type="spellStart"/>
      <w:r>
        <w:t>accessor</w:t>
      </w:r>
      <w:proofErr w:type="spellEnd"/>
      <w:r>
        <w:t xml:space="preserve"> for an integer property “Foo” would be named </w:t>
      </w:r>
      <w:r>
        <w:rPr>
          <w:rStyle w:val="CodeChar"/>
        </w:rPr>
        <w:t>getFoo</w:t>
      </w:r>
      <w:r>
        <w:t>.) They take no arguments.</w:t>
      </w:r>
    </w:p>
    <w:p w:rsidR="00C26DAF" w:rsidRDefault="00157CCB">
      <w:pPr>
        <w:pStyle w:val="Body"/>
        <w:numPr>
          <w:ilvl w:val="0"/>
          <w:numId w:val="8"/>
        </w:numPr>
      </w:pPr>
      <w:proofErr w:type="spellStart"/>
      <w:r>
        <w:t>Accessors</w:t>
      </w:r>
      <w:proofErr w:type="spellEnd"/>
      <w:r>
        <w:t xml:space="preserve">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26" w:name="_Ref143774608"/>
      <w:bookmarkStart w:id="27" w:name="_Toc181353250"/>
      <w:r>
        <w:t>API Extensibility</w:t>
      </w:r>
      <w:bookmarkEnd w:id="26"/>
      <w:bookmarkEnd w:id="27"/>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28" w:name="_Toc181353251"/>
      <w:r>
        <w:t>Infrastructure Module</w:t>
      </w:r>
      <w:bookmarkEnd w:id="28"/>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w:t>
      </w:r>
      <w:proofErr w:type="spellStart"/>
      <w:r>
        <w:t>QoS</w:t>
      </w:r>
      <w:proofErr w:type="spellEnd"/>
      <w:r>
        <w:t xml:space="preserve"> policy classes, since a given </w:t>
      </w:r>
      <w:proofErr w:type="spellStart"/>
      <w:r>
        <w:t>QoS</w:t>
      </w:r>
      <w:proofErr w:type="spellEnd"/>
      <w:r>
        <w:t xml:space="preserve">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w:t>
      </w:r>
      <w:proofErr w:type="spellStart"/>
      <w:r>
        <w:t>QoS</w:t>
      </w:r>
      <w:proofErr w:type="spellEnd"/>
      <w:r>
        <w:t xml:space="preserve"> policies constitute a significant proportion of the total set of types in the Infrastructure Module, </w:t>
      </w:r>
      <w:r>
        <w:lastRenderedPageBreak/>
        <w:t xml:space="preserve">and the contents of the module are thus easier to understand when they are divided along this line. Second, a dedicated package for </w:t>
      </w:r>
      <w:proofErr w:type="spellStart"/>
      <w:r>
        <w:t>QoS</w:t>
      </w:r>
      <w:proofErr w:type="spellEnd"/>
      <w:r>
        <w:t xml:space="preserve">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C26DAF" w:rsidRDefault="00C3501D" w:rsidP="00B95E87">
      <w:pPr>
        <w:pStyle w:val="Heading3"/>
      </w:pPr>
      <w:bookmarkStart w:id="29" w:name="_Ref134952869"/>
      <w:bookmarkStart w:id="30" w:name="_Toc181353252"/>
      <w:r>
        <w:rPr>
          <w:rStyle w:val="CodeChar"/>
        </w:rPr>
        <w:t>ServiceEnvironment</w:t>
      </w:r>
      <w:r w:rsidR="00157CCB">
        <w:t xml:space="preserve"> Class</w:t>
      </w:r>
      <w:bookmarkEnd w:id="29"/>
      <w:bookmarkEnd w:id="30"/>
    </w:p>
    <w:p w:rsidR="00C26DAF" w:rsidRDefault="00157CCB">
      <w:pPr>
        <w:pStyle w:val="Body"/>
      </w:pPr>
      <w:r>
        <w:t xml:space="preserve">A </w:t>
      </w:r>
      <w:r w:rsidR="00C3501D">
        <w:rPr>
          <w:rStyle w:val="CodeChar"/>
        </w:rPr>
        <w:t>ServiceEnvironment</w:t>
      </w:r>
      <w:r>
        <w:t xml:space="preserve"> object represents an instantiation of a Service implementation within a JVM. It is the “root” for all other DDS objects and assists in their creation by means of an internal service-provider interface. All </w:t>
      </w:r>
      <w:proofErr w:type="spellStart"/>
      <w:r>
        <w:t>stateful</w:t>
      </w:r>
      <w:proofErr w:type="spellEnd"/>
      <w:r>
        <w:t xml:space="preserve"> types in this PSM implement an interface </w:t>
      </w:r>
      <w:r>
        <w:rPr>
          <w:rStyle w:val="CodeChar"/>
        </w:rPr>
        <w:t>DDSObject</w:t>
      </w:r>
      <w:r>
        <w:t xml:space="preserve">, through a </w:t>
      </w:r>
      <w:r>
        <w:rPr>
          <w:rStyle w:val="CodeChar"/>
        </w:rPr>
        <w:t>get</w:t>
      </w:r>
      <w:r w:rsidR="00C3501D">
        <w:rPr>
          <w:rStyle w:val="CodeChar"/>
        </w:rPr>
        <w:t>ServiceEnvironment</w:t>
      </w:r>
      <w:r>
        <w:t xml:space="preserve"> method on which they can provide access to the </w:t>
      </w:r>
      <w:r w:rsidR="00C3501D">
        <w:rPr>
          <w:rStyle w:val="CodeChar"/>
        </w:rPr>
        <w:t>ServiceEnvironment</w:t>
      </w:r>
      <w:r>
        <w:t xml:space="preserve"> from which they are ultimately derived. (</w:t>
      </w:r>
      <w:proofErr w:type="spellStart"/>
      <w:r w:rsidR="00C3501D">
        <w:rPr>
          <w:rStyle w:val="CodeChar"/>
        </w:rPr>
        <w:t>ServiceEnvironment</w:t>
      </w:r>
      <w:proofErr w:type="spellEnd"/>
      <w:r>
        <w:t xml:space="preserve"> itself implements this interface; a </w:t>
      </w:r>
      <w:r w:rsidR="00C3501D">
        <w:rPr>
          <w:rStyle w:val="CodeChar"/>
        </w:rPr>
        <w:t>ServiceEnvironment</w:t>
      </w:r>
      <w:r>
        <w:t xml:space="preserve"> always returns </w:t>
      </w:r>
      <w:r>
        <w:rPr>
          <w:rStyle w:val="CodeChar"/>
        </w:rPr>
        <w:t>this</w:t>
      </w:r>
      <w:r>
        <w:t xml:space="preserve"> from its </w:t>
      </w:r>
      <w:r>
        <w:rPr>
          <w:rStyle w:val="CodeChar"/>
        </w:rPr>
        <w:t>get</w:t>
      </w:r>
      <w:r w:rsidR="00C3501D">
        <w:rPr>
          <w:rStyle w:val="CodeChar"/>
        </w:rPr>
        <w:t>ServiceEnvironment</w:t>
      </w:r>
      <w:r>
        <w:t xml:space="preserve"> operation.)</w:t>
      </w:r>
    </w:p>
    <w:p w:rsidR="00C26DAF" w:rsidRDefault="00157CCB">
      <w:pPr>
        <w:pStyle w:val="Body"/>
      </w:pPr>
      <w:r>
        <w:t xml:space="preserve">The </w:t>
      </w:r>
      <w:r w:rsidR="00C3501D">
        <w:rPr>
          <w:rStyle w:val="CodeChar"/>
        </w:rPr>
        <w:t>ServiceEnvironment</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C3501D">
        <w:rPr>
          <w:rStyle w:val="CodeChar"/>
        </w:rPr>
        <w:t>ServiceEnvironment</w:t>
      </w:r>
      <w:r>
        <w:t>, which represents the DDS implementation that it will use. From there, it can create all of its additional DDS objects.</w:t>
      </w:r>
    </w:p>
    <w:p w:rsidR="00C26DAF" w:rsidRDefault="00157CCB">
      <w:pPr>
        <w:pStyle w:val="Body"/>
      </w:pPr>
      <w:r>
        <w:t xml:space="preserve">The </w:t>
      </w:r>
      <w:r w:rsidR="00C3501D">
        <w:rPr>
          <w:rStyle w:val="CodeChar"/>
        </w:rPr>
        <w:t>ServiceEnvironment</w:t>
      </w:r>
      <w:r>
        <w:t xml:space="preserve"> class is abstract. To avoid compile-time dependencies on concrete </w:t>
      </w:r>
      <w:r w:rsidR="00C3501D">
        <w:rPr>
          <w:rStyle w:val="CodeChar"/>
        </w:rPr>
        <w:t>ServiceEnvironment</w:t>
      </w:r>
      <w:r>
        <w:t xml:space="preserve"> implementations, an application can instantiate a </w:t>
      </w:r>
      <w:r w:rsidR="00C3501D">
        <w:rPr>
          <w:rStyle w:val="CodeChar"/>
        </w:rPr>
        <w:t>ServiceEnvironment</w:t>
      </w:r>
      <w:r>
        <w:t xml:space="preserve"> by means of a static </w:t>
      </w:r>
      <w:r>
        <w:rPr>
          <w:rStyle w:val="CodeChar"/>
        </w:rPr>
        <w:t>createInstance</w:t>
      </w:r>
      <w:r>
        <w:t xml:space="preserve"> method on the </w:t>
      </w:r>
      <w:r w:rsidR="00C3501D">
        <w:rPr>
          <w:rStyle w:val="CodeChar"/>
        </w:rPr>
        <w:t>ServiceEnvironment</w:t>
      </w:r>
      <w:r>
        <w:t xml:space="preserve"> class. This method looks up a concrete </w:t>
      </w:r>
      <w:r w:rsidR="00C3501D">
        <w:rPr>
          <w:rStyle w:val="CodeChar"/>
        </w:rPr>
        <w:t>ServiceEnvironment</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31" w:name="_Toc181353253"/>
      <w:r>
        <w:t>Error Handling and Exceptions</w:t>
      </w:r>
      <w:bookmarkEnd w:id="31"/>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lastRenderedPageBreak/>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32" w:name="_Ref134965787"/>
      <w:bookmarkStart w:id="33" w:name="_Ref147378160"/>
      <w:bookmarkStart w:id="34" w:name="_Toc181353254"/>
      <w:r>
        <w:lastRenderedPageBreak/>
        <w:t>Value Types</w:t>
      </w:r>
      <w:bookmarkEnd w:id="32"/>
      <w:bookmarkEnd w:id="33"/>
      <w:bookmarkEnd w:id="34"/>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These include </w:t>
      </w:r>
      <w:proofErr w:type="spellStart"/>
      <w:r>
        <w:t>QoS</w:t>
      </w:r>
      <w:proofErr w:type="spellEnd"/>
      <w:r>
        <w:t xml:space="preserve">, </w:t>
      </w:r>
      <w:proofErr w:type="spellStart"/>
      <w:r>
        <w:t>QoS</w:t>
      </w:r>
      <w:proofErr w:type="spellEnd"/>
      <w:r>
        <w:t xml:space="preserve">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well as serialized and </w:t>
      </w:r>
      <w:proofErr w:type="spellStart"/>
      <w:r>
        <w:t>deserialized</w:t>
      </w:r>
      <w:proofErr w:type="spellEnd"/>
      <w:r>
        <w:t xml:space="preserve">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 xml:space="preserve">Some value types come in modifiable and </w:t>
      </w:r>
      <w:proofErr w:type="spellStart"/>
      <w:r>
        <w:t>unmodifiable</w:t>
      </w:r>
      <w:proofErr w:type="spellEnd"/>
      <w:r>
        <w:t xml:space="preserve"> varieties—notably </w:t>
      </w:r>
      <w:proofErr w:type="spellStart"/>
      <w:r>
        <w:t>QoS</w:t>
      </w:r>
      <w:proofErr w:type="spellEnd"/>
      <w:r>
        <w:t xml:space="preserve"> and </w:t>
      </w:r>
      <w:proofErr w:type="spellStart"/>
      <w:r>
        <w:t>QoS</w:t>
      </w:r>
      <w:proofErr w:type="spellEnd"/>
      <w:r>
        <w:t xml:space="preserve"> policies. The “modifiable” interface extends the “</w:t>
      </w:r>
      <w:proofErr w:type="spellStart"/>
      <w:r>
        <w:t>unmodifiable</w:t>
      </w:r>
      <w:proofErr w:type="spellEnd"/>
      <w:r>
        <w:t>” one.</w:t>
      </w:r>
    </w:p>
    <w:p w:rsidR="00C26DAF" w:rsidRDefault="00157CCB">
      <w:pPr>
        <w:pStyle w:val="Body"/>
        <w:numPr>
          <w:ilvl w:val="0"/>
          <w:numId w:val="16"/>
        </w:numPr>
      </w:pPr>
      <w:r>
        <w:t xml:space="preserve">The latter provides an operation </w:t>
      </w:r>
      <w:r>
        <w:rPr>
          <w:rStyle w:val="CodeChar"/>
        </w:rPr>
        <w:t>modify</w:t>
      </w:r>
      <w:r>
        <w:t xml:space="preserve"> that returns an instance of the former. Classes that implement the </w:t>
      </w:r>
      <w:proofErr w:type="spellStart"/>
      <w:r>
        <w:t>unmodifiable</w:t>
      </w:r>
      <w:proofErr w:type="spellEnd"/>
      <w:r>
        <w:t xml:space="preserve"> interface but not the modifiable one shall implement this operation to return a new modifiable object containing a copy of the state of the target </w:t>
      </w:r>
      <w:proofErr w:type="spellStart"/>
      <w:r>
        <w:t>unmodifiable</w:t>
      </w:r>
      <w:proofErr w:type="spellEnd"/>
      <w:r>
        <w:t xml:space="preserve"> object. Classes that implement the modifiable interface shall return a pointer to themselves.</w:t>
      </w:r>
    </w:p>
    <w:p w:rsidR="00C26DAF" w:rsidRDefault="00157CCB">
      <w:pPr>
        <w:pStyle w:val="Body"/>
        <w:numPr>
          <w:ilvl w:val="0"/>
          <w:numId w:val="16"/>
        </w:numPr>
        <w:rPr>
          <w:rFonts w:ascii="MS Serif" w:hAnsi="MS Serif"/>
        </w:rPr>
      </w:pPr>
      <w:r>
        <w:t xml:space="preserve">Modifiable value types with </w:t>
      </w:r>
      <w:proofErr w:type="spellStart"/>
      <w:r>
        <w:t>unmodifiable</w:t>
      </w:r>
      <w:proofErr w:type="spellEnd"/>
      <w:r>
        <w:t xml:space="preserve"> counterparts have an inverse operation: </w:t>
      </w:r>
      <w:r>
        <w:rPr>
          <w:rStyle w:val="CodeChar"/>
        </w:rPr>
        <w:t>finishModification</w:t>
      </w:r>
      <w:r>
        <w:t xml:space="preserve">. In many cases, calling this operation is optional, as modifiable interfaces extend </w:t>
      </w:r>
      <w:proofErr w:type="spellStart"/>
      <w:r>
        <w:t>unmodifiable</w:t>
      </w:r>
      <w:proofErr w:type="spellEnd"/>
      <w:r>
        <w:t xml:space="preserve"> ones. However, in some cases, a truly </w:t>
      </w:r>
      <w:proofErr w:type="spellStart"/>
      <w:r>
        <w:t>unmodifiable</w:t>
      </w:r>
      <w:proofErr w:type="spellEnd"/>
      <w:r>
        <w:t xml:space="preserve"> object is desirable, such as when it will be shared among threads without locking.</w:t>
      </w:r>
    </w:p>
    <w:p w:rsidR="00C26DAF" w:rsidRDefault="00157CCB" w:rsidP="00B95E87">
      <w:pPr>
        <w:pStyle w:val="Heading3"/>
      </w:pPr>
      <w:bookmarkStart w:id="35" w:name="_Toc181353255"/>
      <w:r>
        <w:t>Time and Duration</w:t>
      </w:r>
      <w:bookmarkEnd w:id="35"/>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names of these types omit the underscore </w:t>
      </w:r>
      <w:proofErr w:type="gramStart"/>
      <w:r>
        <w:t>and ‘t’</w:t>
      </w:r>
      <w:proofErr w:type="gramEnd"/>
      <w:r>
        <w:t xml:space="preserve"> characters from the ends of their names. That naming convention, while common among C POSIX programmers, is not conventional in Java.</w:t>
      </w:r>
    </w:p>
    <w:p w:rsidR="00C26DAF" w:rsidRDefault="00157CCB" w:rsidP="00B95E87">
      <w:pPr>
        <w:pStyle w:val="Heading3"/>
      </w:pPr>
      <w:bookmarkStart w:id="36" w:name="_Toc181353256"/>
      <w:proofErr w:type="spellStart"/>
      <w:r>
        <w:lastRenderedPageBreak/>
        <w:t>QoS</w:t>
      </w:r>
      <w:proofErr w:type="spellEnd"/>
      <w:r>
        <w:t xml:space="preserve"> and </w:t>
      </w:r>
      <w:proofErr w:type="spellStart"/>
      <w:r>
        <w:t>QoS</w:t>
      </w:r>
      <w:proofErr w:type="spellEnd"/>
      <w:r>
        <w:t xml:space="preserve"> Policies</w:t>
      </w:r>
      <w:bookmarkEnd w:id="36"/>
    </w:p>
    <w:p w:rsidR="00C26DAF" w:rsidRDefault="00157CCB">
      <w:pPr>
        <w:pStyle w:val="Body"/>
        <w:rPr>
          <w:rFonts w:ascii="MS Serif" w:hAnsi="MS Serif"/>
        </w:rPr>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r w:rsidR="006D1B51">
        <w:rPr>
          <w:rStyle w:val="CodeChar"/>
        </w:rPr>
        <w:t>Entity</w:t>
      </w:r>
      <w:r>
        <w:rPr>
          <w:rStyle w:val="CodeChar"/>
        </w:rPr>
        <w:t>Qos</w:t>
      </w:r>
      <w:r>
        <w:rPr>
          <w:rFonts w:ascii="MS Serif" w:hAnsi="MS Serif"/>
        </w:rPr>
        <w:t>.</w:t>
      </w:r>
    </w:p>
    <w:p w:rsidR="00C26DAF" w:rsidRDefault="00157CCB" w:rsidP="00B95E87">
      <w:pPr>
        <w:pStyle w:val="Heading4"/>
      </w:pPr>
      <w:proofErr w:type="spellStart"/>
      <w:r w:rsidRPr="00B95E87">
        <w:t>QoS</w:t>
      </w:r>
      <w:proofErr w:type="spellEnd"/>
      <w:r>
        <w:t xml:space="preserve"> Policies</w:t>
      </w:r>
    </w:p>
    <w:p w:rsidR="006D6E7E" w:rsidRDefault="00157CCB">
      <w:pPr>
        <w:pStyle w:val="Body"/>
      </w:pPr>
      <w:r>
        <w:t xml:space="preserve">The DDS PIM represents each </w:t>
      </w:r>
      <w:proofErr w:type="spellStart"/>
      <w:r>
        <w:t>QoS</w:t>
      </w:r>
      <w:proofErr w:type="spellEnd"/>
      <w:r>
        <w:t xml:space="preserve">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w:t>
      </w:r>
      <w:proofErr w:type="spellStart"/>
      <w:r>
        <w:t>QoS</w:t>
      </w:r>
      <w:proofErr w:type="spellEnd"/>
      <w:r>
        <w:t xml:space="preserve">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77"/>
        <w:gridCol w:w="659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CA49B8" w:rsidRDefault="00CA49B8">
            <w:pPr>
              <w:pStyle w:val="Body"/>
              <w:rPr>
                <w:rFonts w:ascii="Cambria" w:hAnsi="Cambria"/>
                <w:sz w:val="22"/>
                <w:szCs w:val="22"/>
              </w:rPr>
            </w:pPr>
            <w:r>
              <w:rPr>
                <w:rFonts w:ascii="Cambria" w:hAnsi="Cambria"/>
                <w:sz w:val="22"/>
                <w:szCs w:val="22"/>
              </w:rPr>
              <w:t xml:space="preserve">Java platform provides “Class object”, which uniquely identifies a </w:t>
            </w:r>
            <w:proofErr w:type="spellStart"/>
            <w:r>
              <w:rPr>
                <w:rFonts w:ascii="Cambria" w:hAnsi="Cambria"/>
                <w:sz w:val="22"/>
                <w:szCs w:val="22"/>
              </w:rPr>
              <w:t>QoS</w:t>
            </w:r>
            <w:proofErr w:type="spellEnd"/>
            <w:r>
              <w:rPr>
                <w:rFonts w:ascii="Cambria" w:hAnsi="Cambria"/>
                <w:sz w:val="22"/>
                <w:szCs w:val="22"/>
              </w:rPr>
              <w:t xml:space="preserve"> policy. The id will be represented by an object of </w:t>
            </w:r>
            <w:r w:rsidRPr="00F96360">
              <w:rPr>
                <w:rFonts w:ascii="Courier New" w:hAnsi="Courier New" w:cs="Courier New"/>
                <w:sz w:val="22"/>
                <w:szCs w:val="22"/>
              </w:rPr>
              <w:t xml:space="preserve">Class&lt;? </w:t>
            </w:r>
            <w:proofErr w:type="gramStart"/>
            <w:r w:rsidRPr="00F96360">
              <w:rPr>
                <w:rFonts w:ascii="Courier New" w:hAnsi="Courier New" w:cs="Courier New"/>
                <w:sz w:val="22"/>
                <w:szCs w:val="22"/>
              </w:rPr>
              <w:t>extends</w:t>
            </w:r>
            <w:proofErr w:type="gramEnd"/>
            <w:r w:rsidRPr="00F96360">
              <w:rPr>
                <w:rFonts w:ascii="Courier New" w:hAnsi="Courier New" w:cs="Courier New"/>
                <w:sz w:val="22"/>
                <w:szCs w:val="22"/>
              </w:rPr>
              <w:t xml:space="preserve"> </w:t>
            </w:r>
            <w:proofErr w:type="spellStart"/>
            <w:r w:rsidRPr="00F96360">
              <w:rPr>
                <w:rFonts w:ascii="Courier New" w:hAnsi="Courier New" w:cs="Courier New"/>
                <w:sz w:val="22"/>
                <w:szCs w:val="22"/>
              </w:rPr>
              <w:t>QosPolicy</w:t>
            </w:r>
            <w:proofErr w:type="spellEnd"/>
            <w:r w:rsidRPr="00F96360">
              <w:rPr>
                <w:rFonts w:ascii="Courier New" w:hAnsi="Courier New" w:cs="Courier New"/>
                <w:sz w:val="22"/>
                <w:szCs w:val="22"/>
              </w:rPr>
              <w:t>&gt;</w:t>
            </w:r>
            <w:r>
              <w:rPr>
                <w:rFonts w:ascii="Cambria" w:hAnsi="Cambria"/>
                <w:sz w:val="22"/>
                <w:szCs w:val="22"/>
              </w:rPr>
              <w:t xml:space="preserve">. For example, </w:t>
            </w:r>
            <w:r w:rsidRPr="00F96360">
              <w:rPr>
                <w:rFonts w:ascii="Courier New" w:hAnsi="Courier New" w:cs="Courier New"/>
                <w:sz w:val="22"/>
                <w:szCs w:val="22"/>
              </w:rPr>
              <w:t>Class&lt;</w:t>
            </w:r>
            <w:r w:rsidR="00CB019C" w:rsidRPr="00F96360">
              <w:rPr>
                <w:rFonts w:ascii="Courier New" w:hAnsi="Courier New" w:cs="Courier New"/>
                <w:sz w:val="22"/>
                <w:szCs w:val="22"/>
              </w:rPr>
              <w:t>Reliability&gt;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B35B55" w:rsidRDefault="00B35B55" w:rsidP="00B35B55">
            <w:pPr>
              <w:pStyle w:val="Body"/>
              <w:rPr>
                <w:rFonts w:ascii="Cambria" w:hAnsi="Cambria"/>
                <w:sz w:val="22"/>
                <w:szCs w:val="22"/>
              </w:rPr>
            </w:pPr>
            <w:r>
              <w:rPr>
                <w:rFonts w:ascii="Cambria" w:hAnsi="Cambria"/>
                <w:sz w:val="22"/>
                <w:szCs w:val="22"/>
              </w:rPr>
              <w:t xml:space="preserve">Java reflection provides the necessary capability to obtain name of a </w:t>
            </w:r>
            <w:proofErr w:type="spellStart"/>
            <w:r>
              <w:rPr>
                <w:rFonts w:ascii="Cambria" w:hAnsi="Cambria"/>
                <w:sz w:val="22"/>
                <w:szCs w:val="22"/>
              </w:rPr>
              <w:t>QoSPolicy</w:t>
            </w:r>
            <w:proofErr w:type="spellEnd"/>
            <w:r w:rsidR="00E56664">
              <w:rPr>
                <w:rFonts w:ascii="Cambria" w:hAnsi="Cambria"/>
                <w:sz w:val="22"/>
                <w:szCs w:val="22"/>
              </w:rPr>
              <w:t xml:space="preserve"> class</w:t>
            </w:r>
            <w:r>
              <w:rPr>
                <w:rFonts w:ascii="Cambria" w:hAnsi="Cambria"/>
                <w:sz w:val="22"/>
                <w:szCs w:val="22"/>
              </w:rPr>
              <w:t>.</w:t>
            </w:r>
          </w:p>
        </w:tc>
      </w:tr>
    </w:tbl>
    <w:p w:rsidR="006D6E7E" w:rsidRDefault="006D6E7E" w:rsidP="006D6E7E">
      <w:pPr>
        <w:pStyle w:val="Body"/>
      </w:pPr>
      <w:bookmarkStart w:id="37" w:name="_Ref134966447"/>
      <w:r>
        <w:t xml:space="preserve">The </w:t>
      </w:r>
      <w:proofErr w:type="spellStart"/>
      <w:r w:rsidRPr="00F96360">
        <w:rPr>
          <w:rFonts w:ascii="Courier New" w:hAnsi="Courier New" w:cs="Courier New"/>
        </w:rPr>
        <w:t>org.omg.dds.core.policy.PolicyFactory</w:t>
      </w:r>
      <w:proofErr w:type="spellEnd"/>
      <w:r>
        <w:t xml:space="preserve"> interface </w:t>
      </w:r>
      <w:r w:rsidR="001B0670">
        <w:t>allows creation of policy objects.</w:t>
      </w:r>
    </w:p>
    <w:p w:rsidR="006D6E7E" w:rsidRDefault="006D6E7E" w:rsidP="00F96360"/>
    <w:p w:rsidR="00C26DAF" w:rsidRDefault="00157CCB" w:rsidP="00B95E87">
      <w:pPr>
        <w:pStyle w:val="Heading4"/>
      </w:pPr>
      <w:r>
        <w:t xml:space="preserve">Entity </w:t>
      </w:r>
      <w:proofErr w:type="spellStart"/>
      <w:r>
        <w:t>QoS</w:t>
      </w:r>
      <w:bookmarkEnd w:id="37"/>
      <w:proofErr w:type="spellEnd"/>
    </w:p>
    <w:p w:rsidR="00C26DAF" w:rsidRDefault="00157CCB">
      <w:pPr>
        <w:pStyle w:val="Body"/>
      </w:pPr>
      <w:r>
        <w:t xml:space="preserve">Each Entity </w:t>
      </w:r>
      <w:proofErr w:type="spellStart"/>
      <w:r>
        <w:t>QoS</w:t>
      </w:r>
      <w:proofErr w:type="spellEnd"/>
      <w:r>
        <w:t xml:space="preserve"> (e.g., </w:t>
      </w:r>
      <w:r>
        <w:rPr>
          <w:rStyle w:val="CodeChar"/>
        </w:rPr>
        <w:t>DataReaderQos</w:t>
      </w:r>
      <w:r>
        <w:t xml:space="preserve">) is an interface extending </w:t>
      </w:r>
      <w:r>
        <w:rPr>
          <w:rStyle w:val="CodeChar"/>
        </w:rPr>
        <w:t>org.omg.dds.core.</w:t>
      </w:r>
      <w:r w:rsidR="009F0D1B">
        <w:rPr>
          <w:rStyle w:val="CodeChar"/>
        </w:rPr>
        <w:t>Entity</w:t>
      </w:r>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 xml:space="preserve">The contents of a </w:t>
      </w:r>
      <w:proofErr w:type="spellStart"/>
      <w:r>
        <w:t>QoS</w:t>
      </w:r>
      <w:proofErr w:type="spellEnd"/>
      <w:r>
        <w:t xml:space="preserve"> object are only meaningful in relation to the current </w:t>
      </w:r>
      <w:proofErr w:type="spellStart"/>
      <w:r>
        <w:t>QoS</w:t>
      </w:r>
      <w:proofErr w:type="spellEnd"/>
      <w:r>
        <w:t xml:space="preserve"> or default </w:t>
      </w:r>
      <w:proofErr w:type="spellStart"/>
      <w:r>
        <w:t>QoS</w:t>
      </w:r>
      <w:proofErr w:type="spellEnd"/>
      <w:r>
        <w:t xml:space="preserve"> 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proofErr w:type="spellStart"/>
      <w:r>
        <w:t>QoS</w:t>
      </w:r>
      <w:proofErr w:type="spellEnd"/>
      <w:r>
        <w:t xml:space="preserve"> objects as returned by Entities shall be immutable; applications shall never observe them to change. Applications that wish to modify </w:t>
      </w:r>
      <w:proofErr w:type="spellStart"/>
      <w:r>
        <w:t>QoS</w:t>
      </w:r>
      <w:proofErr w:type="spellEnd"/>
      <w:r>
        <w:t xml:space="preserve"> values must first call </w:t>
      </w:r>
      <w:r>
        <w:rPr>
          <w:rStyle w:val="CodeChar"/>
        </w:rPr>
        <w:t>modify</w:t>
      </w:r>
      <w:r>
        <w:t xml:space="preserve"> to obtain a modifiable </w:t>
      </w:r>
      <w:proofErr w:type="spellStart"/>
      <w:r>
        <w:t>QoS</w:t>
      </w:r>
      <w:proofErr w:type="spellEnd"/>
      <w:r>
        <w:t xml:space="preserve"> object; after making their desired modifications, they must pass their new </w:t>
      </w:r>
      <w:proofErr w:type="spellStart"/>
      <w:r>
        <w:t>QoS</w:t>
      </w:r>
      <w:proofErr w:type="spellEnd"/>
      <w:r>
        <w:t xml:space="preserve">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lastRenderedPageBreak/>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8" w:name="_Ref134964889"/>
      <w:proofErr w:type="spellStart"/>
      <w:r>
        <w:t>QoS</w:t>
      </w:r>
      <w:proofErr w:type="spellEnd"/>
      <w:r>
        <w:t xml:space="preserve"> Libraries and Profiles</w:t>
      </w:r>
      <w:bookmarkEnd w:id="38"/>
    </w:p>
    <w:p w:rsidR="00C26DAF" w:rsidRDefault="00157CCB">
      <w:pPr>
        <w:pStyle w:val="Body"/>
      </w:pPr>
      <w:r>
        <w:t xml:space="preserve">The </w:t>
      </w:r>
      <w:r>
        <w:rPr>
          <w:i/>
          <w:iCs/>
        </w:rPr>
        <w:t>DDS for Lightweight CCM</w:t>
      </w:r>
      <w:r>
        <w:t xml:space="preserve"> specification [DDS-CCM] defines a format for </w:t>
      </w:r>
      <w:proofErr w:type="spellStart"/>
      <w:r>
        <w:t>QoS</w:t>
      </w:r>
      <w:proofErr w:type="spellEnd"/>
      <w:r>
        <w:t xml:space="preserve"> libraries and profiles. These libraries and profiles provide a mechanism for entity </w:t>
      </w:r>
      <w:proofErr w:type="spellStart"/>
      <w:r>
        <w:t>QoS</w:t>
      </w:r>
      <w:proofErr w:type="spellEnd"/>
      <w:r>
        <w:t xml:space="preserve"> configuration administration. This PSM provides the following APIs for accessing these administered </w:t>
      </w:r>
      <w:proofErr w:type="spellStart"/>
      <w:r>
        <w:t>QoS</w:t>
      </w:r>
      <w:proofErr w:type="spellEnd"/>
      <w:r>
        <w:t xml:space="preserve"> configurations:</w:t>
      </w:r>
    </w:p>
    <w:p w:rsidR="007B672C" w:rsidRPr="00F96360" w:rsidRDefault="007B672C">
      <w:pPr>
        <w:pStyle w:val="Body"/>
        <w:numPr>
          <w:ilvl w:val="0"/>
          <w:numId w:val="13"/>
        </w:numPr>
        <w:rPr>
          <w:rFonts w:ascii="MS Serif" w:hAnsi="MS Serif"/>
        </w:rPr>
      </w:pPr>
      <w:r>
        <w:t xml:space="preserve">The </w:t>
      </w:r>
      <w:proofErr w:type="spellStart"/>
      <w:r w:rsidRPr="00F96360">
        <w:rPr>
          <w:rFonts w:ascii="Courier New" w:hAnsi="Courier New" w:cs="Courier New"/>
        </w:rPr>
        <w:t>org.omg.dds.core.QosProvider</w:t>
      </w:r>
      <w:proofErr w:type="spellEnd"/>
      <w:r>
        <w:t xml:space="preserve"> interface allows </w:t>
      </w:r>
      <w:r w:rsidR="00357CEF">
        <w:t xml:space="preserve">Entity’s </w:t>
      </w:r>
      <w:proofErr w:type="spellStart"/>
      <w:r w:rsidR="00357CEF">
        <w:t>Qos</w:t>
      </w:r>
      <w:proofErr w:type="spellEnd"/>
      <w:r w:rsidR="00357CEF">
        <w:t xml:space="preserve"> to be obtained from the names of </w:t>
      </w:r>
      <w:proofErr w:type="spellStart"/>
      <w:r w:rsidR="00357CEF">
        <w:t>QoS</w:t>
      </w:r>
      <w:proofErr w:type="spellEnd"/>
      <w:r w:rsidR="00357CEF">
        <w:t xml:space="preserve"> library and profile. The </w:t>
      </w:r>
      <w:proofErr w:type="spellStart"/>
      <w:r w:rsidR="00357CEF">
        <w:t>Qos</w:t>
      </w:r>
      <w:proofErr w:type="spellEnd"/>
      <w:r w:rsidR="00357CEF">
        <w:t xml:space="preserve"> library source is provided as a uniform resource identifier (URI)</w:t>
      </w:r>
      <w:r w:rsidR="002F7ADB">
        <w:t>. Conforming implementation must support “file://” prefix. For instance, “</w:t>
      </w:r>
      <w:hyperlink r:id="rId17" w:history="1">
        <w:r w:rsidR="002F7ADB" w:rsidRPr="000B44C6">
          <w:rPr>
            <w:rStyle w:val="Hyperlink"/>
          </w:rPr>
          <w:t>file:///path/to/qos/library</w:t>
        </w:r>
      </w:hyperlink>
      <w:r w:rsidR="002F7ADB">
        <w:t xml:space="preserve">”. </w:t>
      </w:r>
    </w:p>
    <w:p w:rsidR="001B0670" w:rsidRPr="00F96360" w:rsidRDefault="003F3E4D" w:rsidP="006A24DD">
      <w:pPr>
        <w:pStyle w:val="Body"/>
        <w:numPr>
          <w:ilvl w:val="0"/>
          <w:numId w:val="13"/>
        </w:numPr>
        <w:rPr>
          <w:rFonts w:ascii="MS Serif" w:hAnsi="MS Serif"/>
        </w:rPr>
      </w:pPr>
      <w:r>
        <w:t xml:space="preserve">Each Entity factory interface </w:t>
      </w:r>
      <w:proofErr w:type="spellStart"/>
      <w:r w:rsidRPr="00F96360">
        <w:rPr>
          <w:rFonts w:ascii="Courier New" w:hAnsi="Courier New" w:cs="Courier New"/>
        </w:rPr>
        <w:t>DomainParticipantFactory</w:t>
      </w:r>
      <w:proofErr w:type="spellEnd"/>
      <w:r>
        <w:t xml:space="preserve">, </w:t>
      </w:r>
      <w:proofErr w:type="spellStart"/>
      <w:r w:rsidRPr="00F96360">
        <w:rPr>
          <w:rFonts w:ascii="Courier New" w:hAnsi="Courier New" w:cs="Courier New"/>
        </w:rPr>
        <w:t>DomainParticipant</w:t>
      </w:r>
      <w:proofErr w:type="spellEnd"/>
      <w:r>
        <w:t xml:space="preserve">, </w:t>
      </w:r>
      <w:r w:rsidRPr="00F96360">
        <w:rPr>
          <w:rFonts w:ascii="Courier New" w:hAnsi="Courier New" w:cs="Courier New"/>
        </w:rPr>
        <w:t>Publisher</w:t>
      </w:r>
      <w:r>
        <w:t xml:space="preserve">, and </w:t>
      </w:r>
      <w:r w:rsidRPr="00F96360">
        <w:rPr>
          <w:rFonts w:ascii="Courier New" w:hAnsi="Courier New" w:cs="Courier New"/>
        </w:rPr>
        <w:t>Subscriber</w:t>
      </w:r>
      <w:r>
        <w:t xml:space="preserve"> provides methods to create new “product” Entities and to set their default </w:t>
      </w:r>
      <w:proofErr w:type="spellStart"/>
      <w:r>
        <w:t>QoS</w:t>
      </w:r>
      <w:proofErr w:type="spellEnd"/>
      <w:r>
        <w:t xml:space="preserve"> based on </w:t>
      </w:r>
      <w:proofErr w:type="spellStart"/>
      <w:r w:rsidR="006A43FD">
        <w:t>QoS</w:t>
      </w:r>
      <w:proofErr w:type="spellEnd"/>
      <w:r w:rsidR="006A43FD">
        <w:t xml:space="preserve"> objects created programmatically or obtained through </w:t>
      </w:r>
      <w:proofErr w:type="spellStart"/>
      <w:r w:rsidR="006A43FD" w:rsidRPr="00F96360">
        <w:rPr>
          <w:rFonts w:ascii="Courier New" w:hAnsi="Courier New" w:cs="Courier New"/>
        </w:rPr>
        <w:t>QosProvider</w:t>
      </w:r>
      <w:proofErr w:type="spellEnd"/>
      <w:r w:rsidR="006A43FD">
        <w:t>.</w:t>
      </w:r>
    </w:p>
    <w:p w:rsidR="00C26DAF" w:rsidRDefault="00157CCB" w:rsidP="00B95E87">
      <w:pPr>
        <w:pStyle w:val="Heading3"/>
      </w:pPr>
      <w:bookmarkStart w:id="39" w:name="_Toc181353257"/>
      <w:r>
        <w:t>Entity Base Interfaces</w:t>
      </w:r>
      <w:bookmarkEnd w:id="39"/>
    </w:p>
    <w:p w:rsidR="00C26DAF" w:rsidRDefault="00157CCB">
      <w:pPr>
        <w:pStyle w:val="Body"/>
      </w:pPr>
      <w:r>
        <w:t xml:space="preserve">As in the DDS PIM, all Entity interfaces extend—directly or indirectly—the interface Entity. In this PSM, this interface is generic; it is parameterized by the Entity’s </w:t>
      </w:r>
      <w:proofErr w:type="spellStart"/>
      <w:r>
        <w:t>QoS</w:t>
      </w:r>
      <w:proofErr w:type="spellEnd"/>
      <w:r>
        <w:t xml:space="preserve">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w:t>
      </w:r>
      <w:proofErr w:type="spellStart"/>
      <w:r>
        <w:t>polymorphically</w:t>
      </w:r>
      <w:proofErr w:type="spellEnd"/>
      <w:r>
        <w:t>.</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40" w:name="_Toc181353258"/>
      <w:r>
        <w:t>Entity Status Changes</w:t>
      </w:r>
      <w:bookmarkEnd w:id="40"/>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w:t>
      </w:r>
      <w:r>
        <w:lastRenderedPageBreak/>
        <w:t xml:space="preserve">is used when setting listeners and at other times. This PSM represents status kinds using the </w:t>
      </w:r>
      <w:r>
        <w:rPr>
          <w:rStyle w:val="CodeChar"/>
        </w:rPr>
        <w:t>java.lang.Class</w:t>
      </w:r>
      <w:r>
        <w:t xml:space="preserve"> instances of the corresponding status classes and status masks as </w:t>
      </w:r>
      <w:proofErr w:type="spellStart"/>
      <w:r>
        <w:rPr>
          <w:rStyle w:val="CodeChar"/>
        </w:rPr>
        <w:t>java.util.Set</w:t>
      </w:r>
      <w:r>
        <w:t>s</w:t>
      </w:r>
      <w:proofErr w:type="spellEnd"/>
      <w:r>
        <w:t xml:space="preserve">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proofErr w:type="spellStart"/>
      <w:r>
        <w:rPr>
          <w:rStyle w:val="CodeChar"/>
        </w:rPr>
        <w:t>DataReader</w:t>
      </w:r>
      <w:r>
        <w:t>s</w:t>
      </w:r>
      <w:proofErr w:type="spellEnd"/>
      <w:r>
        <w:t xml:space="preserve">, and </w:t>
      </w:r>
      <w:proofErr w:type="spellStart"/>
      <w:r>
        <w:rPr>
          <w:rStyle w:val="CodeChar"/>
        </w:rPr>
        <w:t>DataWriter</w:t>
      </w:r>
      <w:r>
        <w:t>s</w:t>
      </w:r>
      <w:proofErr w:type="spellEnd"/>
      <w:r>
        <w:t xml:space="preserve">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pPr>
      <w:r w:rsidRPr="00E30847">
        <w:rPr>
          <w:b/>
        </w:rPr>
        <w:lastRenderedPageBreak/>
        <w:t xml:space="preserve">Issue </w:t>
      </w:r>
      <w:r>
        <w:rPr>
          <w:b/>
        </w:rPr>
        <w:t>16327</w:t>
      </w:r>
      <w:r>
        <w:t xml:space="preserve">: </w:t>
      </w:r>
      <w:r w:rsidRPr="00A228A1">
        <w:t xml:space="preserve">Parent </w:t>
      </w:r>
      <w:proofErr w:type="spellStart"/>
      <w:r w:rsidRPr="00A228A1">
        <w:t>accessors</w:t>
      </w:r>
      <w:proofErr w:type="spellEnd"/>
      <w:r w:rsidRPr="00A228A1">
        <w:t xml:space="preserve"> should be uniform across Entities and Conditions</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41" w:name="_Toc181353259"/>
      <w:r>
        <w:t>Domain Module</w:t>
      </w:r>
      <w:bookmarkEnd w:id="41"/>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42" w:name="_Toc181353260"/>
      <w:r>
        <w:rPr>
          <w:rStyle w:val="CodeChar"/>
        </w:rPr>
        <w:t>DomainParticipantFactory</w:t>
      </w:r>
      <w:r>
        <w:t xml:space="preserve"> Interface</w:t>
      </w:r>
      <w:bookmarkEnd w:id="42"/>
    </w:p>
    <w:p w:rsidR="00C26DAF" w:rsidRDefault="00157CCB">
      <w:pPr>
        <w:pStyle w:val="Body"/>
      </w:pPr>
      <w:r>
        <w:t xml:space="preserve">The </w:t>
      </w:r>
      <w:r>
        <w:rPr>
          <w:rStyle w:val="CodeChar"/>
        </w:rPr>
        <w:t>DomainParticipantFactory</w:t>
      </w:r>
      <w:r>
        <w:t xml:space="preserve"> is a per-</w:t>
      </w:r>
      <w:proofErr w:type="spellStart"/>
      <w:r w:rsidR="006F02C5">
        <w:rPr>
          <w:rStyle w:val="CodeChar"/>
        </w:rPr>
        <w:t>ServiceEnvironment</w:t>
      </w:r>
      <w:proofErr w:type="spellEnd"/>
      <w:r w:rsidR="006F02C5">
        <w:t xml:space="preserve"> </w:t>
      </w:r>
      <w:r>
        <w:t xml:space="preserve">singleton. An instance of this interface can be obtained by passing that </w:t>
      </w:r>
      <w:r w:rsidR="006F02C5">
        <w:rPr>
          <w:rStyle w:val="CodeChar"/>
        </w:rPr>
        <w:t>ServiceEnvironment</w:t>
      </w:r>
      <w:r w:rsidR="006F02C5">
        <w:t xml:space="preserve"> </w:t>
      </w:r>
      <w:r>
        <w:t xml:space="preserve">to the factory’s </w:t>
      </w:r>
      <w:r>
        <w:rPr>
          <w:rStyle w:val="CodeChar"/>
        </w:rPr>
        <w:t>getInstance</w:t>
      </w:r>
      <w:r>
        <w:t xml:space="preserve"> method.</w:t>
      </w:r>
    </w:p>
    <w:p w:rsidR="00C26DAF" w:rsidRDefault="00157CCB" w:rsidP="00B95E87">
      <w:pPr>
        <w:pStyle w:val="Heading3"/>
      </w:pPr>
      <w:bookmarkStart w:id="43" w:name="_Toc181353261"/>
      <w:r>
        <w:rPr>
          <w:rStyle w:val="CodeChar"/>
        </w:rPr>
        <w:t>DomainParticipant</w:t>
      </w:r>
      <w:r>
        <w:t xml:space="preserve"> Interface</w:t>
      </w:r>
      <w:bookmarkEnd w:id="43"/>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44" w:name="_Toc181353262"/>
      <w:r>
        <w:t>Topic Module</w:t>
      </w:r>
      <w:bookmarkEnd w:id="44"/>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45" w:name="_Toc181353263"/>
      <w:r>
        <w:t>Type Support</w:t>
      </w:r>
      <w:bookmarkEnd w:id="45"/>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w:t>
      </w:r>
      <w:r>
        <w:lastRenderedPageBreak/>
        <w:t xml:space="preserve">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46" w:name="_Toc181353264"/>
      <w:r>
        <w:rPr>
          <w:rStyle w:val="CodeChar"/>
        </w:rPr>
        <w:t>Topic</w:t>
      </w:r>
      <w:r>
        <w:t xml:space="preserve"> Interface</w:t>
      </w:r>
      <w:bookmarkEnd w:id="46"/>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w:t>
      </w:r>
      <w:proofErr w:type="spellStart"/>
      <w:r>
        <w:t>accessor</w:t>
      </w:r>
      <w:proofErr w:type="spellEnd"/>
      <w:r>
        <w:t xml:space="preserve"> for the inconsistent topic status. </w:t>
      </w:r>
      <w:r>
        <w:rPr>
          <w:rStyle w:val="CodeChar"/>
        </w:rPr>
        <w:t>Topic</w:t>
      </w:r>
      <w:r>
        <w:t xml:space="preserve">—like all </w:t>
      </w:r>
      <w:proofErr w:type="spellStart"/>
      <w:r>
        <w:rPr>
          <w:rStyle w:val="CodeChar"/>
        </w:rPr>
        <w:t>TopicDescription</w:t>
      </w:r>
      <w:r>
        <w:t>s</w:t>
      </w:r>
      <w:proofErr w:type="spellEnd"/>
      <w:r>
        <w:t xml:space="preserve">,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47" w:name="_Toc181353265"/>
      <w:r>
        <w:rPr>
          <w:rStyle w:val="CodeChar"/>
        </w:rPr>
        <w:t>ContentFilteredTopic</w:t>
      </w:r>
      <w:r>
        <w:t xml:space="preserve"> and </w:t>
      </w:r>
      <w:r>
        <w:rPr>
          <w:rStyle w:val="CodeChar"/>
        </w:rPr>
        <w:t>MultiTopic</w:t>
      </w:r>
      <w:r>
        <w:t xml:space="preserve"> Interfaces</w:t>
      </w:r>
      <w:bookmarkEnd w:id="47"/>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w:t>
      </w:r>
      <w:proofErr w:type="spellStart"/>
      <w:r>
        <w:t>supertype</w:t>
      </w:r>
      <w:proofErr w:type="spellEnd"/>
      <w:r>
        <w:t xml:space="preserv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48" w:name="_Toc181353266"/>
      <w:r>
        <w:t>Discovery Interfaces</w:t>
      </w:r>
      <w:bookmarkEnd w:id="48"/>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w:t>
      </w:r>
      <w:proofErr w:type="spellStart"/>
      <w:r>
        <w:t>accessors</w:t>
      </w:r>
      <w:proofErr w:type="spellEnd"/>
      <w:r>
        <w:t xml:space="preserve"> for their state, not </w:t>
      </w:r>
      <w:proofErr w:type="spellStart"/>
      <w:r>
        <w:t>mutators</w:t>
      </w:r>
      <w:proofErr w:type="spellEnd"/>
      <w:r>
        <w:t>, to reflect the read-only (from an application’s point of view) nature of discovery.</w:t>
      </w:r>
    </w:p>
    <w:p w:rsidR="00C26DAF" w:rsidRDefault="00157CCB" w:rsidP="00B95E87">
      <w:pPr>
        <w:pStyle w:val="Heading2"/>
      </w:pPr>
      <w:bookmarkStart w:id="49" w:name="_Toc181353267"/>
      <w:r>
        <w:t>Publication Module</w:t>
      </w:r>
      <w:bookmarkEnd w:id="49"/>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term “pub” has been preferred to the longer “publication” for the sake of brevity (such as when using fully qualified names) and for consistency with the C++ PSM for DDS, which uses </w:t>
      </w:r>
      <w:r>
        <w:lastRenderedPageBreak/>
        <w:t>the term “pub” as well.</w:t>
      </w:r>
    </w:p>
    <w:p w:rsidR="00C26DAF" w:rsidRDefault="00157CCB" w:rsidP="00B95E87">
      <w:pPr>
        <w:pStyle w:val="Heading3"/>
      </w:pPr>
      <w:bookmarkStart w:id="50" w:name="_Ref143772219"/>
      <w:bookmarkStart w:id="51" w:name="_Toc181353268"/>
      <w:r>
        <w:rPr>
          <w:rStyle w:val="CodeChar"/>
        </w:rPr>
        <w:t>Publisher</w:t>
      </w:r>
      <w:r>
        <w:t xml:space="preserve"> Interface</w:t>
      </w:r>
      <w:bookmarkEnd w:id="50"/>
      <w:bookmarkEnd w:id="51"/>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52" w:name="_Toc181353269"/>
      <w:r>
        <w:rPr>
          <w:rStyle w:val="CodeChar"/>
        </w:rPr>
        <w:t>DataWriter</w:t>
      </w:r>
      <w:r>
        <w:t xml:space="preserve"> Interface</w:t>
      </w:r>
      <w:bookmarkEnd w:id="52"/>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proofErr w:type="spellStart"/>
      <w:r>
        <w:rPr>
          <w:rStyle w:val="CodeChar"/>
        </w:rPr>
        <w:t>FooDataWriter</w:t>
      </w:r>
      <w:proofErr w:type="spellEnd"/>
      <w:r>
        <w:t>) and one whose type is not statically known (</w:t>
      </w:r>
      <w:proofErr w:type="spellStart"/>
      <w:r>
        <w:rPr>
          <w:rStyle w:val="CodeChar"/>
        </w:rPr>
        <w:t>DataWriter</w:t>
      </w:r>
      <w:proofErr w:type="spellEnd"/>
      <w:r>
        <w:t xml:space="preserve"> itself); these are related by an inheritance relationship. This PSM makes no such distinction: Java’s generic wildcard syntax (</w:t>
      </w:r>
      <w:proofErr w:type="spellStart"/>
      <w:r>
        <w:rPr>
          <w:rStyle w:val="CodeChar"/>
        </w:rPr>
        <w:t>DataWriter</w:t>
      </w:r>
      <w:proofErr w:type="spellEnd"/>
      <w:r>
        <w:rPr>
          <w:rStyle w:val="CodeChar"/>
        </w:rPr>
        <w:t>&lt;?&gt;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proofErr w:type="spellStart"/>
      <w:r>
        <w:rPr>
          <w:rStyle w:val="CodeChar"/>
        </w:rPr>
        <w:t>DataWriter</w:t>
      </w:r>
      <w:r>
        <w:t>s</w:t>
      </w:r>
      <w:proofErr w:type="spellEnd"/>
      <w:r>
        <w:t xml:space="preserve"> of </w:t>
      </w:r>
      <w:proofErr w:type="spellStart"/>
      <w:r>
        <w:t>unkeyed</w:t>
      </w:r>
      <w:proofErr w:type="spellEnd"/>
      <w:r>
        <w:t xml:space="preserve"> types may choose to call the overloads that accept instance handle arguments; if they do, the handle argument must be a nil handle (as explained in the DDS PIM).</w:t>
      </w:r>
    </w:p>
    <w:p w:rsidR="00C26DAF" w:rsidRDefault="00157CCB" w:rsidP="00B95E87">
      <w:pPr>
        <w:pStyle w:val="Heading2"/>
      </w:pPr>
      <w:bookmarkStart w:id="53" w:name="_Toc181353270"/>
      <w:r>
        <w:t>Subscription Module</w:t>
      </w:r>
      <w:bookmarkEnd w:id="53"/>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54" w:name="_Ref143772221"/>
      <w:bookmarkStart w:id="55" w:name="_Toc181353271"/>
      <w:r>
        <w:rPr>
          <w:rStyle w:val="CodeChar"/>
        </w:rPr>
        <w:lastRenderedPageBreak/>
        <w:t>Subscriber</w:t>
      </w:r>
      <w:r>
        <w:t xml:space="preserve"> Interface</w:t>
      </w:r>
      <w:bookmarkEnd w:id="54"/>
      <w:bookmarkEnd w:id="55"/>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56" w:name="_Toc181353272"/>
      <w:r>
        <w:rPr>
          <w:rStyle w:val="CodeChar"/>
        </w:rPr>
        <w:t>Sample</w:t>
      </w:r>
      <w:r>
        <w:t xml:space="preserve"> Interface</w:t>
      </w:r>
      <w:bookmarkEnd w:id="56"/>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p>
    <w:p w:rsidR="00C26DAF" w:rsidRDefault="00157CCB" w:rsidP="00B95E87">
      <w:pPr>
        <w:pStyle w:val="Heading3"/>
      </w:pPr>
      <w:bookmarkStart w:id="57" w:name="_Ref134955727"/>
      <w:bookmarkStart w:id="58" w:name="_Toc181353273"/>
      <w:r>
        <w:rPr>
          <w:rStyle w:val="CodeChar"/>
        </w:rPr>
        <w:t>DataReader</w:t>
      </w:r>
      <w:r>
        <w:t xml:space="preserve"> Interface</w:t>
      </w:r>
      <w:bookmarkEnd w:id="57"/>
      <w:bookmarkEnd w:id="58"/>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proofErr w:type="spellStart"/>
      <w:r>
        <w:rPr>
          <w:rStyle w:val="CodeChar"/>
        </w:rPr>
        <w:t>FooDataReader</w:t>
      </w:r>
      <w:proofErr w:type="spellEnd"/>
      <w:r>
        <w:t>) and one whose type is not statically known (</w:t>
      </w:r>
      <w:proofErr w:type="spellStart"/>
      <w:r>
        <w:rPr>
          <w:rStyle w:val="CodeChar"/>
        </w:rPr>
        <w:t>DataReader</w:t>
      </w:r>
      <w:proofErr w:type="spellEnd"/>
      <w:r>
        <w:t xml:space="preserve"> itself); these are related by an inheritance relationship. This PSM makes no such distinction: Java’s generic wildcard syntax (</w:t>
      </w:r>
      <w:proofErr w:type="spellStart"/>
      <w:r>
        <w:rPr>
          <w:rStyle w:val="CodeChar"/>
        </w:rPr>
        <w:t>DataReader</w:t>
      </w:r>
      <w:proofErr w:type="spellEnd"/>
      <w:r>
        <w:rPr>
          <w:rStyle w:val="CodeChar"/>
        </w:rPr>
        <w:t>&lt;?&gt;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w:t>
      </w:r>
      <w:proofErr w:type="gramStart"/>
      <w:r>
        <w:t xml:space="preserve">interface provides an extensive set 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lastRenderedPageBreak/>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14272" w:rsidRDefault="00C14272" w:rsidP="00C14272">
      <w:pPr>
        <w:pStyle w:val="EditorialComment"/>
        <w:ind w:left="360"/>
      </w:pPr>
      <w:r w:rsidRPr="00E30847">
        <w:rPr>
          <w:b/>
        </w:rPr>
        <w:t xml:space="preserve">Issue </w:t>
      </w:r>
      <w:r>
        <w:rPr>
          <w:b/>
        </w:rPr>
        <w:t>16321</w:t>
      </w:r>
      <w:r>
        <w:t xml:space="preserve">: Too many </w:t>
      </w:r>
      <w:r>
        <w:rPr>
          <w:rStyle w:val="CodeChar"/>
        </w:rPr>
        <w:t>read/take</w:t>
      </w:r>
      <w:r>
        <w:t xml:space="preserve"> overloads</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59" w:name="_Ref134965308"/>
      <w:bookmarkStart w:id="60" w:name="_Toc181353274"/>
      <w:r>
        <w:t>Extensible and Dynamic Topic Types Module</w:t>
      </w:r>
      <w:bookmarkEnd w:id="59"/>
      <w:bookmarkEnd w:id="60"/>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pPr>
      <w:bookmarkStart w:id="61" w:name="_Toc181353275"/>
      <w:r>
        <w:t>Dynamic Language Binding</w:t>
      </w:r>
      <w:bookmarkEnd w:id="61"/>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lastRenderedPageBreak/>
        <w:t>DynamicTypeFactory</w:t>
      </w:r>
      <w:r>
        <w:t xml:space="preserve"> Interface</w:t>
      </w:r>
    </w:p>
    <w:p w:rsidR="00DB0C93" w:rsidRDefault="00DB0C93" w:rsidP="00DB0C93">
      <w:pPr>
        <w:pStyle w:val="EditorialComment"/>
      </w:pPr>
      <w:r w:rsidRPr="00E30847">
        <w:rPr>
          <w:b/>
        </w:rPr>
        <w:t xml:space="preserve">Issue </w:t>
      </w:r>
      <w:r>
        <w:rPr>
          <w:b/>
        </w:rPr>
        <w:t>16324</w:t>
      </w:r>
      <w:r>
        <w:t xml:space="preserve">: </w:t>
      </w:r>
      <w:r w:rsidRPr="00794E99">
        <w:t xml:space="preserve">Improve </w:t>
      </w:r>
      <w:r w:rsidRPr="00DB0C93">
        <w:t>polymorphic sample creation</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proofErr w:type="spellStart"/>
      <w:r w:rsidR="006F02C5">
        <w:rPr>
          <w:rStyle w:val="CodeChar"/>
        </w:rPr>
        <w:t>ServiceEnvironment</w:t>
      </w:r>
      <w:proofErr w:type="spellEnd"/>
      <w:r w:rsidR="006F02C5">
        <w:t xml:space="preserve"> </w:t>
      </w:r>
      <w:r>
        <w:t xml:space="preserve">singleton.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62" w:name="_Ref143771891"/>
      <w:r>
        <w:rPr>
          <w:rStyle w:val="CodeChar"/>
        </w:rPr>
        <w:t>DynamicType</w:t>
      </w:r>
      <w:r>
        <w:t xml:space="preserve"> and </w:t>
      </w:r>
      <w:r>
        <w:rPr>
          <w:rStyle w:val="CodeChar"/>
        </w:rPr>
        <w:t>DynamicTypeMember</w:t>
      </w:r>
      <w:r>
        <w:t xml:space="preserve"> Interfaces</w:t>
      </w:r>
      <w:bookmarkEnd w:id="62"/>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lastRenderedPageBreak/>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r>
        <w:t xml:space="preserve">The following interfaces are values types with modifiable and </w:t>
      </w:r>
      <w:proofErr w:type="spellStart"/>
      <w:r>
        <w:t>unmodifiable</w:t>
      </w:r>
      <w:proofErr w:type="spellEnd"/>
      <w:r>
        <w:t xml:space="preserve"> variants, as described in section </w:t>
      </w:r>
      <w:r w:rsidR="009F3DA0">
        <w:fldChar w:fldCharType="begin"/>
      </w:r>
      <w:r>
        <w:instrText xml:space="preserve"> REF _Ref134965787 \r \p \h </w:instrText>
      </w:r>
      <w:r w:rsidR="009F3DA0">
        <w:fldChar w:fldCharType="separate"/>
      </w:r>
      <w:r w:rsidR="00D06F28">
        <w:t>7.2.3 above</w:t>
      </w:r>
      <w:r w:rsidR="009F3DA0">
        <w:fldChar w:fldCharType="end"/>
      </w:r>
      <w:r>
        <w:t>:</w:t>
      </w:r>
    </w:p>
    <w:p w:rsidR="00C26DAF" w:rsidRDefault="00157CCB">
      <w:pPr>
        <w:pStyle w:val="Body"/>
        <w:numPr>
          <w:ilvl w:val="0"/>
          <w:numId w:val="22"/>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pPr>
      <w:bookmarkStart w:id="63" w:name="_Toc181353276"/>
      <w:r>
        <w:t>Built-in Types</w:t>
      </w:r>
      <w:bookmarkEnd w:id="63"/>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pPr>
      <w:bookmarkStart w:id="64" w:name="_Toc181353277"/>
      <w:r>
        <w:t xml:space="preserve">Representing Types with </w:t>
      </w:r>
      <w:r>
        <w:rPr>
          <w:rStyle w:val="CodeChar"/>
        </w:rPr>
        <w:t>TypeObject</w:t>
      </w:r>
      <w:bookmarkEnd w:id="64"/>
    </w:p>
    <w:p w:rsidR="00C26DAF" w:rsidRDefault="00157CCB">
      <w:pPr>
        <w:pStyle w:val="Body"/>
      </w:pPr>
      <w:r>
        <w:t xml:space="preserve">The types in this package are expressed as modifiable value types according to the mapping rules </w:t>
      </w:r>
      <w:r>
        <w:lastRenderedPageBreak/>
        <w:t>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pPr>
      <w:bookmarkStart w:id="65" w:name="_Ref143771053"/>
      <w:bookmarkStart w:id="66" w:name="_Ref143771197"/>
      <w:bookmarkStart w:id="67" w:name="_Ref143771830"/>
      <w:bookmarkStart w:id="68" w:name="_Toc181353278"/>
      <w:r>
        <w:t>Java Type Representation</w:t>
      </w:r>
      <w:bookmarkEnd w:id="65"/>
      <w:bookmarkEnd w:id="66"/>
      <w:bookmarkEnd w:id="67"/>
      <w:r>
        <w:t xml:space="preserve"> and Language Binding</w:t>
      </w:r>
      <w:bookmarkEnd w:id="68"/>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w:t>
      </w:r>
      <w:proofErr w:type="gramStart"/>
      <w:r>
        <w:t xml:space="preserve">Any Java type that implements </w:t>
      </w:r>
      <w:r>
        <w:rPr>
          <w:rStyle w:val="CodeChar"/>
        </w:rPr>
        <w:t>Serializable</w:t>
      </w:r>
      <w:r>
        <w:t xml:space="preserve"> (directly or indirectly) shall be available for publishing and/or subscribing over DDS as defined below.</w:t>
      </w:r>
      <w:proofErr w:type="gramEnd"/>
      <w:r>
        <w:t xml:space="preserve">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69" w:name="_Toc181353279"/>
      <w:r>
        <w:t>Default Mappings</w:t>
      </w:r>
      <w:bookmarkEnd w:id="69"/>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70" w:name="_Ref141751646"/>
      <w:bookmarkStart w:id="71"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70"/>
      <w:r>
        <w:t xml:space="preserve"> — Default type mappings</w:t>
      </w:r>
      <w:bookmarkEnd w:id="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lastRenderedPageBreak/>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72" w:name="_Toc181353280"/>
      <w:r>
        <w:t>Metadata</w:t>
      </w:r>
      <w:bookmarkEnd w:id="72"/>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w:t>
      </w:r>
      <w:proofErr w:type="spellStart"/>
      <w:r>
        <w:t>accessor</w:t>
      </w:r>
      <w:proofErr w:type="spellEnd"/>
      <w:r>
        <w:t xml:space="preserve"> and/or </w:t>
      </w:r>
      <w:proofErr w:type="spellStart"/>
      <w:r>
        <w:t>mutator</w:t>
      </w:r>
      <w:proofErr w:type="spellEnd"/>
      <w:r>
        <w:t xml:space="preserve"> methods; however, they have no specified behavior in such cases.</w:t>
      </w:r>
    </w:p>
    <w:p w:rsidR="00C26DAF" w:rsidRDefault="00157CCB" w:rsidP="00B95E87">
      <w:pPr>
        <w:pStyle w:val="Heading2"/>
      </w:pPr>
      <w:bookmarkStart w:id="73" w:name="_Ref141750409"/>
      <w:bookmarkStart w:id="74" w:name="_Toc181353281"/>
      <w:r>
        <w:t>Primitive Types</w:t>
      </w:r>
      <w:bookmarkEnd w:id="73"/>
      <w:bookmarkEnd w:id="74"/>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lastRenderedPageBreak/>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75" w:name="_Ref141750652"/>
      <w:r>
        <w:t>The DDS Type System ([DDS-</w:t>
      </w:r>
      <w:proofErr w:type="spellStart"/>
      <w:r>
        <w:t>XTypes</w:t>
      </w:r>
      <w:proofErr w:type="spellEnd"/>
      <w:r>
        <w:t>])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76" w:name="_Toc181353282"/>
      <w:r>
        <w:t>Collections</w:t>
      </w:r>
      <w:bookmarkEnd w:id="75"/>
      <w:bookmarkEnd w:id="76"/>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77" w:name="_Toc181353283"/>
      <w:r>
        <w:t>Strings</w:t>
      </w:r>
      <w:bookmarkEnd w:id="77"/>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78" w:name="_Toc181353284"/>
      <w:bookmarkStart w:id="79" w:name="_Ref141750696"/>
      <w:r>
        <w:lastRenderedPageBreak/>
        <w:t>Maps</w:t>
      </w:r>
      <w:bookmarkEnd w:id="78"/>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80" w:name="_Toc181353285"/>
      <w:r>
        <w:t>Sequences</w:t>
      </w:r>
      <w:bookmarkEnd w:id="79"/>
      <w:r>
        <w:t xml:space="preserve"> and Arrays</w:t>
      </w:r>
      <w:bookmarkEnd w:id="80"/>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w:t>
      </w:r>
      <w:proofErr w:type="gramStart"/>
      <w:r>
        <w:t>a given array object</w:t>
      </w:r>
      <w:proofErr w:type="gramEnd"/>
      <w:r>
        <w:t xml:space="preserve">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81" w:name="_Toc181353286"/>
      <w:r>
        <w:t>Aggregated Types</w:t>
      </w:r>
      <w:bookmarkEnd w:id="81"/>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proofErr w:type="spellStart"/>
      <w:r>
        <w:rPr>
          <w:rStyle w:val="CodeChar"/>
        </w:rPr>
        <w:t>java.lang.SecurityManager</w:t>
      </w:r>
      <w:proofErr w:type="spellEnd"/>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lastRenderedPageBreak/>
        <w:t>Object references form a cycle. (Cycles are not permitted by the DDS Type System.)</w:t>
      </w:r>
    </w:p>
    <w:p w:rsidR="00C26DAF" w:rsidRDefault="00157CCB" w:rsidP="00B95E87">
      <w:pPr>
        <w:pStyle w:val="Heading3"/>
      </w:pPr>
      <w:bookmarkStart w:id="82" w:name="_Toc181353287"/>
      <w:r>
        <w:t>Structures</w:t>
      </w:r>
      <w:bookmarkEnd w:id="82"/>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83" w:name="_Toc181353288"/>
      <w:r>
        <w:t>Unions</w:t>
      </w:r>
      <w:bookmarkEnd w:id="83"/>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84" w:name="_Toc181353289"/>
      <w:r>
        <w:t>Enumerations and Bit Sets</w:t>
      </w:r>
      <w:bookmarkEnd w:id="84"/>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85" w:name="_Toc181353290"/>
      <w:r>
        <w:t>Modules</w:t>
      </w:r>
      <w:bookmarkEnd w:id="85"/>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86" w:name="_Toc181353291"/>
      <w:r>
        <w:lastRenderedPageBreak/>
        <w:t>Annotations</w:t>
      </w:r>
      <w:bookmarkEnd w:id="86"/>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pPr>
      <w:bookmarkStart w:id="87" w:name="_Toc182385792"/>
      <w:r w:rsidRPr="004B3155">
        <w:t xml:space="preserve">Improved Plain Language Binding for </w:t>
      </w:r>
      <w:bookmarkEnd w:id="87"/>
      <w:r>
        <w:t>Java</w:t>
      </w:r>
    </w:p>
    <w:p w:rsidR="00EA1B50" w:rsidRPr="004B3155" w:rsidRDefault="00EA1B50" w:rsidP="00EA1B50">
      <w:pPr>
        <w:pStyle w:val="Heading2"/>
      </w:pPr>
      <w:bookmarkStart w:id="88" w:name="_Toc182385793"/>
      <w:proofErr w:type="spellStart"/>
      <w:r w:rsidRPr="004B3155">
        <w:t>TypeMapping</w:t>
      </w:r>
      <w:bookmarkEnd w:id="88"/>
      <w:proofErr w:type="spellEnd"/>
    </w:p>
    <w:p w:rsidR="00EA1B50" w:rsidRPr="004B3155" w:rsidRDefault="00EA1B50" w:rsidP="00EA1B50">
      <w:r w:rsidRPr="004B3155">
        <w:t>The type system for DDS topic types is defined by the Extensible and Dynamic Topic Types for DDS specification [DDS-</w:t>
      </w:r>
      <w:proofErr w:type="spellStart"/>
      <w:r w:rsidRPr="004B3155">
        <w:t>XTypes</w:t>
      </w:r>
      <w:proofErr w:type="spellEnd"/>
      <w:r w:rsidRPr="004B3155">
        <w:t>].</w:t>
      </w:r>
    </w:p>
    <w:p w:rsidR="00EA1B50" w:rsidRPr="004B3155" w:rsidRDefault="00EA1B50" w:rsidP="00EA1B50"/>
    <w:p w:rsidR="00EA1B50" w:rsidRPr="004B3155" w:rsidRDefault="00EA1B50" w:rsidP="00EA1B50">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rsidR="00533CC2">
        <w:t>-</w:t>
      </w:r>
      <w:r w:rsidRPr="004B3155">
        <w:t>to-</w:t>
      </w:r>
      <w:r w:rsidR="00533CC2">
        <w:t xml:space="preserve">Java </w:t>
      </w:r>
      <w:r w:rsidRPr="004B3155">
        <w:t>mapping</w:t>
      </w:r>
      <w:r w:rsidR="00533CC2">
        <w:t xml:space="preserve"> [Java-MAP]</w:t>
      </w:r>
      <w:r w:rsidRPr="004B3155">
        <w:t>).</w:t>
      </w:r>
    </w:p>
    <w:p w:rsidR="003B5E48" w:rsidRPr="004B3155" w:rsidRDefault="003B5E48" w:rsidP="003B5E48">
      <w:pPr>
        <w:pStyle w:val="Heading3"/>
      </w:pPr>
      <w:bookmarkStart w:id="89" w:name="_Toc182385794"/>
      <w:r w:rsidRPr="004B3155">
        <w:t>Mapping Aggregation Types</w:t>
      </w:r>
      <w:bookmarkEnd w:id="89"/>
    </w:p>
    <w:p w:rsidR="003B5E48" w:rsidRDefault="003B5E48" w:rsidP="003B5E48">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p>
    <w:p w:rsidR="003B5E48" w:rsidRDefault="003B5E48" w:rsidP="003B5E48"/>
    <w:p w:rsidR="003B5E48" w:rsidRPr="004B3155" w:rsidRDefault="003B5E48" w:rsidP="003B5E48">
      <w:pPr>
        <w:pStyle w:val="Heading3"/>
      </w:pPr>
      <w:r w:rsidRPr="004B3155">
        <w:t xml:space="preserve">Mapping </w:t>
      </w:r>
      <w:r>
        <w:t>Sequences</w:t>
      </w:r>
      <w:r w:rsidR="00DE5E21">
        <w:t xml:space="preserve"> and Arrays</w:t>
      </w:r>
    </w:p>
    <w:p w:rsidR="003B5E48" w:rsidRDefault="009974A1" w:rsidP="003B5E48">
      <w:r>
        <w:t xml:space="preserve">Unbounded </w:t>
      </w:r>
      <w:r w:rsidR="003B5E48" w:rsidRPr="004B3155">
        <w:t xml:space="preserve">DDS </w:t>
      </w:r>
      <w:r w:rsidR="003B5E48">
        <w:t xml:space="preserve">sequences </w:t>
      </w:r>
      <w:r>
        <w:t xml:space="preserve">are mapped to Collection&lt;E&gt; interface. The state is encapsulated and getters/setters are provided through bean style property </w:t>
      </w:r>
      <w:proofErr w:type="spellStart"/>
      <w:r>
        <w:t>accessors</w:t>
      </w:r>
      <w:proofErr w:type="spellEnd"/>
      <w:r>
        <w:t>.</w:t>
      </w:r>
      <w:r w:rsidR="00DE5E21">
        <w:t xml:space="preserve"> Bounded sequences and arrays are mapped to Java arrays.</w:t>
      </w:r>
    </w:p>
    <w:p w:rsidR="003B5E48" w:rsidRDefault="003B5E48" w:rsidP="003B5E48"/>
    <w:p w:rsidR="00FA53D2" w:rsidRDefault="00FA53D2" w:rsidP="008E40F5">
      <w:pPr>
        <w:pStyle w:val="Heading2"/>
      </w:pPr>
      <w:r>
        <w:t>Example</w:t>
      </w:r>
      <w:r w:rsidR="008D0FA9">
        <w:t xml:space="preserve"> (non-normative)</w:t>
      </w:r>
    </w:p>
    <w:tbl>
      <w:tblPr>
        <w:tblStyle w:val="TableGrid"/>
        <w:tblW w:w="0" w:type="auto"/>
        <w:tblLook w:val="04A0" w:firstRow="1" w:lastRow="0" w:firstColumn="1" w:lastColumn="0" w:noHBand="0" w:noVBand="1"/>
      </w:tblPr>
      <w:tblGrid>
        <w:gridCol w:w="4463"/>
        <w:gridCol w:w="5113"/>
      </w:tblGrid>
      <w:tr w:rsidR="00FA53D2" w:rsidTr="00F96360">
        <w:tc>
          <w:tcPr>
            <w:tcW w:w="4788" w:type="dxa"/>
            <w:shd w:val="clear" w:color="auto" w:fill="A6A6A6" w:themeFill="background1" w:themeFillShade="A6"/>
          </w:tcPr>
          <w:p w:rsidR="00FA53D2" w:rsidRPr="008E40F5" w:rsidRDefault="00FA53D2" w:rsidP="008E40F5">
            <w:pPr>
              <w:pStyle w:val="Body"/>
              <w:jc w:val="center"/>
              <w:rPr>
                <w:rFonts w:ascii="Courier New" w:hAnsi="Courier New" w:cs="Courier New"/>
                <w:b/>
              </w:rPr>
            </w:pPr>
            <w:r w:rsidRPr="008E40F5">
              <w:rPr>
                <w:rFonts w:ascii="Courier New" w:hAnsi="Courier New" w:cs="Courier New"/>
                <w:b/>
              </w:rPr>
              <w:t>IDL</w:t>
            </w:r>
          </w:p>
        </w:tc>
        <w:tc>
          <w:tcPr>
            <w:tcW w:w="4788" w:type="dxa"/>
            <w:shd w:val="clear" w:color="auto" w:fill="A6A6A6" w:themeFill="background1" w:themeFillShade="A6"/>
          </w:tcPr>
          <w:p w:rsidR="00FA53D2" w:rsidRPr="008E40F5" w:rsidRDefault="00FA53D2" w:rsidP="008E40F5">
            <w:pPr>
              <w:pStyle w:val="Body"/>
              <w:jc w:val="center"/>
              <w:rPr>
                <w:b/>
              </w:rPr>
            </w:pPr>
            <w:r w:rsidRPr="008E40F5">
              <w:rPr>
                <w:b/>
              </w:rPr>
              <w:t>Java Representation</w:t>
            </w:r>
          </w:p>
        </w:tc>
      </w:tr>
      <w:tr w:rsidR="00FA53D2" w:rsidTr="00FA53D2">
        <w:tc>
          <w:tcPr>
            <w:tcW w:w="4788" w:type="dxa"/>
          </w:tcPr>
          <w:p w:rsidR="00FA53D2" w:rsidRPr="008E40F5" w:rsidRDefault="00FA53D2" w:rsidP="00FA53D2">
            <w:pPr>
              <w:pStyle w:val="Body"/>
              <w:rPr>
                <w:rFonts w:ascii="Courier New" w:hAnsi="Courier New" w:cs="Courier New"/>
              </w:rPr>
            </w:pPr>
            <w:proofErr w:type="spellStart"/>
            <w:r w:rsidRPr="008E40F5">
              <w:rPr>
                <w:rFonts w:ascii="Courier New" w:hAnsi="Courier New" w:cs="Courier New"/>
              </w:rPr>
              <w:t>struct</w:t>
            </w:r>
            <w:proofErr w:type="spellEnd"/>
            <w:r w:rsidRPr="008E40F5">
              <w:rPr>
                <w:rFonts w:ascii="Courier New" w:hAnsi="Courier New" w:cs="Courier New"/>
              </w:rPr>
              <w:t xml:space="preserve"> Point {</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long x, y;</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long z; //@optional</w:t>
            </w:r>
          </w:p>
          <w:p w:rsidR="00FA53D2" w:rsidRPr="008E40F5" w:rsidRDefault="00FA53D2" w:rsidP="00FA53D2">
            <w:pPr>
              <w:pStyle w:val="Body"/>
              <w:rPr>
                <w:rFonts w:ascii="Courier New" w:hAnsi="Courier New" w:cs="Courier New"/>
              </w:rPr>
            </w:pPr>
            <w:r w:rsidRPr="008E40F5">
              <w:rPr>
                <w:rFonts w:ascii="Courier New" w:hAnsi="Courier New" w:cs="Courier New"/>
              </w:rPr>
              <w:t>};</w:t>
            </w:r>
          </w:p>
          <w:p w:rsidR="00FA53D2" w:rsidRPr="008E40F5" w:rsidRDefault="00FA53D2" w:rsidP="00FA53D2">
            <w:pPr>
              <w:pStyle w:val="Body"/>
              <w:rPr>
                <w:rFonts w:ascii="Courier New" w:hAnsi="Courier New" w:cs="Courier New"/>
              </w:rPr>
            </w:pPr>
          </w:p>
          <w:p w:rsidR="00FA53D2" w:rsidRPr="008E40F5" w:rsidRDefault="00FA53D2" w:rsidP="00FA53D2">
            <w:pPr>
              <w:pStyle w:val="Body"/>
              <w:rPr>
                <w:rFonts w:ascii="Courier New" w:hAnsi="Courier New" w:cs="Courier New"/>
              </w:rPr>
            </w:pPr>
            <w:proofErr w:type="spellStart"/>
            <w:r w:rsidRPr="008E40F5">
              <w:rPr>
                <w:rFonts w:ascii="Courier New" w:hAnsi="Courier New" w:cs="Courier New"/>
              </w:rPr>
              <w:t>typedef</w:t>
            </w:r>
            <w:proofErr w:type="spellEnd"/>
            <w:r w:rsidRPr="008E40F5">
              <w:rPr>
                <w:rFonts w:ascii="Courier New" w:hAnsi="Courier New" w:cs="Courier New"/>
              </w:rPr>
              <w:t xml:space="preserve"> sequence&lt;octet&gt;   </w:t>
            </w:r>
            <w:proofErr w:type="spellStart"/>
            <w:r w:rsidRPr="008E40F5">
              <w:rPr>
                <w:rFonts w:ascii="Courier New" w:hAnsi="Courier New" w:cs="Courier New"/>
              </w:rPr>
              <w:t>plot_t</w:t>
            </w:r>
            <w:proofErr w:type="spellEnd"/>
            <w:r w:rsidRPr="008E40F5">
              <w:rPr>
                <w:rFonts w:ascii="Courier New" w:hAnsi="Courier New" w:cs="Courier New"/>
              </w:rPr>
              <w:t xml:space="preserve">; </w:t>
            </w:r>
          </w:p>
          <w:p w:rsidR="00FA53D2" w:rsidRPr="008E40F5" w:rsidRDefault="00FA53D2" w:rsidP="00FA53D2">
            <w:pPr>
              <w:pStyle w:val="Body"/>
              <w:rPr>
                <w:rFonts w:ascii="Courier New" w:hAnsi="Courier New" w:cs="Courier New"/>
              </w:rPr>
            </w:pPr>
          </w:p>
          <w:p w:rsidR="00FA53D2" w:rsidRPr="008E40F5" w:rsidRDefault="00FA53D2" w:rsidP="00FA53D2">
            <w:pPr>
              <w:pStyle w:val="Body"/>
              <w:rPr>
                <w:rFonts w:ascii="Courier New" w:hAnsi="Courier New" w:cs="Courier New"/>
              </w:rPr>
            </w:pPr>
            <w:proofErr w:type="spellStart"/>
            <w:r w:rsidRPr="008E40F5">
              <w:rPr>
                <w:rFonts w:ascii="Courier New" w:hAnsi="Courier New" w:cs="Courier New"/>
              </w:rPr>
              <w:t>struct</w:t>
            </w:r>
            <w:proofErr w:type="spellEnd"/>
            <w:r w:rsidRPr="008E40F5">
              <w:rPr>
                <w:rFonts w:ascii="Courier New" w:hAnsi="Courier New" w:cs="Courier New"/>
              </w:rPr>
              <w:t xml:space="preserve"> </w:t>
            </w:r>
            <w:proofErr w:type="spellStart"/>
            <w:r w:rsidRPr="008E40F5">
              <w:rPr>
                <w:rFonts w:ascii="Courier New" w:hAnsi="Courier New" w:cs="Courier New"/>
              </w:rPr>
              <w:t>RadarTrack</w:t>
            </w:r>
            <w:proofErr w:type="spellEnd"/>
            <w:r w:rsidRPr="008E40F5">
              <w:rPr>
                <w:rFonts w:ascii="Courier New" w:hAnsi="Courier New" w:cs="Courier New"/>
              </w:rPr>
              <w:t xml:space="preserve"> {</w:t>
            </w:r>
          </w:p>
          <w:p w:rsidR="00FA53D2" w:rsidRPr="008E40F5" w:rsidRDefault="00FA53D2" w:rsidP="00FA53D2">
            <w:pPr>
              <w:pStyle w:val="Body"/>
              <w:rPr>
                <w:rFonts w:ascii="Courier New" w:hAnsi="Courier New" w:cs="Courier New"/>
              </w:rPr>
            </w:pPr>
            <w:r w:rsidRPr="008E40F5">
              <w:rPr>
                <w:rFonts w:ascii="Courier New" w:hAnsi="Courier New" w:cs="Courier New"/>
              </w:rPr>
              <w:lastRenderedPageBreak/>
              <w:t xml:space="preserve">    string id;</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string name;   //@optional</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Point center;</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Point vicinity[8];</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plot_t</w:t>
            </w:r>
            <w:proofErr w:type="spellEnd"/>
            <w:r w:rsidRPr="008E40F5">
              <w:rPr>
                <w:rFonts w:ascii="Courier New" w:hAnsi="Courier New" w:cs="Courier New"/>
              </w:rPr>
              <w:t xml:space="preserve"> plot;   //@shared</w:t>
            </w:r>
          </w:p>
          <w:p w:rsidR="00FA53D2" w:rsidRDefault="00FA53D2" w:rsidP="00FA53D2">
            <w:pPr>
              <w:pStyle w:val="Body"/>
            </w:pPr>
            <w:r w:rsidRPr="008E40F5">
              <w:rPr>
                <w:rFonts w:ascii="Courier New" w:hAnsi="Courier New" w:cs="Courier New"/>
              </w:rPr>
              <w:t>};</w:t>
            </w:r>
          </w:p>
        </w:tc>
        <w:tc>
          <w:tcPr>
            <w:tcW w:w="4788" w:type="dxa"/>
          </w:tcPr>
          <w:p w:rsidR="00810788" w:rsidRPr="008E40F5" w:rsidRDefault="003125E9" w:rsidP="00810788">
            <w:pPr>
              <w:pStyle w:val="Body"/>
              <w:rPr>
                <w:rFonts w:ascii="Courier New" w:hAnsi="Courier New" w:cs="Courier New"/>
              </w:rPr>
            </w:pPr>
            <w:r w:rsidRPr="003125E9">
              <w:rPr>
                <w:rFonts w:ascii="Courier New" w:hAnsi="Courier New" w:cs="Courier New"/>
              </w:rPr>
              <w:lastRenderedPageBreak/>
              <w:t>public final class Point</w:t>
            </w:r>
            <w:r>
              <w:rPr>
                <w:rFonts w:ascii="Courier New" w:hAnsi="Courier New" w:cs="Courier New"/>
              </w:rPr>
              <w:t xml:space="preserve"> </w:t>
            </w:r>
            <w:r w:rsidR="00810788"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w:t>
            </w:r>
            <w:proofErr w:type="spellStart"/>
            <w:r w:rsidRPr="008E40F5">
              <w:rPr>
                <w:rFonts w:ascii="Courier New" w:hAnsi="Courier New" w:cs="Courier New"/>
              </w:rPr>
              <w:t>int</w:t>
            </w:r>
            <w:proofErr w:type="spellEnd"/>
            <w:r w:rsidRPr="008E40F5">
              <w:rPr>
                <w:rFonts w:ascii="Courier New" w:hAnsi="Courier New" w:cs="Courier New"/>
              </w:rPr>
              <w:t xml:space="preserve"> x, </w:t>
            </w:r>
            <w:proofErr w:type="spellStart"/>
            <w:r w:rsidRPr="008E40F5">
              <w:rPr>
                <w:rFonts w:ascii="Courier New" w:hAnsi="Courier New" w:cs="Courier New"/>
              </w:rPr>
              <w:t>int</w:t>
            </w:r>
            <w:proofErr w:type="spellEnd"/>
            <w:r w:rsidRPr="008E40F5">
              <w:rPr>
                <w:rFonts w:ascii="Courier New" w:hAnsi="Courier New" w:cs="Courier New"/>
              </w:rPr>
              <w:t xml:space="preserve"> y, </w:t>
            </w:r>
            <w:r w:rsidR="003125E9">
              <w:rPr>
                <w:rFonts w:ascii="Courier New" w:hAnsi="Courier New" w:cs="Courier New"/>
              </w:rPr>
              <w:br/>
              <w:t xml:space="preserve">        </w:t>
            </w:r>
            <w:proofErr w:type="spellStart"/>
            <w:r w:rsidRPr="008E40F5">
              <w:rPr>
                <w:rFonts w:ascii="Courier New" w:hAnsi="Courier New" w:cs="Courier New"/>
              </w:rPr>
              <w:t>java.lang.Integer</w:t>
            </w:r>
            <w:proofErr w:type="spellEnd"/>
            <w:r w:rsidRPr="008E40F5">
              <w:rPr>
                <w:rFonts w:ascii="Courier New" w:hAnsi="Courier New" w:cs="Courier New"/>
              </w:rPr>
              <w:t xml:space="preserve"> z);</w:t>
            </w:r>
          </w:p>
          <w:p w:rsidR="00810788" w:rsidRPr="008E40F5" w:rsidRDefault="00810788" w:rsidP="00810788">
            <w:pPr>
              <w:pStyle w:val="Body"/>
              <w:rPr>
                <w:rFonts w:ascii="Courier New" w:hAnsi="Courier New" w:cs="Courier New"/>
              </w:rPr>
            </w:pP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int</w:t>
            </w:r>
            <w:proofErr w:type="spellEnd"/>
            <w:r w:rsidRPr="008E40F5">
              <w:rPr>
                <w:rFonts w:ascii="Courier New" w:hAnsi="Courier New" w:cs="Courier New"/>
              </w:rPr>
              <w:t xml:space="preserve"> </w:t>
            </w:r>
            <w:proofErr w:type="spellStart"/>
            <w:r w:rsidRPr="008E40F5">
              <w:rPr>
                <w:rFonts w:ascii="Courier New" w:hAnsi="Courier New" w:cs="Courier New"/>
              </w:rPr>
              <w:t>getX</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setX</w:t>
            </w:r>
            <w:proofErr w:type="spellEnd"/>
            <w:r w:rsidRPr="008E40F5">
              <w:rPr>
                <w:rFonts w:ascii="Courier New" w:hAnsi="Courier New" w:cs="Courier New"/>
              </w:rPr>
              <w:t>(int32 v);</w:t>
            </w:r>
          </w:p>
          <w:p w:rsidR="00810788" w:rsidRPr="008E40F5" w:rsidRDefault="00810788" w:rsidP="00810788">
            <w:pPr>
              <w:pStyle w:val="Body"/>
              <w:rPr>
                <w:rFonts w:ascii="Courier New" w:hAnsi="Courier New" w:cs="Courier New"/>
              </w:rPr>
            </w:pP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int32 </w:t>
            </w:r>
            <w:proofErr w:type="spellStart"/>
            <w:r w:rsidRPr="008E40F5">
              <w:rPr>
                <w:rFonts w:ascii="Courier New" w:hAnsi="Courier New" w:cs="Courier New"/>
              </w:rPr>
              <w:t>getY</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lastRenderedPageBreak/>
              <w:t xml:space="preserve">  void </w:t>
            </w:r>
            <w:proofErr w:type="spellStart"/>
            <w:r w:rsidRPr="008E40F5">
              <w:rPr>
                <w:rFonts w:ascii="Courier New" w:hAnsi="Courier New" w:cs="Courier New"/>
              </w:rPr>
              <w:t>setY</w:t>
            </w:r>
            <w:proofErr w:type="spellEnd"/>
            <w:r w:rsidRPr="008E40F5">
              <w:rPr>
                <w:rFonts w:ascii="Courier New" w:hAnsi="Courier New" w:cs="Courier New"/>
              </w:rPr>
              <w:t>(int32 v);</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java.lang.Integer</w:t>
            </w:r>
            <w:proofErr w:type="spellEnd"/>
            <w:r w:rsidRPr="008E40F5">
              <w:rPr>
                <w:rFonts w:ascii="Courier New" w:hAnsi="Courier New" w:cs="Courier New"/>
              </w:rPr>
              <w:t xml:space="preserve"> </w:t>
            </w:r>
            <w:proofErr w:type="spellStart"/>
            <w:r w:rsidRPr="008E40F5">
              <w:rPr>
                <w:rFonts w:ascii="Courier New" w:hAnsi="Courier New" w:cs="Courier New"/>
              </w:rPr>
              <w:t>getZ</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setZ</w:t>
            </w:r>
            <w:proofErr w:type="spellEnd"/>
            <w:r w:rsidRPr="008E40F5">
              <w:rPr>
                <w:rFonts w:ascii="Courier New" w:hAnsi="Courier New" w:cs="Courier New"/>
              </w:rPr>
              <w:t>(</w:t>
            </w:r>
            <w:proofErr w:type="spellStart"/>
            <w:r w:rsidRPr="008E40F5">
              <w:rPr>
                <w:rFonts w:ascii="Courier New" w:hAnsi="Courier New" w:cs="Courier New"/>
              </w:rPr>
              <w:t>java.lang.Integer</w:t>
            </w:r>
            <w:proofErr w:type="spellEnd"/>
            <w:r w:rsidRPr="008E40F5">
              <w:rPr>
                <w:rFonts w:ascii="Courier New" w:hAnsi="Courier New" w:cs="Courier New"/>
              </w:rPr>
              <w:t xml:space="preserve"> v);</w:t>
            </w:r>
          </w:p>
          <w:p w:rsidR="00810788" w:rsidRPr="008E40F5" w:rsidRDefault="00810788" w:rsidP="00810788">
            <w:pPr>
              <w:pStyle w:val="Body"/>
              <w:rPr>
                <w:rFonts w:ascii="Courier New" w:hAnsi="Courier New" w:cs="Courier New"/>
              </w:rPr>
            </w:pPr>
            <w:r w:rsidRPr="008E40F5">
              <w:rPr>
                <w:rFonts w:ascii="Courier New" w:hAnsi="Courier New" w:cs="Courier New"/>
              </w:rPr>
              <w:t>};</w:t>
            </w:r>
          </w:p>
          <w:p w:rsidR="00810788" w:rsidRPr="008E40F5" w:rsidRDefault="00810788" w:rsidP="00810788">
            <w:pPr>
              <w:pStyle w:val="Body"/>
              <w:rPr>
                <w:rFonts w:ascii="Courier New" w:hAnsi="Courier New" w:cs="Courier New"/>
              </w:rPr>
            </w:pP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public class final </w:t>
            </w:r>
            <w:proofErr w:type="spellStart"/>
            <w:r w:rsidRPr="008E40F5">
              <w:rPr>
                <w:rFonts w:ascii="Courier New" w:hAnsi="Courier New" w:cs="Courier New"/>
              </w:rPr>
              <w:t>RadarTrack</w:t>
            </w:r>
            <w:proofErr w:type="spellEnd"/>
          </w:p>
          <w:p w:rsidR="00810788" w:rsidRPr="008E40F5" w:rsidRDefault="00810788" w:rsidP="00810788">
            <w:pPr>
              <w:pStyle w:val="Body"/>
              <w:rPr>
                <w:rFonts w:ascii="Courier New" w:hAnsi="Courier New" w:cs="Courier New"/>
              </w:rPr>
            </w:pPr>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RadarTrack</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RadarTrack</w:t>
            </w:r>
            <w:proofErr w:type="spellEnd"/>
            <w:r w:rsidRPr="008E40F5">
              <w:rPr>
                <w:rFonts w:ascii="Courier New" w:hAnsi="Courier New" w:cs="Courier New"/>
              </w:rPr>
              <w:t xml:space="preserve">(String id,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String name,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 center,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 vicinity,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java.util.Collection</w:t>
            </w:r>
            <w:proofErr w:type="spellEnd"/>
            <w:r w:rsidRPr="008E40F5">
              <w:rPr>
                <w:rFonts w:ascii="Courier New" w:hAnsi="Courier New" w:cs="Courier New"/>
              </w:rPr>
              <w:t>&lt;byte&gt; plot);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String </w:t>
            </w:r>
            <w:proofErr w:type="spellStart"/>
            <w:r w:rsidRPr="008E40F5">
              <w:rPr>
                <w:rFonts w:ascii="Courier New" w:hAnsi="Courier New" w:cs="Courier New"/>
              </w:rPr>
              <w:t>getId</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setId</w:t>
            </w:r>
            <w:proofErr w:type="spellEnd"/>
            <w:r w:rsidRPr="008E40F5">
              <w:rPr>
                <w:rFonts w:ascii="Courier New" w:hAnsi="Courier New" w:cs="Courier New"/>
              </w:rPr>
              <w:t>(String id);</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String </w:t>
            </w:r>
            <w:proofErr w:type="spellStart"/>
            <w:r w:rsidRPr="008E40F5">
              <w:rPr>
                <w:rFonts w:ascii="Courier New" w:hAnsi="Courier New" w:cs="Courier New"/>
              </w:rPr>
              <w:t>getName</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setName</w:t>
            </w:r>
            <w:proofErr w:type="spellEnd"/>
            <w:r w:rsidRPr="008E40F5">
              <w:rPr>
                <w:rFonts w:ascii="Courier New" w:hAnsi="Courier New" w:cs="Courier New"/>
              </w:rPr>
              <w:t>(String name);</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 </w:t>
            </w:r>
            <w:proofErr w:type="spellStart"/>
            <w:r w:rsidRPr="008E40F5">
              <w:rPr>
                <w:rFonts w:ascii="Courier New" w:hAnsi="Courier New" w:cs="Courier New"/>
              </w:rPr>
              <w:t>getCenter</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setCenter</w:t>
            </w:r>
            <w:proofErr w:type="spellEnd"/>
            <w:r w:rsidRPr="008E40F5">
              <w:rPr>
                <w:rFonts w:ascii="Courier New" w:hAnsi="Courier New" w:cs="Courier New"/>
              </w:rPr>
              <w:t>(Point center);</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 </w:t>
            </w:r>
            <w:proofErr w:type="spellStart"/>
            <w:r w:rsidRPr="008E40F5">
              <w:rPr>
                <w:rFonts w:ascii="Courier New" w:hAnsi="Courier New" w:cs="Courier New"/>
              </w:rPr>
              <w:t>getVicinity</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setVicinity</w:t>
            </w:r>
            <w:proofErr w:type="spellEnd"/>
            <w:r w:rsidRPr="008E40F5">
              <w:rPr>
                <w:rFonts w:ascii="Courier New" w:hAnsi="Courier New" w:cs="Courier New"/>
              </w:rPr>
              <w:t>(Point[] vicinity);</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java.util.Collection</w:t>
            </w:r>
            <w:proofErr w:type="spellEnd"/>
            <w:r w:rsidRPr="008E40F5">
              <w:rPr>
                <w:rFonts w:ascii="Courier New" w:hAnsi="Courier New" w:cs="Courier New"/>
              </w:rPr>
              <w:t xml:space="preserve">&lt;byte&gt; </w:t>
            </w:r>
            <w:proofErr w:type="spellStart"/>
            <w:r w:rsidRPr="008E40F5">
              <w:rPr>
                <w:rFonts w:ascii="Courier New" w:hAnsi="Courier New" w:cs="Courier New"/>
              </w:rPr>
              <w:t>getPlot</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lastRenderedPageBreak/>
              <w:t xml:space="preserve">  void </w:t>
            </w:r>
            <w:proofErr w:type="spellStart"/>
            <w:r w:rsidRPr="008E40F5">
              <w:rPr>
                <w:rFonts w:ascii="Courier New" w:hAnsi="Courier New" w:cs="Courier New"/>
              </w:rPr>
              <w:t>setPlot</w:t>
            </w:r>
            <w:proofErr w:type="spellEnd"/>
            <w:r w:rsidRPr="008E40F5">
              <w:rPr>
                <w:rFonts w:ascii="Courier New" w:hAnsi="Courier New" w:cs="Courier New"/>
              </w:rPr>
              <w:t>(</w:t>
            </w:r>
            <w:proofErr w:type="spellStart"/>
            <w:r w:rsidRPr="008E40F5">
              <w:rPr>
                <w:rFonts w:ascii="Courier New" w:hAnsi="Courier New" w:cs="Courier New"/>
              </w:rPr>
              <w:t>java.util.Collection</w:t>
            </w:r>
            <w:proofErr w:type="spellEnd"/>
            <w:r w:rsidRPr="008E40F5">
              <w:rPr>
                <w:rFonts w:ascii="Courier New" w:hAnsi="Courier New" w:cs="Courier New"/>
              </w:rPr>
              <w:t>&lt;byte&gt; plot);</w:t>
            </w:r>
          </w:p>
          <w:p w:rsidR="00FA53D2" w:rsidRDefault="00810788" w:rsidP="00810788">
            <w:pPr>
              <w:pStyle w:val="Body"/>
            </w:pPr>
            <w:r w:rsidRPr="008E40F5">
              <w:rPr>
                <w:rFonts w:ascii="Courier New" w:hAnsi="Courier New" w:cs="Courier New"/>
              </w:rPr>
              <w:t>};</w:t>
            </w:r>
          </w:p>
        </w:tc>
      </w:tr>
    </w:tbl>
    <w:p w:rsidR="00FA53D2" w:rsidRPr="00FA53D2" w:rsidRDefault="00FA53D2" w:rsidP="008E40F5">
      <w:pPr>
        <w:pStyle w:val="Body"/>
      </w:pPr>
    </w:p>
    <w:p w:rsidR="00B106EC" w:rsidRDefault="00B106EC">
      <w:pPr>
        <w:pStyle w:val="Body"/>
        <w:rPr>
          <w:rFonts w:ascii="MS Serif" w:hAnsi="MS Serif"/>
        </w:rPr>
      </w:pPr>
    </w:p>
    <w:p w:rsidR="00C26DAF" w:rsidRDefault="00157CCB" w:rsidP="00B95E87">
      <w:pPr>
        <w:pStyle w:val="AnnexHeading1"/>
      </w:pPr>
      <w:bookmarkStart w:id="90" w:name="_Toc181353292"/>
      <w:bookmarkStart w:id="91" w:name="_GoBack"/>
      <w:r>
        <w:lastRenderedPageBreak/>
        <w:t>Annex A: Java JAR Library File</w:t>
      </w:r>
      <w:bookmarkEnd w:id="90"/>
    </w:p>
    <w:bookmarkEnd w:id="91"/>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92" w:name="_Toc181353293"/>
      <w:r>
        <w:lastRenderedPageBreak/>
        <w:t>Annex B: Java Source Code</w:t>
      </w:r>
      <w:bookmarkEnd w:id="92"/>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w:t>
      </w:r>
      <w:proofErr w:type="spellStart"/>
      <w:r>
        <w:t>JavaDoc</w:t>
      </w:r>
      <w:proofErr w:type="spellEnd"/>
      <w:r>
        <w:t xml:space="preserve">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8"/>
      <w:footerReference w:type="default" r:id="rId19"/>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867" w:rsidRDefault="00807867">
      <w:pPr>
        <w:rPr>
          <w:rFonts w:ascii="MS Serif" w:hAnsi="MS Serif"/>
        </w:rPr>
      </w:pPr>
      <w:r>
        <w:rPr>
          <w:rFonts w:ascii="MS Serif" w:hAnsi="MS Serif"/>
        </w:rPr>
        <w:separator/>
      </w:r>
    </w:p>
  </w:endnote>
  <w:endnote w:type="continuationSeparator" w:id="0">
    <w:p w:rsidR="00807867" w:rsidRDefault="00807867">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0F5" w:rsidRDefault="008E40F5">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F96360">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0F5" w:rsidRDefault="008E40F5">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F96360">
      <w:rPr>
        <w:rFonts w:ascii="Times New Roman" w:hAnsi="Times New Roman" w:cs="Times New Roman"/>
        <w:noProof/>
      </w:rPr>
      <w:t>iii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0F5" w:rsidRDefault="008E40F5">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F96360">
      <w:rPr>
        <w:rFonts w:ascii="Times New Roman" w:hAnsi="Times New Roman" w:cs="Times New Roman"/>
        <w:b/>
        <w:bCs/>
        <w:noProof/>
      </w:rPr>
      <w:t>22</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0F5" w:rsidRDefault="008E40F5">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F96360">
      <w:rPr>
        <w:rFonts w:ascii="Times New Roman" w:hAnsi="Times New Roman" w:cs="Times New Roman"/>
        <w:b/>
        <w:bCs/>
        <w:noProof/>
      </w:rPr>
      <w:t>23</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867" w:rsidRDefault="00807867">
      <w:pPr>
        <w:rPr>
          <w:rFonts w:ascii="MS Serif" w:hAnsi="MS Serif"/>
        </w:rPr>
      </w:pPr>
      <w:r>
        <w:rPr>
          <w:rFonts w:ascii="MS Serif" w:hAnsi="MS Serif"/>
          <w:color w:val="000000"/>
        </w:rPr>
        <w:separator/>
      </w:r>
    </w:p>
  </w:footnote>
  <w:footnote w:type="continuationSeparator" w:id="0">
    <w:p w:rsidR="00807867" w:rsidRDefault="00807867">
      <w:pPr>
        <w:rPr>
          <w:rFonts w:ascii="MS Serif" w:hAnsi="MS Serif"/>
        </w:rPr>
      </w:pPr>
      <w:r>
        <w:rPr>
          <w:rFonts w:ascii="MS Serif" w:hAnsi="MS Serif"/>
        </w:rPr>
        <w:continuationSeparator/>
      </w:r>
    </w:p>
  </w:footnote>
  <w:footnote w:id="1">
    <w:p w:rsidR="008E40F5" w:rsidRDefault="008E40F5">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8E40F5" w:rsidRDefault="008E40F5">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8E40F5" w:rsidRDefault="008E40F5">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proofState w:spelling="clean" w:grammar="clean"/>
  <w:trackRevision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CCB"/>
    <w:rsid w:val="00002234"/>
    <w:rsid w:val="00023260"/>
    <w:rsid w:val="000266AF"/>
    <w:rsid w:val="0003323C"/>
    <w:rsid w:val="0003640D"/>
    <w:rsid w:val="00082784"/>
    <w:rsid w:val="000E2AAD"/>
    <w:rsid w:val="001066D1"/>
    <w:rsid w:val="001412E2"/>
    <w:rsid w:val="00157CCB"/>
    <w:rsid w:val="001877FA"/>
    <w:rsid w:val="001B0670"/>
    <w:rsid w:val="001F7A68"/>
    <w:rsid w:val="002166B4"/>
    <w:rsid w:val="00275199"/>
    <w:rsid w:val="002A7A2F"/>
    <w:rsid w:val="002B27CB"/>
    <w:rsid w:val="002F7ADB"/>
    <w:rsid w:val="003125E9"/>
    <w:rsid w:val="00320DFC"/>
    <w:rsid w:val="00357CEF"/>
    <w:rsid w:val="003B5E48"/>
    <w:rsid w:val="003F3E4D"/>
    <w:rsid w:val="005157BC"/>
    <w:rsid w:val="00517B85"/>
    <w:rsid w:val="00533CC2"/>
    <w:rsid w:val="0058442E"/>
    <w:rsid w:val="00586EAD"/>
    <w:rsid w:val="005E2F33"/>
    <w:rsid w:val="005F187F"/>
    <w:rsid w:val="00602A8B"/>
    <w:rsid w:val="006245B7"/>
    <w:rsid w:val="006758D5"/>
    <w:rsid w:val="006812F9"/>
    <w:rsid w:val="006A24DD"/>
    <w:rsid w:val="006A43FD"/>
    <w:rsid w:val="006B263E"/>
    <w:rsid w:val="006D1B51"/>
    <w:rsid w:val="006D6E7E"/>
    <w:rsid w:val="006E310C"/>
    <w:rsid w:val="006F02C5"/>
    <w:rsid w:val="00717DC8"/>
    <w:rsid w:val="00725029"/>
    <w:rsid w:val="007253AE"/>
    <w:rsid w:val="00794E99"/>
    <w:rsid w:val="007B672C"/>
    <w:rsid w:val="007C472A"/>
    <w:rsid w:val="00807867"/>
    <w:rsid w:val="00810788"/>
    <w:rsid w:val="00885B06"/>
    <w:rsid w:val="00894FFA"/>
    <w:rsid w:val="008B1B10"/>
    <w:rsid w:val="008D0FA9"/>
    <w:rsid w:val="008E40F5"/>
    <w:rsid w:val="008F517C"/>
    <w:rsid w:val="008F6C41"/>
    <w:rsid w:val="009027D6"/>
    <w:rsid w:val="00931F5C"/>
    <w:rsid w:val="009974A1"/>
    <w:rsid w:val="009A7849"/>
    <w:rsid w:val="009F0D1B"/>
    <w:rsid w:val="009F3DA0"/>
    <w:rsid w:val="00A228A1"/>
    <w:rsid w:val="00A60113"/>
    <w:rsid w:val="00AC598D"/>
    <w:rsid w:val="00AF2B6B"/>
    <w:rsid w:val="00B106EC"/>
    <w:rsid w:val="00B35B55"/>
    <w:rsid w:val="00B3614F"/>
    <w:rsid w:val="00B74247"/>
    <w:rsid w:val="00B95E87"/>
    <w:rsid w:val="00BF0247"/>
    <w:rsid w:val="00C1217E"/>
    <w:rsid w:val="00C14272"/>
    <w:rsid w:val="00C15314"/>
    <w:rsid w:val="00C26DAF"/>
    <w:rsid w:val="00C3501D"/>
    <w:rsid w:val="00C42D94"/>
    <w:rsid w:val="00CA49B8"/>
    <w:rsid w:val="00CB019C"/>
    <w:rsid w:val="00CB13F7"/>
    <w:rsid w:val="00D06F28"/>
    <w:rsid w:val="00DB0C93"/>
    <w:rsid w:val="00DE5E21"/>
    <w:rsid w:val="00DF6D4E"/>
    <w:rsid w:val="00E174C8"/>
    <w:rsid w:val="00E37376"/>
    <w:rsid w:val="00E37730"/>
    <w:rsid w:val="00E45225"/>
    <w:rsid w:val="00E56664"/>
    <w:rsid w:val="00EA1B50"/>
    <w:rsid w:val="00EB53FC"/>
    <w:rsid w:val="00EC5363"/>
    <w:rsid w:val="00ED3B93"/>
    <w:rsid w:val="00F86A63"/>
    <w:rsid w:val="00F96360"/>
    <w:rsid w:val="00FA53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 TargetMode="External"/><Relationship Id="rId13" Type="http://schemas.openxmlformats.org/officeDocument/2006/relationships/hyperlink" Target="http://www.iso.org/"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mg.org/issues/" TargetMode="External"/><Relationship Id="rId17" Type="http://schemas.openxmlformats.org/officeDocument/2006/relationships/hyperlink" Target="file:///C:\path\to\qos\library" TargetMode="External"/><Relationship Id="rId2" Type="http://schemas.openxmlformats.org/officeDocument/2006/relationships/styles" Target="styles.xml"/><Relationship Id="rId16" Type="http://schemas.openxmlformats.org/officeDocument/2006/relationships/hyperlink" Target="http://java.sun.com/products/jms/doc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ssues@omg.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mg.org/spec/DDS-Java/20101102"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omg.org/spec/DDS-Java/20101101"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11496</Words>
  <Characters>65529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Java 5 Language PSM for DDS</vt:lpstr>
    </vt:vector>
  </TitlesOfParts>
  <Company>RTI; PrismTech</Company>
  <LinksUpToDate>false</LinksUpToDate>
  <CharactersWithSpaces>76872</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lastModifiedBy>Sumant Tambe</cp:lastModifiedBy>
  <cp:revision>3</cp:revision>
  <cp:lastPrinted>2011-01-10T19:22:00Z</cp:lastPrinted>
  <dcterms:created xsi:type="dcterms:W3CDTF">2012-10-24T20:30:00Z</dcterms:created>
  <dcterms:modified xsi:type="dcterms:W3CDTF">2012-10-24T20:31:00Z</dcterms:modified>
  <cp:category>Object Management Group (OMG)</cp:category>
</cp:coreProperties>
</file>