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bookmarkStart w:id="0" w:name="_GoBack"/>
      <w:bookmarkEnd w:id="0"/>
      <w:r>
        <w:rPr>
          <w:rFonts w:ascii="Times New Roman" w:hAnsi="Times New Roman" w:cs="Times New Roman"/>
          <w:b/>
          <w:bCs/>
        </w:rPr>
        <w:t>Date:</w:t>
      </w:r>
      <w:r>
        <w:rPr>
          <w:rFonts w:ascii="Times New Roman" w:hAnsi="Times New Roman" w:cs="Times New Roman"/>
        </w:rPr>
        <w:t xml:space="preserve">  </w:t>
      </w:r>
      <w:del w:id="1" w:author="Rick Warren" w:date="2011-10-05T17:32:00Z">
        <w:r w:rsidDel="00717DC8">
          <w:rPr>
            <w:rFonts w:ascii="Times New Roman" w:hAnsi="Times New Roman" w:cs="Times New Roman"/>
          </w:rPr>
          <w:delText xml:space="preserve">January </w:delText>
        </w:r>
      </w:del>
      <w:ins w:id="2" w:author="Rick Warren" w:date="2011-10-05T17:32:00Z">
        <w:r w:rsidR="00717DC8">
          <w:rPr>
            <w:rFonts w:ascii="Times New Roman" w:hAnsi="Times New Roman" w:cs="Times New Roman"/>
          </w:rPr>
          <w:t xml:space="preserve">December </w:t>
        </w:r>
      </w:ins>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ins w:id="3" w:author="Rick Warren" w:date="2011-11-09T09:58:00Z">
        <w:r w:rsidR="00F86A63">
          <w:t>PSM-</w:t>
        </w:r>
      </w:ins>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ins w:id="4" w:author="Rick Warren" w:date="2011-10-05T17:32:00Z">
        <w:r w:rsidR="00717DC8">
          <w:rPr>
            <w:rFonts w:ascii="Times New Roman" w:hAnsi="Times New Roman" w:cs="Times New Roman"/>
          </w:rPr>
          <w:t>2</w:t>
        </w:r>
      </w:ins>
      <w:del w:id="5" w:author="Rick Warren" w:date="2011-10-05T17:32:00Z">
        <w:r w:rsidDel="00717DC8">
          <w:rPr>
            <w:rFonts w:ascii="Times New Roman" w:hAnsi="Times New Roman" w:cs="Times New Roman"/>
          </w:rPr>
          <w:delText>1</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/2011-</w:t>
      </w:r>
      <w:ins w:id="6" w:author="Rick Warren" w:date="2011-10-28T08:12:00Z">
        <w:r w:rsidR="006812F9">
          <w:rPr>
            <w:rFonts w:ascii="Arial" w:hAnsi="Arial" w:cs="Arial"/>
            <w:b/>
            <w:bCs/>
          </w:rPr>
          <w:t>10-07</w:t>
        </w:r>
      </w:ins>
      <w:del w:id="7" w:author="Rick Warren" w:date="2011-10-28T08:12:00Z">
        <w:r w:rsidDel="006812F9">
          <w:rPr>
            <w:rFonts w:ascii="Arial" w:hAnsi="Arial" w:cs="Arial"/>
            <w:b/>
            <w:bCs/>
          </w:rPr>
          <w:delText>01-01</w:delText>
        </w:r>
      </w:del>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ins w:id="8" w:author="Rick Warren" w:date="2011-10-28T08:13:00Z">
        <w:r w:rsidR="002166B4" w:rsidDel="002166B4">
          <w:rPr>
            <w:rFonts w:ascii="Arial" w:hAnsi="Arial" w:cs="Arial"/>
            <w:sz w:val="20"/>
          </w:rPr>
          <w:t xml:space="preserve"> </w:t>
        </w:r>
        <w:proofErr w:type="spellStart"/>
        <w:r w:rsidR="002166B4" w:rsidRPr="002166B4">
          <w:rPr>
            <w:rFonts w:ascii="Arial" w:hAnsi="Arial" w:cs="Arial"/>
            <w:sz w:val="20"/>
          </w:rPr>
          <w:t>ptc</w:t>
        </w:r>
        <w:proofErr w:type="spellEnd"/>
        <w:r w:rsidR="002166B4" w:rsidRPr="002166B4">
          <w:rPr>
            <w:rFonts w:ascii="Arial" w:hAnsi="Arial" w:cs="Arial"/>
            <w:sz w:val="20"/>
          </w:rPr>
          <w:t>/2011-10-09</w:t>
        </w:r>
      </w:ins>
      <w:del w:id="9" w:author="Rick Warren" w:date="2011-10-28T08:13:00Z">
        <w:r w:rsidDel="002166B4">
          <w:rPr>
            <w:rFonts w:ascii="Arial" w:hAnsi="Arial" w:cs="Arial"/>
            <w:sz w:val="20"/>
          </w:rPr>
          <w:delText xml:space="preserve">  m</w:delText>
        </w:r>
        <w:r w:rsidRPr="002166B4" w:rsidDel="002166B4">
          <w:rPr>
            <w:rFonts w:ascii="Arial" w:hAnsi="Arial" w:cs="Arial"/>
            <w:sz w:val="20"/>
          </w:rPr>
          <w:delText>ars/2010-11-04</w:delText>
        </w:r>
      </w:del>
      <w:r w:rsidRPr="002166B4">
        <w:rPr>
          <w:rFonts w:ascii="Arial" w:hAnsi="Arial" w:cs="Arial"/>
          <w:sz w:val="20"/>
        </w:rPr>
        <w:t xml:space="preserve"> (</w:t>
      </w:r>
      <w:r>
        <w:rPr>
          <w:rFonts w:ascii="Arial" w:hAnsi="Arial" w:cs="Arial"/>
          <w:sz w:val="20"/>
        </w:rPr>
        <w:t xml:space="preserve">omgdds.jar), </w:t>
      </w:r>
      <w:proofErr w:type="spellStart"/>
      <w:ins w:id="10" w:author="Rick Warren" w:date="2011-10-28T08:13:00Z">
        <w:r w:rsidR="009027D6" w:rsidRPr="009027D6">
          <w:rPr>
            <w:rFonts w:ascii="Arial" w:hAnsi="Arial" w:cs="Arial"/>
            <w:sz w:val="20"/>
          </w:rPr>
          <w:t>ptc</w:t>
        </w:r>
        <w:proofErr w:type="spellEnd"/>
        <w:r w:rsidR="009027D6" w:rsidRPr="009027D6">
          <w:rPr>
            <w:rFonts w:ascii="Arial" w:hAnsi="Arial" w:cs="Arial"/>
            <w:sz w:val="20"/>
          </w:rPr>
          <w:t>/2011-10-08</w:t>
        </w:r>
        <w:r w:rsidR="009027D6">
          <w:rPr>
            <w:rFonts w:ascii="Arial" w:hAnsi="Arial" w:cs="Arial"/>
            <w:sz w:val="20"/>
          </w:rPr>
          <w:t xml:space="preserve"> </w:t>
        </w:r>
      </w:ins>
      <w:del w:id="11" w:author="Rick Warren" w:date="2011-10-28T08:13:00Z">
        <w:r w:rsidDel="009027D6">
          <w:rPr>
            <w:rFonts w:ascii="Arial" w:hAnsi="Arial" w:cs="Arial"/>
            <w:sz w:val="20"/>
          </w:rPr>
          <w:delText xml:space="preserve">mars/2010-11-05 </w:delText>
        </w:r>
      </w:del>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del w:id="12" w:author="Rick Warren" w:date="2011-10-28T08:14:00Z">
        <w:r w:rsidDel="009027D6">
          <w:rPr>
            <w:rFonts w:ascii="Arial" w:hAnsi="Arial" w:cs="Arial"/>
          </w:rPr>
          <w:delText xml:space="preserve">submission </w:delText>
        </w:r>
      </w:del>
      <w:ins w:id="13" w:author="Rick Warren" w:date="2011-10-28T08:14:00Z">
        <w:r w:rsidR="009027D6">
          <w:rPr>
            <w:rFonts w:ascii="Arial" w:hAnsi="Arial" w:cs="Arial"/>
          </w:rPr>
          <w:t xml:space="preserve">Beta 1 </w:t>
        </w:r>
      </w:ins>
      <w:r>
        <w:rPr>
          <w:rFonts w:ascii="Arial" w:hAnsi="Arial" w:cs="Arial"/>
        </w:rPr>
        <w:t>document (</w:t>
      </w:r>
      <w:proofErr w:type="spellStart"/>
      <w:ins w:id="14" w:author="Rick Warren" w:date="2011-10-28T08:14:00Z">
        <w:r w:rsidR="009027D6">
          <w:rPr>
            <w:rFonts w:ascii="Arial" w:hAnsi="Arial" w:cs="Arial"/>
          </w:rPr>
          <w:t>ptc</w:t>
        </w:r>
        <w:proofErr w:type="spellEnd"/>
        <w:r w:rsidR="009027D6">
          <w:rPr>
            <w:rFonts w:ascii="Arial" w:hAnsi="Arial" w:cs="Arial"/>
          </w:rPr>
          <w:t>/2011-01-01</w:t>
        </w:r>
      </w:ins>
      <w:del w:id="15" w:author="Rick Warren" w:date="2011-10-28T08:14:00Z">
        <w:r w:rsidDel="009027D6">
          <w:rPr>
            <w:rFonts w:ascii="Arial" w:hAnsi="Arial" w:cs="Arial"/>
          </w:rPr>
          <w:delText>mars/2010-11-03, Alpha</w:delText>
        </w:r>
      </w:del>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6" w:name="DDE_LINK1"/>
      <w:r>
        <w:t>Platf</w:t>
      </w:r>
      <w:bookmarkEnd w:id="16"/>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7" w:name="_Toc181353232"/>
      <w:r w:rsidRPr="00B95E87">
        <w:lastRenderedPageBreak/>
        <w:t>Scope</w:t>
      </w:r>
      <w:bookmarkEnd w:id="17"/>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18" w:name="_Ref134959754"/>
      <w:bookmarkStart w:id="19" w:name="_Toc181353233"/>
      <w:r>
        <w:t>Conformance</w:t>
      </w:r>
      <w:bookmarkEnd w:id="18"/>
      <w:bookmarkEnd w:id="19"/>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20" w:name="_Toc181353234"/>
      <w:r>
        <w:t>References</w:t>
      </w:r>
      <w:bookmarkEnd w:id="20"/>
    </w:p>
    <w:p w:rsidR="00C26DAF" w:rsidRDefault="00157CCB" w:rsidP="00B95E87">
      <w:pPr>
        <w:pStyle w:val="Heading2"/>
      </w:pPr>
      <w:bookmarkStart w:id="21" w:name="_Toc181353235"/>
      <w:r w:rsidRPr="00B95E87">
        <w:t>Normative</w:t>
      </w:r>
      <w:r>
        <w:t xml:space="preserve"> References</w:t>
      </w:r>
      <w:bookmarkEnd w:id="21"/>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lastRenderedPageBreak/>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xml:space="preserve">, version 1.0 Beta 1 (OMG document </w:t>
      </w:r>
      <w:proofErr w:type="spellStart"/>
      <w:r>
        <w:rPr>
          <w:rStyle w:val="SC1090142"/>
        </w:rPr>
        <w:t>ptc</w:t>
      </w:r>
      <w:proofErr w:type="spellEnd"/>
      <w:r>
        <w:rPr>
          <w:rStyle w:val="SC1090142"/>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proofErr w:type="spellStart"/>
      <w:r>
        <w:rPr>
          <w:rStyle w:val="SC1090142"/>
          <w:b/>
          <w:bCs/>
        </w:rPr>
        <w:t>XTypes</w:t>
      </w:r>
      <w:proofErr w:type="spellEnd"/>
      <w:r>
        <w:rPr>
          <w:rStyle w:val="SC1090142"/>
          <w:b/>
          <w:bCs/>
        </w:rPr>
        <w:t>]</w:t>
      </w:r>
      <w:r>
        <w:rPr>
          <w:rStyle w:val="SC1090142"/>
          <w:i/>
          <w:iCs/>
        </w:rPr>
        <w:t xml:space="preserve"> Extensible and Dynamic Topic Types for DDS</w:t>
      </w:r>
      <w:r>
        <w:rPr>
          <w:rStyle w:val="SC1090142"/>
        </w:rPr>
        <w:t xml:space="preserve">, version 1.0 Beta 1 (OMG document </w:t>
      </w:r>
      <w:proofErr w:type="spellStart"/>
      <w:r>
        <w:rPr>
          <w:rStyle w:val="SC1090142"/>
        </w:rPr>
        <w:t>ptc</w:t>
      </w:r>
      <w:proofErr w:type="spellEnd"/>
      <w:r>
        <w:rPr>
          <w:rStyle w:val="SC1090142"/>
        </w:rPr>
        <w:t>/2010-05-12).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pPr>
      <w:bookmarkStart w:id="22" w:name="_Toc181353236"/>
      <w:r>
        <w:t>Non-Normative References</w:t>
      </w:r>
      <w:bookmarkEnd w:id="22"/>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23" w:name="_Toc181353237"/>
      <w:r>
        <w:t>Terms and Definitions</w:t>
      </w:r>
      <w:bookmarkEnd w:id="23"/>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24" w:name="_Toc181353238"/>
      <w:r>
        <w:t>Symbols</w:t>
      </w:r>
      <w:bookmarkEnd w:id="24"/>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25" w:name="_Toc181353239"/>
      <w:r>
        <w:t>Additional Information</w:t>
      </w:r>
      <w:bookmarkEnd w:id="25"/>
    </w:p>
    <w:p w:rsidR="00C26DAF" w:rsidRDefault="00157CCB" w:rsidP="00B95E87">
      <w:pPr>
        <w:pStyle w:val="Heading2"/>
      </w:pPr>
      <w:bookmarkStart w:id="26" w:name="_Toc181353240"/>
      <w:r>
        <w:t>Changes to Adopted OMG Specifications</w:t>
      </w:r>
      <w:bookmarkEnd w:id="26"/>
    </w:p>
    <w:p w:rsidR="00C26DAF" w:rsidRDefault="00157CCB">
      <w:pPr>
        <w:pStyle w:val="Body"/>
      </w:pPr>
      <w:r>
        <w:t>This specification does not extend or modify any existing OMG specifications.</w:t>
      </w:r>
    </w:p>
    <w:p w:rsidR="00C26DAF" w:rsidRDefault="00157CCB" w:rsidP="00B95E87">
      <w:pPr>
        <w:pStyle w:val="Heading2"/>
      </w:pPr>
      <w:bookmarkStart w:id="27" w:name="_Ref134958252"/>
      <w:bookmarkStart w:id="28" w:name="_Toc181353241"/>
      <w:r>
        <w:t>Relationships to Non-OMG Specifications</w:t>
      </w:r>
      <w:bookmarkEnd w:id="27"/>
      <w:bookmarkEnd w:id="28"/>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29" w:name="_Toc181353242"/>
      <w:r>
        <w:lastRenderedPageBreak/>
        <w:t>Acknowledgements</w:t>
      </w:r>
      <w:bookmarkEnd w:id="29"/>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30" w:name="_Ref134957713"/>
      <w:bookmarkStart w:id="31" w:name="_Toc181353243"/>
      <w:r>
        <w:t>Java 5 Language PSM for DDS</w:t>
      </w:r>
      <w:bookmarkEnd w:id="30"/>
      <w:bookmarkEnd w:id="31"/>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32" w:name="_Toc181353244"/>
      <w:r>
        <w:t>General Concerns and Conventions</w:t>
      </w:r>
      <w:bookmarkEnd w:id="32"/>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33" w:name="_Ref134958313"/>
      <w:bookmarkStart w:id="34" w:name="_Ref134966439"/>
      <w:bookmarkStart w:id="35" w:name="_Toc181353245"/>
      <w:r>
        <w:t xml:space="preserve">Packages and Type </w:t>
      </w:r>
      <w:r w:rsidRPr="00B95E87">
        <w:t>Organization</w:t>
      </w:r>
      <w:bookmarkEnd w:id="33"/>
      <w:bookmarkEnd w:id="34"/>
      <w:bookmarkEnd w:id="35"/>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36" w:name="_Toc181353246"/>
      <w:r>
        <w:t>Implementation Coexistence</w:t>
      </w:r>
      <w:bookmarkEnd w:id="36"/>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w:t>
      </w:r>
      <w:r>
        <w:lastRenderedPageBreak/>
        <w:t xml:space="preserve">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37" w:name="_Ref134966238"/>
      <w:bookmarkStart w:id="38" w:name="_Ref134967993"/>
      <w:bookmarkStart w:id="39" w:name="_Toc181353247"/>
      <w:r>
        <w:t>Resource Management</w:t>
      </w:r>
      <w:bookmarkEnd w:id="37"/>
      <w:bookmarkEnd w:id="38"/>
      <w:bookmarkEnd w:id="39"/>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lastRenderedPageBreak/>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40" w:name="_Toc181353248"/>
      <w:r>
        <w:t>Concurrency and Reentrancy</w:t>
      </w:r>
      <w:bookmarkEnd w:id="40"/>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41" w:name="_Toc181353249"/>
      <w:r>
        <w:t>Method Signature Conventions</w:t>
      </w:r>
      <w:bookmarkEnd w:id="41"/>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lastRenderedPageBreak/>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42" w:name="_Ref143774608"/>
      <w:bookmarkStart w:id="43" w:name="_Toc181353250"/>
      <w:r>
        <w:t>API Extensibility</w:t>
      </w:r>
      <w:bookmarkEnd w:id="42"/>
      <w:bookmarkEnd w:id="43"/>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44" w:name="_Toc181353251"/>
      <w:r>
        <w:t>Infrastructure Module</w:t>
      </w:r>
      <w:bookmarkEnd w:id="44"/>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term “core” has been preferred to “infrastructure” for the sake of brevity (such as when using fully qualified names) and for consistency with the C++ PSM for DDS, which uses the </w:t>
      </w:r>
      <w:r>
        <w:lastRenderedPageBreak/>
        <w:t>term “core” as well.</w:t>
      </w:r>
    </w:p>
    <w:p w:rsidR="00C26DAF" w:rsidRDefault="00157CCB" w:rsidP="00B95E87">
      <w:pPr>
        <w:pStyle w:val="Heading3"/>
      </w:pPr>
      <w:bookmarkStart w:id="45" w:name="_Ref134952869"/>
      <w:r>
        <w:rPr>
          <w:rStyle w:val="CodeChar"/>
        </w:rPr>
        <w:t>Bootstrap</w:t>
      </w:r>
      <w:bookmarkStart w:id="46" w:name="_Toc181353252"/>
      <w:r>
        <w:t xml:space="preserve"> Class</w:t>
      </w:r>
      <w:bookmarkEnd w:id="45"/>
      <w:bookmarkEnd w:id="46"/>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47" w:name="_Toc181353253"/>
      <w:r>
        <w:t>Error Handling and Exceptions</w:t>
      </w:r>
      <w:bookmarkEnd w:id="47"/>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lastRenderedPageBreak/>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48" w:name="_Ref134965787"/>
      <w:bookmarkStart w:id="49" w:name="_Ref147378160"/>
      <w:bookmarkStart w:id="50" w:name="_Toc181353254"/>
      <w:r>
        <w:t>Value Types</w:t>
      </w:r>
      <w:bookmarkEnd w:id="48"/>
      <w:bookmarkEnd w:id="49"/>
      <w:bookmarkEnd w:id="50"/>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lastRenderedPageBreak/>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pPr>
      <w:bookmarkStart w:id="51" w:name="_Toc181353255"/>
      <w:r>
        <w:t>Time and Duration</w:t>
      </w:r>
      <w:bookmarkEnd w:id="51"/>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52" w:name="_Toc181353256"/>
      <w:proofErr w:type="spellStart"/>
      <w:r>
        <w:t>QoS</w:t>
      </w:r>
      <w:proofErr w:type="spellEnd"/>
      <w:r>
        <w:t xml:space="preserve"> and </w:t>
      </w:r>
      <w:proofErr w:type="spellStart"/>
      <w:r>
        <w:t>QoS</w:t>
      </w:r>
      <w:proofErr w:type="spellEnd"/>
      <w:r>
        <w:t xml:space="preserve"> Policies</w:t>
      </w:r>
      <w:bookmarkEnd w:id="52"/>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C26DAF"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proofErr w:type="spellStart"/>
            <w:r>
              <w:rPr>
                <w:rFonts w:ascii="Cambria" w:hAnsi="Cambria"/>
                <w:sz w:val="22"/>
                <w:szCs w:val="22"/>
              </w:rPr>
              <w:t>QoS</w:t>
            </w:r>
            <w:proofErr w:type="spellEnd"/>
            <w:r>
              <w:rPr>
                <w:rFonts w:ascii="Cambria" w:hAnsi="Cambria"/>
                <w:sz w:val="22"/>
                <w:szCs w:val="22"/>
              </w:rPr>
              <w:t xml:space="preserve">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w:t>
            </w:r>
            <w:proofErr w:type="spellStart"/>
            <w:r>
              <w:rPr>
                <w:rFonts w:ascii="Cambria" w:hAnsi="Cambria"/>
                <w:sz w:val="22"/>
                <w:szCs w:val="22"/>
              </w:rPr>
              <w:t>QoS</w:t>
            </w:r>
            <w:proofErr w:type="spellEnd"/>
            <w:r>
              <w:rPr>
                <w:rFonts w:ascii="Cambria" w:hAnsi="Cambria"/>
                <w:sz w:val="22"/>
                <w:szCs w:val="22"/>
              </w:rPr>
              <w:t xml:space="preserve">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pPr>
      <w:bookmarkStart w:id="53" w:name="_Ref134966447"/>
      <w:r>
        <w:t xml:space="preserve">Entity </w:t>
      </w:r>
      <w:proofErr w:type="spellStart"/>
      <w:r>
        <w:t>QoS</w:t>
      </w:r>
      <w:bookmarkEnd w:id="53"/>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 xml:space="preserve">The contents of a </w:t>
      </w:r>
      <w:proofErr w:type="spellStart"/>
      <w:r>
        <w:t>QoS</w:t>
      </w:r>
      <w:proofErr w:type="spellEnd"/>
      <w:r>
        <w:t xml:space="preserve"> object are only meaningful in relation to the current </w:t>
      </w:r>
      <w:proofErr w:type="spellStart"/>
      <w:r>
        <w:t>QoS</w:t>
      </w:r>
      <w:proofErr w:type="spellEnd"/>
      <w:r>
        <w:t xml:space="preserve"> or default </w:t>
      </w:r>
      <w:proofErr w:type="spellStart"/>
      <w:r>
        <w:t>QoS</w:t>
      </w:r>
      <w:proofErr w:type="spellEnd"/>
      <w:r>
        <w:t xml:space="preserve">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proofErr w:type="spellStart"/>
      <w:r>
        <w:t>QoS</w:t>
      </w:r>
      <w:proofErr w:type="spellEnd"/>
      <w:r>
        <w:t xml:space="preserve"> objects as returned by Entities shall be immutable; applications shall never observe them to change. Applications that wish to modify </w:t>
      </w:r>
      <w:proofErr w:type="spellStart"/>
      <w:r>
        <w:t>QoS</w:t>
      </w:r>
      <w:proofErr w:type="spellEnd"/>
      <w:r>
        <w:t xml:space="preserve"> values must first call </w:t>
      </w:r>
      <w:r>
        <w:rPr>
          <w:rStyle w:val="CodeChar"/>
        </w:rPr>
        <w:t>modify</w:t>
      </w:r>
      <w:r>
        <w:t xml:space="preserve"> to obtain a modifiable </w:t>
      </w:r>
      <w:proofErr w:type="spellStart"/>
      <w:r>
        <w:t>QoS</w:t>
      </w:r>
      <w:proofErr w:type="spellEnd"/>
      <w:r>
        <w:t xml:space="preserve"> object; after making their desired modifications, they must pass their new </w:t>
      </w:r>
      <w:proofErr w:type="spellStart"/>
      <w:r>
        <w:t>QoS</w:t>
      </w:r>
      <w:proofErr w:type="spellEnd"/>
      <w:r>
        <w:t xml:space="preserve">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54" w:name="_Ref134964889"/>
      <w:proofErr w:type="spellStart"/>
      <w:r>
        <w:t>QoS</w:t>
      </w:r>
      <w:proofErr w:type="spellEnd"/>
      <w:r>
        <w:t xml:space="preserve"> Libraries and Profiles</w:t>
      </w:r>
      <w:bookmarkEnd w:id="54"/>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w:t>
      </w:r>
      <w:r>
        <w:lastRenderedPageBreak/>
        <w:t xml:space="preserve">administration. This PSM provides the following APIs for accessing these administered </w:t>
      </w:r>
      <w:proofErr w:type="spellStart"/>
      <w:r>
        <w:t>QoS</w:t>
      </w:r>
      <w:proofErr w:type="spellEnd"/>
      <w:r>
        <w:t xml:space="preserve"> configurations:</w:t>
      </w:r>
    </w:p>
    <w:p w:rsidR="00C26DAF" w:rsidRDefault="00157CCB">
      <w:pPr>
        <w:pStyle w:val="Body"/>
        <w:numPr>
          <w:ilvl w:val="0"/>
          <w:numId w:val="13"/>
        </w:numPr>
      </w:pPr>
      <w:r>
        <w:t xml:space="preserve">The </w:t>
      </w:r>
      <w:r>
        <w:rPr>
          <w:rStyle w:val="CodeChar"/>
        </w:rPr>
        <w:t>org.omg.dds.core.Entity</w:t>
      </w:r>
      <w:r>
        <w:t xml:space="preserve"> interface allows any Entity’s </w:t>
      </w:r>
      <w:proofErr w:type="spellStart"/>
      <w:r>
        <w:t>QoS</w:t>
      </w:r>
      <w:proofErr w:type="spellEnd"/>
      <w:r>
        <w:t xml:space="preserve"> to be set based on the names of a </w:t>
      </w:r>
      <w:proofErr w:type="spellStart"/>
      <w:r>
        <w:t>QoS</w:t>
      </w:r>
      <w:proofErr w:type="spellEnd"/>
      <w:r>
        <w:t xml:space="preserve"> library and profile.</w:t>
      </w:r>
    </w:p>
    <w:p w:rsidR="00C26DAF" w:rsidRDefault="00157CCB">
      <w:pPr>
        <w:pStyle w:val="Body"/>
        <w:numPr>
          <w:ilvl w:val="0"/>
          <w:numId w:val="13"/>
        </w:numPr>
        <w:rPr>
          <w:rFonts w:ascii="MS Serif" w:hAnsi="MS Serif"/>
        </w:rPr>
      </w:pPr>
      <w:r>
        <w:t>Each Entity factory interface—</w:t>
      </w:r>
      <w:proofErr w:type="spellStart"/>
      <w:r>
        <w:rPr>
          <w:rStyle w:val="CodeChar"/>
        </w:rPr>
        <w:t>DomainParticipantFactory</w:t>
      </w:r>
      <w:proofErr w:type="spellEnd"/>
      <w:r>
        <w:t xml:space="preserve">, </w:t>
      </w:r>
      <w:r>
        <w:rPr>
          <w:rStyle w:val="CodeChar"/>
        </w:rPr>
        <w:t>DomainParticipant</w:t>
      </w:r>
      <w:r>
        <w:t xml:space="preserve">, </w:t>
      </w:r>
      <w:r>
        <w:rPr>
          <w:rStyle w:val="CodeChar"/>
        </w:rPr>
        <w:t>Publisher</w:t>
      </w:r>
      <w:r>
        <w:t xml:space="preserve">, and </w:t>
      </w:r>
      <w:r>
        <w:rPr>
          <w:rStyle w:val="CodeChar"/>
        </w:rPr>
        <w:t>Subscriber</w:t>
      </w:r>
      <w:r>
        <w:t xml:space="preserve">—provides methods to create new “product” Entities and to set their default </w:t>
      </w:r>
      <w:proofErr w:type="spellStart"/>
      <w:r>
        <w:t>QoS</w:t>
      </w:r>
      <w:proofErr w:type="spellEnd"/>
      <w:r>
        <w:t xml:space="preserve"> based on the names of a </w:t>
      </w:r>
      <w:proofErr w:type="spellStart"/>
      <w:r>
        <w:t>QoS</w:t>
      </w:r>
      <w:proofErr w:type="spellEnd"/>
      <w:r>
        <w:t xml:space="preserve"> library and profile.</w:t>
      </w:r>
    </w:p>
    <w:p w:rsidR="00C26DAF" w:rsidRDefault="00157CCB" w:rsidP="00B95E87">
      <w:pPr>
        <w:pStyle w:val="Heading3"/>
      </w:pPr>
      <w:bookmarkStart w:id="55" w:name="_Toc181353257"/>
      <w:r>
        <w:t>Entity Base Interfaces</w:t>
      </w:r>
      <w:bookmarkEnd w:id="55"/>
    </w:p>
    <w:p w:rsidR="00C26DAF" w:rsidRDefault="00157CCB">
      <w:pPr>
        <w:pStyle w:val="Body"/>
      </w:pPr>
      <w:r>
        <w:t xml:space="preserve">As in the DDS PIM, all Entity interfaces extend—directly or indirectly—the interface Entity.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56" w:name="_Toc181353258"/>
      <w:r>
        <w:t>Entity Status Changes</w:t>
      </w:r>
      <w:bookmarkEnd w:id="56"/>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lastRenderedPageBreak/>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numPr>
          <w:ins w:id="57" w:author="Rick Warren" w:date="2011-10-05T18:25:00Z"/>
        </w:numPr>
        <w:rPr>
          <w:ins w:id="58" w:author="Rick Warren" w:date="2011-10-05T18:25:00Z"/>
        </w:rPr>
      </w:pPr>
      <w:ins w:id="59" w:author="Rick Warren" w:date="2011-10-05T18:25:00Z">
        <w:r w:rsidRPr="00E30847">
          <w:rPr>
            <w:b/>
          </w:rPr>
          <w:t xml:space="preserve">Issue </w:t>
        </w:r>
        <w:r>
          <w:rPr>
            <w:b/>
          </w:rPr>
          <w:t>16327</w:t>
        </w:r>
        <w:r>
          <w:t xml:space="preserve">: </w:t>
        </w:r>
        <w:r w:rsidRPr="00A228A1">
          <w:t xml:space="preserve">Parent </w:t>
        </w:r>
        <w:proofErr w:type="spellStart"/>
        <w:r w:rsidRPr="00A228A1">
          <w:t>accessors</w:t>
        </w:r>
        <w:proofErr w:type="spellEnd"/>
        <w:r w:rsidRPr="00A228A1">
          <w:t xml:space="preserve"> should be uniform across Entities and Conditions</w:t>
        </w:r>
      </w:ins>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60" w:author="Rick Warren" w:date="2011-10-05T18:24:00Z">
        <w:r w:rsidDel="00A228A1">
          <w:rPr>
            <w:rStyle w:val="CodeChar"/>
          </w:rPr>
          <w:delText>getEntity</w:delText>
        </w:r>
        <w:r w:rsidDel="00A228A1">
          <w:delText xml:space="preserve"> </w:delText>
        </w:r>
      </w:del>
      <w:ins w:id="61" w:author="Rick Warren" w:date="2011-10-05T18:24:00Z">
        <w:r w:rsidR="00A228A1">
          <w:rPr>
            <w:rStyle w:val="CodeChar"/>
          </w:rPr>
          <w:t>getParent</w:t>
        </w:r>
        <w:r w:rsidR="00A228A1">
          <w:t xml:space="preserve"> </w:t>
        </w:r>
      </w:ins>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62" w:name="_Toc181353259"/>
      <w:r>
        <w:t>Domain Module</w:t>
      </w:r>
      <w:bookmarkEnd w:id="62"/>
    </w:p>
    <w:p w:rsidR="00C26DAF" w:rsidRDefault="00157CCB">
      <w:pPr>
        <w:pStyle w:val="Body"/>
        <w:rPr>
          <w:rFonts w:ascii="MS Serif" w:hAnsi="MS Serif"/>
        </w:rPr>
      </w:pPr>
      <w:r>
        <w:t xml:space="preserve">This PSM realizes the Domain Module from the DDS specification with the package </w:t>
      </w:r>
      <w:r>
        <w:rPr>
          <w:rStyle w:val="CodeChar"/>
        </w:rPr>
        <w:lastRenderedPageBreak/>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63" w:name="_Toc181353260"/>
      <w:r>
        <w:rPr>
          <w:rStyle w:val="CodeChar"/>
        </w:rPr>
        <w:t>DomainParticipantFactory</w:t>
      </w:r>
      <w:r>
        <w:t xml:space="preserve"> Interface</w:t>
      </w:r>
      <w:bookmarkEnd w:id="63"/>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pPr>
      <w:bookmarkStart w:id="64" w:name="_Toc181353261"/>
      <w:r>
        <w:rPr>
          <w:rStyle w:val="CodeChar"/>
        </w:rPr>
        <w:t>DomainParticipant</w:t>
      </w:r>
      <w:r>
        <w:t xml:space="preserve"> Interface</w:t>
      </w:r>
      <w:bookmarkEnd w:id="6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65" w:name="_Toc181353262"/>
      <w:r>
        <w:t>Topic Module</w:t>
      </w:r>
      <w:bookmarkEnd w:id="6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66" w:name="_Toc181353263"/>
      <w:r>
        <w:t>Type Support</w:t>
      </w:r>
      <w:bookmarkEnd w:id="6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67" w:name="_Toc181353264"/>
      <w:r>
        <w:rPr>
          <w:rStyle w:val="CodeChar"/>
        </w:rPr>
        <w:t>Topic</w:t>
      </w:r>
      <w:r>
        <w:t xml:space="preserve"> Interface</w:t>
      </w:r>
      <w:bookmarkEnd w:id="6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w:t>
      </w:r>
      <w:r>
        <w:lastRenderedPageBreak/>
        <w:t xml:space="preserve">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68" w:name="_Toc181353265"/>
      <w:r>
        <w:rPr>
          <w:rStyle w:val="CodeChar"/>
        </w:rPr>
        <w:t>ContentFilteredTopic</w:t>
      </w:r>
      <w:r>
        <w:t xml:space="preserve"> and </w:t>
      </w:r>
      <w:r>
        <w:rPr>
          <w:rStyle w:val="CodeChar"/>
        </w:rPr>
        <w:t>MultiTopic</w:t>
      </w:r>
      <w:r>
        <w:t xml:space="preserve"> Interfaces</w:t>
      </w:r>
      <w:bookmarkEnd w:id="6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69" w:name="_Toc181353266"/>
      <w:r>
        <w:t>Discovery Interfaces</w:t>
      </w:r>
      <w:bookmarkEnd w:id="6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70" w:name="_Toc181353267"/>
      <w:r>
        <w:t>Publication Module</w:t>
      </w:r>
      <w:bookmarkEnd w:id="7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71" w:name="_Ref143772219"/>
      <w:bookmarkStart w:id="72" w:name="_Toc181353268"/>
      <w:r>
        <w:rPr>
          <w:rStyle w:val="CodeChar"/>
        </w:rPr>
        <w:t>Publisher</w:t>
      </w:r>
      <w:r>
        <w:t xml:space="preserve"> Interface</w:t>
      </w:r>
      <w:bookmarkEnd w:id="71"/>
      <w:bookmarkEnd w:id="7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73" w:name="_Toc181353269"/>
      <w:r>
        <w:rPr>
          <w:rStyle w:val="CodeChar"/>
        </w:rPr>
        <w:t>DataWriter</w:t>
      </w:r>
      <w:r>
        <w:t xml:space="preserve"> Interface</w:t>
      </w:r>
      <w:bookmarkEnd w:id="7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lastRenderedPageBreak/>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74" w:name="_Toc181353270"/>
      <w:r>
        <w:t>Subscription Module</w:t>
      </w:r>
      <w:bookmarkEnd w:id="7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75" w:name="_Ref143772221"/>
      <w:bookmarkStart w:id="76" w:name="_Toc181353271"/>
      <w:r>
        <w:rPr>
          <w:rStyle w:val="CodeChar"/>
        </w:rPr>
        <w:t>Subscriber</w:t>
      </w:r>
      <w:r>
        <w:t xml:space="preserve"> Interface</w:t>
      </w:r>
      <w:bookmarkEnd w:id="75"/>
      <w:bookmarkEnd w:id="7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77" w:name="_Toc181353272"/>
      <w:r>
        <w:rPr>
          <w:rStyle w:val="CodeChar"/>
        </w:rPr>
        <w:t>Sample</w:t>
      </w:r>
      <w:r>
        <w:t xml:space="preserve"> Interface</w:t>
      </w:r>
      <w:bookmarkEnd w:id="77"/>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w:t>
      </w:r>
      <w:r>
        <w:lastRenderedPageBreak/>
        <w:t xml:space="preserve">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78" w:name="_Ref134955727"/>
      <w:bookmarkStart w:id="79" w:name="_Toc181353273"/>
      <w:r>
        <w:rPr>
          <w:rStyle w:val="CodeChar"/>
        </w:rPr>
        <w:t>DataReader</w:t>
      </w:r>
      <w:r>
        <w:t xml:space="preserve"> Interface</w:t>
      </w:r>
      <w:bookmarkEnd w:id="78"/>
      <w:bookmarkEnd w:id="7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numPr>
          <w:ins w:id="80" w:author="Rick Warren" w:date="2011-10-27T16:39:00Z"/>
        </w:numPr>
        <w:ind w:left="360"/>
        <w:rPr>
          <w:ins w:id="81" w:author="Rick Warren" w:date="2011-10-27T16:39:00Z"/>
        </w:rPr>
      </w:pPr>
      <w:ins w:id="82" w:author="Rick Warren" w:date="2011-10-27T16:39:00Z">
        <w:r w:rsidRPr="00E30847">
          <w:rPr>
            <w:b/>
          </w:rPr>
          <w:t xml:space="preserve">Issue </w:t>
        </w:r>
        <w:r>
          <w:rPr>
            <w:b/>
          </w:rPr>
          <w:t>16321</w:t>
        </w:r>
        <w:r>
          <w:t xml:space="preserve">: Too many </w:t>
        </w:r>
        <w:r>
          <w:rPr>
            <w:rStyle w:val="CodeChar"/>
          </w:rPr>
          <w:t>read/take</w:t>
        </w:r>
        <w:r>
          <w:t xml:space="preserve"> </w:t>
        </w:r>
      </w:ins>
      <w:ins w:id="83" w:author="Rick Warren" w:date="2011-10-27T16:40:00Z">
        <w:r>
          <w:t>overloads</w:t>
        </w:r>
      </w:ins>
    </w:p>
    <w:p w:rsidR="007253AE" w:rsidRDefault="007253AE">
      <w:pPr>
        <w:pStyle w:val="Body"/>
        <w:numPr>
          <w:ilvl w:val="0"/>
          <w:numId w:val="12"/>
          <w:ins w:id="84" w:author="Rick Warren" w:date="2011-10-27T16:35:00Z"/>
        </w:numPr>
        <w:rPr>
          <w:ins w:id="85" w:author="Rick Warren" w:date="2011-10-27T16:35:00Z"/>
        </w:rPr>
      </w:pPr>
      <w:ins w:id="86" w:author="Rick Warren" w:date="2011-10-27T16:36:00Z">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ins>
      <w:ins w:id="87" w:author="Rick Warren" w:date="2011-10-27T16:37:00Z">
        <w:r w:rsidRPr="007253AE">
          <w:rPr>
            <w:rStyle w:val="CodeChar"/>
          </w:rPr>
          <w:t>DataReader.Query</w:t>
        </w:r>
        <w:r>
          <w:t xml:space="preserve">. This refactoring allows a large number of </w:t>
        </w:r>
      </w:ins>
      <w:ins w:id="88" w:author="Rick Warren" w:date="2011-10-27T16:38:00Z">
        <w:r>
          <w:t xml:space="preserve">distinct </w:t>
        </w:r>
      </w:ins>
      <w:ins w:id="89" w:author="Rick Warren" w:date="2011-10-27T16:37:00Z">
        <w:r>
          <w:t xml:space="preserve">methods </w:t>
        </w:r>
        <w:r>
          <w:lastRenderedPageBreak/>
          <w:t>from the PIM, each qualified by a different name suffix, to be collapsed to a very small number of overloads.</w:t>
        </w:r>
      </w:ins>
    </w:p>
    <w:p w:rsidR="00C26DAF" w:rsidDel="00C14272" w:rsidRDefault="00157CCB">
      <w:pPr>
        <w:pStyle w:val="Body"/>
        <w:numPr>
          <w:ilvl w:val="0"/>
          <w:numId w:val="12"/>
          <w:numberingChange w:id="90" w:author="Rick Warren" w:date="2011-10-05T17:32:00Z" w:original=""/>
        </w:numPr>
        <w:rPr>
          <w:del w:id="91" w:author="Rick Warren" w:date="2011-10-27T16:39:00Z"/>
        </w:rPr>
      </w:pPr>
      <w:del w:id="92" w:author="Rick Warren" w:date="2011-10-27T16:39:00Z">
        <w:r w:rsidDel="00C14272">
          <w:delText xml:space="preserve">Operations accepting </w:delText>
        </w:r>
        <w:r w:rsidDel="00C14272">
          <w:rPr>
            <w:rStyle w:val="CodeChar"/>
          </w:rPr>
          <w:delText>ReadCondition</w:delText>
        </w:r>
        <w:r w:rsidDel="00C14272">
          <w:delText>s in the PIM have names ending in “</w:delText>
        </w:r>
        <w:r w:rsidDel="00C14272">
          <w:rPr>
            <w:rStyle w:val="CodeChar"/>
          </w:rPr>
          <w:delText>_w_condition</w:delText>
        </w:r>
        <w:r w:rsidDel="00C14272">
          <w:delText>.” This PSM removes this suffix, transforming these operations into overloads.</w:delText>
        </w:r>
      </w:del>
    </w:p>
    <w:p w:rsidR="00C26DAF" w:rsidDel="00C14272" w:rsidRDefault="00157CCB">
      <w:pPr>
        <w:pStyle w:val="Body"/>
        <w:numPr>
          <w:ilvl w:val="0"/>
          <w:numId w:val="12"/>
          <w:numberingChange w:id="93" w:author="Rick Warren" w:date="2011-10-05T17:32:00Z" w:original=""/>
        </w:numPr>
        <w:rPr>
          <w:del w:id="94" w:author="Rick Warren" w:date="2011-10-27T16:39:00Z"/>
        </w:rPr>
      </w:pPr>
      <w:del w:id="95" w:author="Rick Warren" w:date="2011-10-27T16:39:00Z">
        <w:r w:rsidDel="00C14272">
          <w:delText>Operations accepting instance handles in the PIM have “</w:delText>
        </w:r>
        <w:r w:rsidDel="00C14272">
          <w:rPr>
            <w:rStyle w:val="CodeChar"/>
          </w:rPr>
          <w:delText>_instance</w:delText>
        </w:r>
        <w:r w:rsidDel="00C14272">
          <w:delText>” in their names. This PSM removes this infix, transforming these operations into overloads.</w:delText>
        </w:r>
      </w:del>
    </w:p>
    <w:p w:rsidR="00C26DAF" w:rsidDel="00C14272" w:rsidRDefault="00157CCB">
      <w:pPr>
        <w:pStyle w:val="Body"/>
        <w:numPr>
          <w:ilvl w:val="0"/>
          <w:numId w:val="12"/>
          <w:numberingChange w:id="96" w:author="Rick Warren" w:date="2011-10-05T17:32:00Z" w:original=""/>
        </w:numPr>
        <w:rPr>
          <w:del w:id="97" w:author="Rick Warren" w:date="2011-10-27T16:39:00Z"/>
        </w:rPr>
      </w:pPr>
      <w:del w:id="98" w:author="Rick Warren" w:date="2011-10-27T16:39:00Z">
        <w:r w:rsidDel="00C14272">
          <w:delText xml:space="preserve">This PSM renames both of the operation families </w:delText>
        </w:r>
        <w:r w:rsidDel="00C14272">
          <w:rPr>
            <w:rStyle w:val="CodeChar"/>
          </w:rPr>
          <w:delText>read_</w:delText>
        </w:r>
        <w:r w:rsidDel="00C14272">
          <w:delText>/</w:delText>
        </w:r>
        <w:r w:rsidDel="00C14272">
          <w:rPr>
            <w:rStyle w:val="CodeChar"/>
          </w:rPr>
          <w:delText>take_next_sample</w:delText>
        </w:r>
        <w:r w:rsidDel="00C14272">
          <w:delText xml:space="preserve"> and </w:delText>
        </w:r>
        <w:r w:rsidDel="00C14272">
          <w:rPr>
            <w:rStyle w:val="CodeChar"/>
          </w:rPr>
          <w:delText>read_</w:delText>
        </w:r>
        <w:r w:rsidDel="00C14272">
          <w:delText>/</w:delText>
        </w:r>
        <w:r w:rsidDel="00C14272">
          <w:rPr>
            <w:rStyle w:val="CodeChar"/>
          </w:rPr>
          <w:delText>take_next_instance</w:delText>
        </w:r>
        <w:r w:rsidDel="00C14272">
          <w:delText xml:space="preserve"> to simply </w:delText>
        </w:r>
        <w:r w:rsidDel="00C14272">
          <w:rPr>
            <w:rStyle w:val="CodeChar"/>
          </w:rPr>
          <w:delText>read</w:delText>
        </w:r>
        <w:r w:rsidDel="00C14272">
          <w:delText>/</w:delText>
        </w:r>
        <w:r w:rsidDel="00C14272">
          <w:rPr>
            <w:rStyle w:val="CodeChar"/>
          </w:rPr>
          <w:delText>takeNext</w:delText>
        </w:r>
        <w:r w:rsidDel="00C14272">
          <w:delText>, transforming these operations into overloads of one another.</w:delText>
        </w:r>
      </w:del>
    </w:p>
    <w:p w:rsidR="00C26DAF" w:rsidRDefault="00157CCB" w:rsidP="00B95E87">
      <w:pPr>
        <w:pStyle w:val="Heading2"/>
      </w:pPr>
      <w:bookmarkStart w:id="99" w:name="_Ref134965308"/>
      <w:bookmarkStart w:id="100" w:name="_Toc181353274"/>
      <w:r>
        <w:t>Extensible and Dynamic Topic Types Module</w:t>
      </w:r>
      <w:bookmarkEnd w:id="99"/>
      <w:bookmarkEnd w:id="100"/>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101" w:name="_Toc181353275"/>
      <w:r>
        <w:t>Dynamic Language Binding</w:t>
      </w:r>
      <w:bookmarkEnd w:id="101"/>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numPr>
          <w:ins w:id="102" w:author="Rick Warren" w:date="2011-10-05T18:12:00Z"/>
        </w:numPr>
        <w:rPr>
          <w:ins w:id="103" w:author="Rick Warren" w:date="2011-10-05T18:12:00Z"/>
        </w:rPr>
      </w:pPr>
      <w:ins w:id="104" w:author="Rick Warren" w:date="2011-10-05T18:12:00Z">
        <w:r w:rsidRPr="00E30847">
          <w:rPr>
            <w:b/>
          </w:rPr>
          <w:t xml:space="preserve">Issue </w:t>
        </w:r>
        <w:r>
          <w:rPr>
            <w:b/>
          </w:rPr>
          <w:t>16324</w:t>
        </w:r>
        <w:r>
          <w:t xml:space="preserve">: </w:t>
        </w:r>
        <w:r w:rsidRPr="00794E99">
          <w:t xml:space="preserve">Improve </w:t>
        </w:r>
      </w:ins>
      <w:ins w:id="105" w:author="Rick Warren" w:date="2011-10-05T18:13:00Z">
        <w:r w:rsidRPr="00DB0C93">
          <w:t>polymorphic sample creation</w:t>
        </w:r>
      </w:ins>
    </w:p>
    <w:p w:rsidR="00C26DAF" w:rsidRDefault="00157CCB">
      <w:pPr>
        <w:pStyle w:val="Body"/>
      </w:pPr>
      <w:r>
        <w:t>Th</w:t>
      </w:r>
      <w:ins w:id="106" w:author="Rick Warren" w:date="2011-10-05T18:14:00Z">
        <w:r w:rsidR="00586EAD">
          <w:t>is</w:t>
        </w:r>
      </w:ins>
      <w:del w:id="107" w:author="Rick Warren" w:date="2011-10-05T18:14:00Z">
        <w:r w:rsidDel="00586EAD">
          <w:delText>ese</w:delText>
        </w:r>
      </w:del>
      <w:r>
        <w:t xml:space="preserve"> abstract factor</w:t>
      </w:r>
      <w:ins w:id="108" w:author="Rick Warren" w:date="2011-10-05T18:14:00Z">
        <w:r w:rsidR="00586EAD">
          <w:t>y</w:t>
        </w:r>
      </w:ins>
      <w:del w:id="109" w:author="Rick Warren" w:date="2011-10-05T18:14:00Z">
        <w:r w:rsidDel="00586EAD">
          <w:delText>ies</w:delText>
        </w:r>
      </w:del>
      <w:r>
        <w:t xml:space="preserve"> </w:t>
      </w:r>
      <w:del w:id="110" w:author="Rick Warren" w:date="2011-10-05T18:14:00Z">
        <w:r w:rsidDel="00586EAD">
          <w:delText xml:space="preserve">are </w:delText>
        </w:r>
      </w:del>
      <w:ins w:id="111" w:author="Rick Warren" w:date="2011-10-05T18:14:00Z">
        <w:r w:rsidR="00586EAD">
          <w:t xml:space="preserve">is a </w:t>
        </w:r>
      </w:ins>
      <w:r>
        <w:t>per-</w:t>
      </w:r>
      <w:r>
        <w:rPr>
          <w:rStyle w:val="CodeChar"/>
        </w:rPr>
        <w:t>Bootstrap</w:t>
      </w:r>
      <w:r>
        <w:t xml:space="preserve"> singleton</w:t>
      </w:r>
      <w:del w:id="112" w:author="Rick Warren" w:date="2011-10-05T18:14:00Z">
        <w:r w:rsidDel="00586EAD">
          <w:delText>s</w:delText>
        </w:r>
      </w:del>
      <w:r>
        <w:t xml:space="preserve">.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ins w:id="113" w:author="Rick Warren" w:date="2011-10-05T18:14:00Z">
        <w:r w:rsidR="00586EAD">
          <w:t>y</w:t>
        </w:r>
      </w:ins>
      <w:del w:id="114" w:author="Rick Warren" w:date="2011-10-05T18:14:00Z">
        <w:r w:rsidDel="00586EAD">
          <w:delText>ies</w:delText>
        </w:r>
      </w:del>
      <w:r>
        <w:t>.</w:t>
      </w:r>
    </w:p>
    <w:p w:rsidR="00C26DAF" w:rsidRDefault="00157CCB" w:rsidP="00B95E87">
      <w:pPr>
        <w:pStyle w:val="Heading4"/>
      </w:pPr>
      <w:r>
        <w:rPr>
          <w:rStyle w:val="CodeChar"/>
        </w:rPr>
        <w:lastRenderedPageBreak/>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115" w:name="_Ref143771891"/>
      <w:r>
        <w:rPr>
          <w:rStyle w:val="CodeChar"/>
        </w:rPr>
        <w:t>DynamicType</w:t>
      </w:r>
      <w:r>
        <w:t xml:space="preserve"> and </w:t>
      </w:r>
      <w:r>
        <w:rPr>
          <w:rStyle w:val="CodeChar"/>
        </w:rPr>
        <w:t>DynamicTypeMember</w:t>
      </w:r>
      <w:r>
        <w:t xml:space="preserve"> Interfaces</w:t>
      </w:r>
      <w:bookmarkEnd w:id="115"/>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w:t>
      </w:r>
      <w:r>
        <w:lastRenderedPageBreak/>
        <w:t xml:space="preserve">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116" w:name="_Toc181353276"/>
      <w:r>
        <w:t>Built-in Types</w:t>
      </w:r>
      <w:bookmarkEnd w:id="116"/>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117" w:name="_Toc181353277"/>
      <w:r>
        <w:t xml:space="preserve">Representing Types with </w:t>
      </w:r>
      <w:r>
        <w:rPr>
          <w:rStyle w:val="CodeChar"/>
        </w:rPr>
        <w:t>TypeObject</w:t>
      </w:r>
      <w:bookmarkEnd w:id="117"/>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t>
      </w:r>
      <w:r>
        <w:lastRenderedPageBreak/>
        <w:t xml:space="preserve">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118" w:name="_Ref143771053"/>
      <w:bookmarkStart w:id="119" w:name="_Ref143771197"/>
      <w:bookmarkStart w:id="120" w:name="_Ref143771830"/>
      <w:bookmarkStart w:id="121" w:name="_Toc181353278"/>
      <w:r>
        <w:t>Java Type Representation</w:t>
      </w:r>
      <w:bookmarkEnd w:id="118"/>
      <w:bookmarkEnd w:id="119"/>
      <w:bookmarkEnd w:id="120"/>
      <w:r>
        <w:t xml:space="preserve"> and Language Binding</w:t>
      </w:r>
      <w:bookmarkEnd w:id="121"/>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122" w:name="_Toc181353279"/>
      <w:r>
        <w:t>Default Mappings</w:t>
      </w:r>
      <w:bookmarkEnd w:id="122"/>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123" w:name="_Ref141751646"/>
      <w:bookmarkStart w:id="124"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123"/>
      <w:r>
        <w:t xml:space="preserve"> — Default type mappings</w:t>
      </w:r>
      <w:bookmarkEnd w:id="1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125" w:name="_Toc181353280"/>
      <w:r>
        <w:t>Metadata</w:t>
      </w:r>
      <w:bookmarkEnd w:id="125"/>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126" w:name="_Ref141750409"/>
      <w:bookmarkStart w:id="127" w:name="_Toc181353281"/>
      <w:r>
        <w:t>Primitive Types</w:t>
      </w:r>
      <w:bookmarkEnd w:id="126"/>
      <w:bookmarkEnd w:id="127"/>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128"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129" w:name="_Toc181353282"/>
      <w:r>
        <w:t>Collections</w:t>
      </w:r>
      <w:bookmarkEnd w:id="128"/>
      <w:bookmarkEnd w:id="129"/>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130" w:name="_Toc181353283"/>
      <w:r>
        <w:t>Strings</w:t>
      </w:r>
      <w:bookmarkEnd w:id="130"/>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131" w:name="_Toc181353284"/>
      <w:bookmarkStart w:id="132" w:name="_Ref141750696"/>
      <w:r>
        <w:t>Maps</w:t>
      </w:r>
      <w:bookmarkEnd w:id="131"/>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133" w:name="_Toc181353285"/>
      <w:r>
        <w:lastRenderedPageBreak/>
        <w:t>Sequences</w:t>
      </w:r>
      <w:bookmarkEnd w:id="132"/>
      <w:r>
        <w:t xml:space="preserve"> and Arrays</w:t>
      </w:r>
      <w:bookmarkEnd w:id="133"/>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134" w:name="_Toc181353286"/>
      <w:r>
        <w:t>Aggregated Types</w:t>
      </w:r>
      <w:bookmarkEnd w:id="134"/>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135" w:name="_Toc181353287"/>
      <w:r>
        <w:t>Structures</w:t>
      </w:r>
      <w:bookmarkEnd w:id="135"/>
    </w:p>
    <w:p w:rsidR="00C26DAF" w:rsidRDefault="00157CCB">
      <w:pPr>
        <w:pStyle w:val="Body"/>
      </w:pPr>
      <w:r>
        <w:t>Every Java class that is not a collection or map shall be considered a structure by default.</w:t>
      </w:r>
    </w:p>
    <w:p w:rsidR="00C26DAF" w:rsidRDefault="00157CCB" w:rsidP="00B95E87">
      <w:pPr>
        <w:pStyle w:val="Heading4"/>
      </w:pPr>
      <w:r>
        <w:lastRenderedPageBreak/>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136" w:name="_Toc181353288"/>
      <w:r>
        <w:t>Unions</w:t>
      </w:r>
      <w:bookmarkEnd w:id="136"/>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137" w:name="_Toc181353289"/>
      <w:r>
        <w:t>Enumerations and Bit Sets</w:t>
      </w:r>
      <w:bookmarkEnd w:id="137"/>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138" w:name="_Toc181353290"/>
      <w:r>
        <w:t>Modules</w:t>
      </w:r>
      <w:bookmarkEnd w:id="138"/>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139" w:name="_Toc181353291"/>
      <w:r>
        <w:t>Annotations</w:t>
      </w:r>
      <w:bookmarkEnd w:id="139"/>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140" w:name="_Toc181353292"/>
      <w:r>
        <w:lastRenderedPageBreak/>
        <w:t>Annex A: Java JAR Library File</w:t>
      </w:r>
      <w:bookmarkEnd w:id="140"/>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141" w:name="_Toc181353293"/>
      <w:r>
        <w:lastRenderedPageBreak/>
        <w:t>Annex B: Java Source Code</w:t>
      </w:r>
      <w:bookmarkEnd w:id="141"/>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7"/>
      <w:footerReference w:type="default" r:id="rId18"/>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122" w:rsidRDefault="00137122">
      <w:pPr>
        <w:rPr>
          <w:rFonts w:ascii="MS Serif" w:hAnsi="MS Serif"/>
        </w:rPr>
      </w:pPr>
      <w:r>
        <w:rPr>
          <w:rFonts w:ascii="MS Serif" w:hAnsi="MS Serif"/>
        </w:rPr>
        <w:separator/>
      </w:r>
    </w:p>
  </w:endnote>
  <w:endnote w:type="continuationSeparator" w:id="0">
    <w:p w:rsidR="00137122" w:rsidRDefault="00137122">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FF4D46">
      <w:rPr>
        <w:rFonts w:ascii="Times New Roman" w:hAnsi="Times New Roman" w:cs="Times New Roman"/>
        <w:b/>
        <w:bCs/>
        <w:noProof/>
      </w:rPr>
      <w:t>iv</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9F3DA0">
      <w:rPr>
        <w:rFonts w:ascii="Times New Roman" w:hAnsi="Times New Roman" w:cs="Times New Roman"/>
      </w:rPr>
      <w:fldChar w:fldCharType="begin"/>
    </w:r>
    <w:r>
      <w:rPr>
        <w:rFonts w:ascii="Times New Roman" w:hAnsi="Times New Roman" w:cs="Times New Roman"/>
      </w:rPr>
      <w:instrText xml:space="preserve"> PAGE </w:instrText>
    </w:r>
    <w:r w:rsidR="009F3DA0">
      <w:rPr>
        <w:rFonts w:ascii="Times New Roman" w:hAnsi="Times New Roman" w:cs="Times New Roman"/>
      </w:rPr>
      <w:fldChar w:fldCharType="separate"/>
    </w:r>
    <w:r w:rsidR="00FF4D46">
      <w:rPr>
        <w:rFonts w:ascii="Times New Roman" w:hAnsi="Times New Roman" w:cs="Times New Roman"/>
        <w:noProof/>
      </w:rPr>
      <w:t>iii</w:t>
    </w:r>
    <w:r w:rsidR="009F3DA0">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FF4D46">
      <w:rPr>
        <w:rFonts w:ascii="Times New Roman" w:hAnsi="Times New Roman" w:cs="Times New Roman"/>
        <w:b/>
        <w:bCs/>
        <w:noProof/>
      </w:rPr>
      <w:t>26</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9F3DA0">
      <w:rPr>
        <w:rFonts w:ascii="Times New Roman" w:hAnsi="Times New Roman" w:cs="Times New Roman"/>
        <w:b/>
        <w:bCs/>
      </w:rPr>
      <w:fldChar w:fldCharType="begin"/>
    </w:r>
    <w:r>
      <w:rPr>
        <w:rFonts w:ascii="Times New Roman" w:hAnsi="Times New Roman" w:cs="Times New Roman"/>
        <w:b/>
        <w:bCs/>
      </w:rPr>
      <w:instrText xml:space="preserve"> PAGE </w:instrText>
    </w:r>
    <w:r w:rsidR="009F3DA0">
      <w:rPr>
        <w:rFonts w:ascii="Times New Roman" w:hAnsi="Times New Roman" w:cs="Times New Roman"/>
        <w:b/>
        <w:bCs/>
      </w:rPr>
      <w:fldChar w:fldCharType="separate"/>
    </w:r>
    <w:r w:rsidR="00FF4D46">
      <w:rPr>
        <w:rFonts w:ascii="Times New Roman" w:hAnsi="Times New Roman" w:cs="Times New Roman"/>
        <w:b/>
        <w:bCs/>
        <w:noProof/>
      </w:rPr>
      <w:t>27</w:t>
    </w:r>
    <w:r w:rsidR="009F3DA0">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122" w:rsidRDefault="00137122">
      <w:pPr>
        <w:rPr>
          <w:rFonts w:ascii="MS Serif" w:hAnsi="MS Serif"/>
        </w:rPr>
      </w:pPr>
      <w:r>
        <w:rPr>
          <w:rFonts w:ascii="MS Serif" w:hAnsi="MS Serif"/>
          <w:color w:val="000000"/>
        </w:rPr>
        <w:separator/>
      </w:r>
    </w:p>
  </w:footnote>
  <w:footnote w:type="continuationSeparator" w:id="0">
    <w:p w:rsidR="00137122" w:rsidRDefault="00137122">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23260"/>
    <w:rsid w:val="0003323C"/>
    <w:rsid w:val="0003640D"/>
    <w:rsid w:val="00082784"/>
    <w:rsid w:val="00137122"/>
    <w:rsid w:val="001412E2"/>
    <w:rsid w:val="00157CCB"/>
    <w:rsid w:val="001877FA"/>
    <w:rsid w:val="001F7A68"/>
    <w:rsid w:val="002166B4"/>
    <w:rsid w:val="002B27CB"/>
    <w:rsid w:val="00320DFC"/>
    <w:rsid w:val="00586EAD"/>
    <w:rsid w:val="005E2F33"/>
    <w:rsid w:val="00602A8B"/>
    <w:rsid w:val="006245B7"/>
    <w:rsid w:val="006758D5"/>
    <w:rsid w:val="006812F9"/>
    <w:rsid w:val="00717DC8"/>
    <w:rsid w:val="00725029"/>
    <w:rsid w:val="007253AE"/>
    <w:rsid w:val="00794E99"/>
    <w:rsid w:val="007C472A"/>
    <w:rsid w:val="00885B06"/>
    <w:rsid w:val="008F517C"/>
    <w:rsid w:val="008F6C41"/>
    <w:rsid w:val="009027D6"/>
    <w:rsid w:val="00931F5C"/>
    <w:rsid w:val="009A7849"/>
    <w:rsid w:val="009F3DA0"/>
    <w:rsid w:val="00A228A1"/>
    <w:rsid w:val="00A60113"/>
    <w:rsid w:val="00AC598D"/>
    <w:rsid w:val="00AF2B6B"/>
    <w:rsid w:val="00B3614F"/>
    <w:rsid w:val="00B95E87"/>
    <w:rsid w:val="00BF0247"/>
    <w:rsid w:val="00C14272"/>
    <w:rsid w:val="00C26DAF"/>
    <w:rsid w:val="00CB13F7"/>
    <w:rsid w:val="00D06F28"/>
    <w:rsid w:val="00DB0C93"/>
    <w:rsid w:val="00DF6D4E"/>
    <w:rsid w:val="00E37376"/>
    <w:rsid w:val="00E37730"/>
    <w:rsid w:val="00EB53FC"/>
    <w:rsid w:val="00EC5363"/>
    <w:rsid w:val="00ED3B93"/>
    <w:rsid w:val="00F86A63"/>
    <w:rsid w:val="00FF4D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11201</Words>
  <Characters>63847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74899</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2</cp:revision>
  <cp:lastPrinted>2011-01-10T19:22:00Z</cp:lastPrinted>
  <dcterms:created xsi:type="dcterms:W3CDTF">2012-10-08T18:29:00Z</dcterms:created>
  <dcterms:modified xsi:type="dcterms:W3CDTF">2012-10-08T18:29:00Z</dcterms:modified>
  <cp:category>Object Management Group (OMG)</cp:category>
</cp:coreProperties>
</file>