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00"/>
        <w:jc w:val="center"/>
      </w:pPr>
      <w:r>
        <w:rPr>
          <w:rFonts w:ascii="Arial" w:cs="Arial" w:eastAsia="Arial" w:hAnsi="Arial"/>
          <w:b/>
          <w:bCs/>
          <w:color w:val="0D7377"/>
          <w:spacing w:val="200"/>
          <w:sz w:val="20"/>
          <w:szCs w:val="20"/>
        </w:rPr>
        <w:t xml:space="preserve">CLEARSIGNALS AI™</w:t>
      </w:r>
    </w:p>
    <w:p>
      <w:pPr>
        <w:spacing w:after="100"/>
        <w:jc w:val="center"/>
      </w:pPr>
      <w:r>
        <w:rPr>
          <w:rFonts w:ascii="Arial" w:cs="Arial" w:eastAsia="Arial" w:hAnsi="Arial"/>
          <w:b/>
          <w:bCs/>
          <w:color w:val="0B1929"/>
          <w:sz w:val="52"/>
          <w:szCs w:val="52"/>
        </w:rPr>
        <w:t xml:space="preserve">Edge Architecture</w:t>
      </w:r>
    </w:p>
    <w:p>
      <w:pPr>
        <w:spacing w:after="60"/>
        <w:jc w:val="center"/>
      </w:pPr>
      <w:r>
        <w:rPr>
          <w:rFonts w:ascii="Arial" w:cs="Arial" w:eastAsia="Arial" w:hAnsi="Arial"/>
          <w:color w:val="1B4F8A"/>
          <w:sz w:val="28"/>
          <w:szCs w:val="28"/>
        </w:rPr>
        <w:t xml:space="preserve">Privacy-First Local Processing</w:t>
      </w:r>
    </w:p>
    <w:p>
      <w:pPr>
        <w:spacing w:after="60"/>
        <w:jc w:val="center"/>
      </w:pPr>
      <w:r>
        <w:rPr>
          <w:rFonts w:ascii="Arial" w:cs="Arial" w:eastAsia="Arial" w:hAnsi="Arial"/>
          <w:color w:val="1B4F8A"/>
          <w:sz w:val="28"/>
          <w:szCs w:val="28"/>
        </w:rPr>
        <w:t xml:space="preserve">&amp; Interaction Profile Schema</w:t>
      </w:r>
    </w:p>
    <w:p>
      <w:pPr>
        <w:spacing w:after="80"/>
      </w:pPr>
    </w:p>
    <w:p>
      <w:pPr>
        <w:spacing w:after="80"/>
      </w:pPr>
    </w:p>
    <w:p>
      <w:pPr>
        <w:jc w:val="center"/>
      </w:pPr>
      <w:r>
        <w:rPr>
          <w:rFonts w:ascii="Arial" w:cs="Arial" w:eastAsia="Arial" w:hAnsi="Arial"/>
          <w:i/>
          <w:iCs/>
          <w:color w:val="666666"/>
          <w:sz w:val="20"/>
          <w:szCs w:val="20"/>
        </w:rPr>
        <w:t xml:space="preserve">February 2026 — Confidential</w:t>
      </w:r>
    </w:p>
    <w:p>
      <w:r>
        <w:br w:type="page"/>
      </w:r>
    </w:p>
    <w:p>
      <w:pPr>
        <w:pStyle w:val="Heading1"/>
        <w:spacing w:before="300" w:after="150"/>
      </w:pPr>
      <w:r>
        <w:rPr>
          <w:rFonts w:ascii="Arial" w:cs="Arial" w:eastAsia="Arial" w:hAnsi="Arial"/>
        </w:rPr>
        <w:t xml:space="preserve">1. The Privacy Problem We’re Solving</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Every sales intelligence tool on the market — Gong, Clari, Outreach, Salesloft — requires customers to send their communication data to the vendor’s cloud. This creates three problems that ClearSignals can exploit:</w:t>
      </w:r>
    </w:p>
    <w:p>
      <w:pPr>
        <w:spacing w:after="80"/>
      </w:pPr>
    </w:p>
    <w:p>
      <w:pPr>
        <w:pStyle w:val="ListParagraph"/>
        <w:numPr>
          <w:ilvl w:val="0"/>
          <w:numId w:val="2"/>
        </w:numPr>
        <w:spacing w:after="70"/>
      </w:pPr>
      <w:r>
        <w:rPr>
          <w:rFonts w:ascii="Arial" w:cs="Arial" w:eastAsia="Arial" w:hAnsi="Arial"/>
          <w:color w:val="333333"/>
          <w:sz w:val="22"/>
          <w:szCs w:val="22"/>
        </w:rPr>
        <w:t xml:space="preserve">GDPR/CCPA Exposure: Cross-border email data contains PII subject to data protection laws. Sending it to a US cloud vendor creates legal liability for European and Asian customers.</w:t>
      </w:r>
    </w:p>
    <w:p>
      <w:pPr>
        <w:pStyle w:val="ListParagraph"/>
        <w:numPr>
          <w:ilvl w:val="0"/>
          <w:numId w:val="2"/>
        </w:numPr>
        <w:spacing w:after="70"/>
      </w:pPr>
      <w:r>
        <w:rPr>
          <w:rFonts w:ascii="Arial" w:cs="Arial" w:eastAsia="Arial" w:hAnsi="Arial"/>
          <w:color w:val="333333"/>
          <w:sz w:val="22"/>
          <w:szCs w:val="22"/>
        </w:rPr>
        <w:t xml:space="preserve">Enterprise Security: Large organizations will not allow email content to leave their network perimeter. Period. This eliminates them from every cloud-first competitor’s addressable market.</w:t>
      </w:r>
    </w:p>
    <w:p>
      <w:pPr>
        <w:pStyle w:val="ListParagraph"/>
        <w:numPr>
          <w:ilvl w:val="0"/>
          <w:numId w:val="2"/>
        </w:numPr>
        <w:spacing w:after="70"/>
      </w:pPr>
      <w:r>
        <w:rPr>
          <w:rFonts w:ascii="Arial" w:cs="Arial" w:eastAsia="Arial" w:hAnsi="Arial"/>
          <w:color w:val="333333"/>
          <w:sz w:val="22"/>
          <w:szCs w:val="22"/>
        </w:rPr>
        <w:t xml:space="preserve">Competitive Intelligence Leakage: Sending deal communications to a third-party cloud means trusting that vendor with your most sensitive competitive information.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THE CLEARSIGNALS ADVANTAGE</w:t>
            </w:r>
          </w:p>
          <w:p>
            <w:r>
              <w:rPr>
                <w:rFonts w:ascii="Arial" w:cs="Arial" w:eastAsia="Arial" w:hAnsi="Arial"/>
                <w:color w:val="333333"/>
                <w:sz w:val="21"/>
                <w:szCs w:val="21"/>
              </w:rPr>
              <w:t xml:space="preserve">Your emails never leave your building. ClearSignals processes locally, extracts anonymous interaction profiles, and sends only the profiles to the cloud for dashboarding and cross-contact analysis. We never see a name, an email address, or a single word of your actual communication.</w:t>
            </w:r>
          </w:p>
        </w:tc>
      </w:tr>
    </w:tbl>
    <w:p>
      <w:pPr>
        <w:spacing w:after="80"/>
      </w:pPr>
    </w:p>
    <w:p>
      <w:pPr>
        <w:spacing w:after="140"/>
      </w:pPr>
      <w:r>
        <w:rPr>
          <w:rFonts w:ascii="Arial" w:cs="Arial" w:eastAsia="Arial" w:hAnsi="Arial"/>
          <w:b w:val="false"/>
          <w:bCs w:val="false"/>
          <w:i w:val="false"/>
          <w:iCs w:val="false"/>
          <w:color w:val="333333"/>
          <w:sz w:val="22"/>
          <w:szCs w:val="22"/>
        </w:rPr>
        <w:t xml:space="preserve">This is not a compromise — it’s a better architecture. The raw emails are only needed for signal extraction. Once the signals are extracted into an interaction profile, the emails have served their purpose. Storing raw emails in the cloud is a liability, not an asset.</w:t>
      </w:r>
    </w:p>
    <w:p>
      <w:r>
        <w:br w:type="page"/>
      </w:r>
    </w:p>
    <w:p>
      <w:pPr>
        <w:pStyle w:val="Heading1"/>
        <w:spacing w:before="300" w:after="150"/>
      </w:pPr>
      <w:r>
        <w:rPr>
          <w:rFonts w:ascii="Arial" w:cs="Arial" w:eastAsia="Arial" w:hAnsi="Arial"/>
        </w:rPr>
        <w:t xml:space="preserve">2. Architecture Overview</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ClearSignals uses an edge-processing model with two components:</w:t>
      </w:r>
    </w:p>
    <w:p>
      <w:pPr>
        <w:spacing w:after="80"/>
      </w:pPr>
    </w:p>
    <w:p>
      <w:pPr>
        <w:pStyle w:val="Heading2"/>
        <w:spacing w:before="300" w:after="150"/>
      </w:pPr>
      <w:r>
        <w:rPr>
          <w:rFonts w:ascii="Arial" w:cs="Arial" w:eastAsia="Arial" w:hAnsi="Arial"/>
        </w:rPr>
        <w:t xml:space="preserve">The Local Agent (runs on customer’s infrastructure)</w:t>
      </w:r>
    </w:p>
    <w:p>
      <w:pPr>
        <w:pStyle w:val="ListParagraph"/>
        <w:numPr>
          <w:ilvl w:val="0"/>
          <w:numId w:val="2"/>
        </w:numPr>
        <w:spacing w:after="70"/>
      </w:pPr>
      <w:r>
        <w:rPr>
          <w:rFonts w:ascii="Arial" w:cs="Arial" w:eastAsia="Arial" w:hAnsi="Arial"/>
          <w:color w:val="333333"/>
          <w:sz w:val="22"/>
          <w:szCs w:val="22"/>
        </w:rPr>
        <w:t xml:space="preserve">Connects to email source (Outlook/PST, Exchange, IMAP, Google Workspace)</w:t>
      </w:r>
    </w:p>
    <w:p>
      <w:pPr>
        <w:pStyle w:val="ListParagraph"/>
        <w:numPr>
          <w:ilvl w:val="0"/>
          <w:numId w:val="2"/>
        </w:numPr>
        <w:spacing w:after="70"/>
      </w:pPr>
      <w:r>
        <w:rPr>
          <w:rFonts w:ascii="Arial" w:cs="Arial" w:eastAsia="Arial" w:hAnsi="Arial"/>
          <w:color w:val="333333"/>
          <w:sz w:val="22"/>
          <w:szCs w:val="22"/>
        </w:rPr>
        <w:t xml:space="preserve">Extracts and parses email threads</w:t>
      </w:r>
    </w:p>
    <w:p>
      <w:pPr>
        <w:pStyle w:val="ListParagraph"/>
        <w:numPr>
          <w:ilvl w:val="0"/>
          <w:numId w:val="2"/>
        </w:numPr>
        <w:spacing w:after="70"/>
      </w:pPr>
      <w:r>
        <w:rPr>
          <w:rFonts w:ascii="Arial" w:cs="Arial" w:eastAsia="Arial" w:hAnsi="Arial"/>
          <w:color w:val="333333"/>
          <w:sz w:val="22"/>
          <w:szCs w:val="22"/>
        </w:rPr>
        <w:t xml:space="preserve">Groups threads by contact</w:t>
      </w:r>
    </w:p>
    <w:p>
      <w:pPr>
        <w:pStyle w:val="ListParagraph"/>
        <w:numPr>
          <w:ilvl w:val="0"/>
          <w:numId w:val="2"/>
        </w:numPr>
        <w:spacing w:after="70"/>
      </w:pPr>
      <w:r>
        <w:rPr>
          <w:rFonts w:ascii="Arial" w:cs="Arial" w:eastAsia="Arial" w:hAnsi="Arial"/>
          <w:color w:val="333333"/>
          <w:sz w:val="22"/>
          <w:szCs w:val="22"/>
        </w:rPr>
        <w:t xml:space="preserve">Runs AI analysis via customer’s chosen LLM provider (OpenRouter, local LLM, or Azure OpenAI within their tenant)</w:t>
      </w:r>
    </w:p>
    <w:p>
      <w:pPr>
        <w:pStyle w:val="ListParagraph"/>
        <w:numPr>
          <w:ilvl w:val="0"/>
          <w:numId w:val="2"/>
        </w:numPr>
        <w:spacing w:after="70"/>
      </w:pPr>
      <w:r>
        <w:rPr>
          <w:rFonts w:ascii="Arial" w:cs="Arial" w:eastAsia="Arial" w:hAnsi="Arial"/>
          <w:color w:val="333333"/>
          <w:sz w:val="22"/>
          <w:szCs w:val="22"/>
        </w:rPr>
        <w:t xml:space="preserve">Builds interaction profiles with all PII stripped</w:t>
      </w:r>
    </w:p>
    <w:p>
      <w:pPr>
        <w:pStyle w:val="ListParagraph"/>
        <w:numPr>
          <w:ilvl w:val="0"/>
          <w:numId w:val="2"/>
        </w:numPr>
        <w:spacing w:after="70"/>
      </w:pPr>
      <w:r>
        <w:rPr>
          <w:rFonts w:ascii="Arial" w:cs="Arial" w:eastAsia="Arial" w:hAnsi="Arial"/>
          <w:color w:val="333333"/>
          <w:sz w:val="22"/>
          <w:szCs w:val="22"/>
        </w:rPr>
        <w:t xml:space="preserve">Encrypts and transmits profiles to ClearSignals Cloud</w:t>
      </w:r>
    </w:p>
    <w:p>
      <w:pPr>
        <w:pStyle w:val="ListParagraph"/>
        <w:numPr>
          <w:ilvl w:val="0"/>
          <w:numId w:val="2"/>
        </w:numPr>
        <w:spacing w:after="70"/>
      </w:pPr>
      <w:r>
        <w:rPr>
          <w:rFonts w:ascii="Arial" w:cs="Arial" w:eastAsia="Arial" w:hAnsi="Arial"/>
          <w:color w:val="333333"/>
          <w:sz w:val="22"/>
          <w:szCs w:val="22"/>
        </w:rPr>
        <w:t xml:space="preserve">Stores nothing persistently — processes in memory, discards raw data after profile extraction</w:t>
      </w:r>
    </w:p>
    <w:p>
      <w:pPr>
        <w:spacing w:after="80"/>
      </w:pPr>
    </w:p>
    <w:p>
      <w:pPr>
        <w:pStyle w:val="Heading2"/>
        <w:spacing w:before="300" w:after="150"/>
      </w:pPr>
      <w:r>
        <w:rPr>
          <w:rFonts w:ascii="Arial" w:cs="Arial" w:eastAsia="Arial" w:hAnsi="Arial"/>
        </w:rPr>
        <w:t xml:space="preserve">ClearSignals Cloud (our infrastructure)</w:t>
      </w:r>
    </w:p>
    <w:p>
      <w:pPr>
        <w:pStyle w:val="ListParagraph"/>
        <w:numPr>
          <w:ilvl w:val="0"/>
          <w:numId w:val="2"/>
        </w:numPr>
        <w:spacing w:after="70"/>
      </w:pPr>
      <w:r>
        <w:rPr>
          <w:rFonts w:ascii="Arial" w:cs="Arial" w:eastAsia="Arial" w:hAnsi="Arial"/>
          <w:color w:val="333333"/>
          <w:sz w:val="22"/>
          <w:szCs w:val="22"/>
        </w:rPr>
        <w:t xml:space="preserve">Receives anonymous interaction profiles</w:t>
      </w:r>
    </w:p>
    <w:p>
      <w:pPr>
        <w:pStyle w:val="ListParagraph"/>
        <w:numPr>
          <w:ilvl w:val="0"/>
          <w:numId w:val="2"/>
        </w:numPr>
        <w:spacing w:after="70"/>
      </w:pPr>
      <w:r>
        <w:rPr>
          <w:rFonts w:ascii="Arial" w:cs="Arial" w:eastAsia="Arial" w:hAnsi="Arial"/>
          <w:color w:val="333333"/>
          <w:sz w:val="22"/>
          <w:szCs w:val="22"/>
        </w:rPr>
        <w:t xml:space="preserve">Provides dashboarding, trend analysis, and cross-contact views</w:t>
      </w:r>
    </w:p>
    <w:p>
      <w:pPr>
        <w:pStyle w:val="ListParagraph"/>
        <w:numPr>
          <w:ilvl w:val="0"/>
          <w:numId w:val="2"/>
        </w:numPr>
        <w:spacing w:after="70"/>
      </w:pPr>
      <w:r>
        <w:rPr>
          <w:rFonts w:ascii="Arial" w:cs="Arial" w:eastAsia="Arial" w:hAnsi="Arial"/>
          <w:color w:val="333333"/>
          <w:sz w:val="22"/>
          <w:szCs w:val="22"/>
        </w:rPr>
        <w:t xml:space="preserve">Runs trajectory prediction models on profile data</w:t>
      </w:r>
    </w:p>
    <w:p>
      <w:pPr>
        <w:pStyle w:val="ListParagraph"/>
        <w:numPr>
          <w:ilvl w:val="0"/>
          <w:numId w:val="2"/>
        </w:numPr>
        <w:spacing w:after="70"/>
      </w:pPr>
      <w:r>
        <w:rPr>
          <w:rFonts w:ascii="Arial" w:cs="Arial" w:eastAsia="Arial" w:hAnsi="Arial"/>
          <w:color w:val="333333"/>
          <w:sz w:val="22"/>
          <w:szCs w:val="22"/>
        </w:rPr>
        <w:t xml:space="preserve">Generates coaching recommendations based on signal patterns</w:t>
      </w:r>
    </w:p>
    <w:p>
      <w:pPr>
        <w:pStyle w:val="ListParagraph"/>
        <w:numPr>
          <w:ilvl w:val="0"/>
          <w:numId w:val="2"/>
        </w:numPr>
        <w:spacing w:after="70"/>
      </w:pPr>
      <w:r>
        <w:rPr>
          <w:rFonts w:ascii="Arial" w:cs="Arial" w:eastAsia="Arial" w:hAnsi="Arial"/>
          <w:color w:val="333333"/>
          <w:sz w:val="22"/>
          <w:szCs w:val="22"/>
        </w:rPr>
        <w:t xml:space="preserve">Manages user accounts, team views, and reporting</w:t>
      </w:r>
    </w:p>
    <w:p>
      <w:pPr>
        <w:pStyle w:val="ListParagraph"/>
        <w:numPr>
          <w:ilvl w:val="0"/>
          <w:numId w:val="2"/>
        </w:numPr>
        <w:spacing w:after="70"/>
      </w:pPr>
      <w:r>
        <w:rPr>
          <w:rFonts w:ascii="Arial" w:cs="Arial" w:eastAsia="Arial" w:hAnsi="Arial"/>
          <w:color w:val="333333"/>
          <w:sz w:val="22"/>
          <w:szCs w:val="22"/>
        </w:rPr>
        <w:t xml:space="preserve">Never receives, stores, or processes raw email content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DATA FLOW SUMMARY</w:t>
            </w:r>
          </w:p>
          <w:p>
            <w:r>
              <w:rPr>
                <w:rFonts w:ascii="Arial" w:cs="Arial" w:eastAsia="Arial" w:hAnsi="Arial"/>
                <w:color w:val="333333"/>
                <w:sz w:val="21"/>
                <w:szCs w:val="21"/>
              </w:rPr>
              <w:t xml:space="preserve">Email Server → Local Agent → [AI Analysis] → Interaction Profile (anonymized) → ClearSignals Cloud → Dashboard
The wall between PII and cloud is absolute. Raw email content exists only in the Local Agent’s memory during processing.</w:t>
            </w:r>
          </w:p>
        </w:tc>
      </w:tr>
    </w:tbl>
    <w:p>
      <w:r>
        <w:br w:type="page"/>
      </w:r>
    </w:p>
    <w:p>
      <w:pPr>
        <w:pStyle w:val="Heading1"/>
        <w:spacing w:before="300" w:after="150"/>
      </w:pPr>
      <w:r>
        <w:rPr>
          <w:rFonts w:ascii="Arial" w:cs="Arial" w:eastAsia="Arial" w:hAnsi="Arial"/>
        </w:rPr>
        <w:t xml:space="preserve">3. Local Agent Deployment Options</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Three deployment models, targeting different customer segments:</w:t>
      </w:r>
    </w:p>
    <w:p>
      <w:pPr>
        <w:spacing w:after="80"/>
      </w:pPr>
    </w:p>
    <w:p>
      <w:pPr>
        <w:pStyle w:val="Heading2"/>
        <w:spacing w:before="300" w:after="150"/>
      </w:pPr>
      <w:r>
        <w:rPr>
          <w:rFonts w:ascii="Arial" w:cs="Arial" w:eastAsia="Arial" w:hAnsi="Arial"/>
        </w:rPr>
        <w:t xml:space="preserve">Option A: Desktop App (Individual Sales Reps)</w:t>
      </w:r>
    </w:p>
    <w:p>
      <w:pPr>
        <w:spacing w:after="140"/>
      </w:pPr>
      <w:r>
        <w:rPr>
          <w:rFonts w:ascii="Arial" w:cs="Arial" w:eastAsia="Arial" w:hAnsi="Arial"/>
          <w:b w:val="false"/>
          <w:bCs w:val="false"/>
          <w:i/>
          <w:iCs/>
          <w:color w:val="666666"/>
          <w:sz w:val="22"/>
          <w:szCs w:val="22"/>
        </w:rPr>
        <w:t xml:space="preserve">An Electron-based desktop application that individual sales reps download and install on their workstation.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Electron + Node.js + Python (bundled)</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 Sources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PST/OST files, IMAP, Gmail OAuth</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OpenRouter API (user’s key) or local Ollama/LM Studio</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Local SQLite DB + sync to ClearSignals Cloud</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Individual sales reps, small teams</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Distribution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 download, auto-update via Electron</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Easy install, works offline, handles PST natively, user controls their LLM key</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Single-user, requires local compute, can’t access server-side mailboxes</w:t>
            </w:r>
          </w:p>
        </w:tc>
      </w:tr>
    </w:tbl>
    <w:p>
      <w:pPr>
        <w:spacing w:after="80"/>
      </w:pPr>
    </w:p>
    <w:p>
      <w:pPr>
        <w:pStyle w:val="Heading2"/>
        <w:spacing w:before="300" w:after="150"/>
      </w:pPr>
      <w:r>
        <w:rPr>
          <w:rFonts w:ascii="Arial" w:cs="Arial" w:eastAsia="Arial" w:hAnsi="Arial"/>
        </w:rPr>
        <w:t xml:space="preserve">Option B: Outlook Add-in (Zero Friction)</w:t>
      </w:r>
    </w:p>
    <w:p>
      <w:pPr>
        <w:spacing w:after="140"/>
      </w:pPr>
      <w:r>
        <w:rPr>
          <w:rFonts w:ascii="Arial" w:cs="Arial" w:eastAsia="Arial" w:hAnsi="Arial"/>
          <w:b w:val="false"/>
          <w:bCs w:val="false"/>
          <w:i/>
          <w:iCs/>
          <w:color w:val="666666"/>
          <w:sz w:val="22"/>
          <w:szCs w:val="22"/>
        </w:rPr>
        <w:t xml:space="preserve">A Microsoft Outlook add-in that lives inside the user’s email client. One-click analysis of any email or folder.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Office Add-in (JavaScript/React), sideloaded or via AppSource</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 Sources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mailbox via Office.js API (on-demand, not bulk)</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call to ClearSignals edge proxy (runs in customer’s Azure tenant) or direct OpenRouter</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Roaming settings + sync to ClearSignals Cloud</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Outlook users, Microsoft 365 organizations</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Distribution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Microsoft AppSource or enterprise sideload</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Zero installation, right where users work, familiar UX, IT-friendly deployment</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Outlook only, Microsoft review process, API rate limits, add-in sandbox restrictions</w:t>
            </w:r>
          </w:p>
        </w:tc>
      </w:tr>
    </w:tbl>
    <w:p>
      <w:pPr>
        <w:spacing w:after="80"/>
      </w:pPr>
    </w:p>
    <w:p>
      <w:pPr>
        <w:pStyle w:val="Heading2"/>
        <w:spacing w:before="300" w:after="150"/>
      </w:pPr>
      <w:r>
        <w:rPr>
          <w:rFonts w:ascii="Arial" w:cs="Arial" w:eastAsia="Arial" w:hAnsi="Arial"/>
        </w:rPr>
        <w:t xml:space="preserve">Option C: Server Agent (Enterprise)</w:t>
      </w:r>
    </w:p>
    <w:p>
      <w:pPr>
        <w:spacing w:after="140"/>
      </w:pPr>
      <w:r>
        <w:rPr>
          <w:rFonts w:ascii="Arial" w:cs="Arial" w:eastAsia="Arial" w:hAnsi="Arial"/>
          <w:b w:val="false"/>
          <w:bCs w:val="false"/>
          <w:i/>
          <w:iCs/>
          <w:color w:val="666666"/>
          <w:sz w:val="22"/>
          <w:szCs w:val="22"/>
        </w:rPr>
        <w:t xml:space="preserve">A Docker container deployed on the customer’s network that connects directly to their email infrastructure.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Docker container (Python + Node.js), Kubernetes-ready</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 Sources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Exchange Web Services (EWS), Microsoft Graph API, IMAP, Google Workspace Admin API</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Customer’s Azure OpenAI instance, on-prem LLM, or OpenRouter (their key)</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PostgreSQL within customer network + encrypted sync to ClearSignals Cloud</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sales organizations, 50+ reps</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Distribution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Docker Hub / private registry, Helm charts for K8s</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Bulk processing, all mailboxes, scheduled runs, enterprise-grade, IT-approved</w:t>
            </w:r>
          </w:p>
        </w:tc>
      </w:tr>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Requires IT deployment, server resources, more complex setup</w:t>
            </w:r>
          </w:p>
        </w:tc>
      </w:tr>
    </w:tbl>
    <w:p>
      <w:r>
        <w:br w:type="page"/>
      </w:r>
    </w:p>
    <w:p>
      <w:pPr>
        <w:pStyle w:val="Heading1"/>
        <w:spacing w:before="300" w:after="150"/>
      </w:pPr>
      <w:r>
        <w:rPr>
          <w:rFonts w:ascii="Arial" w:cs="Arial" w:eastAsia="Arial" w:hAnsi="Arial"/>
        </w:rPr>
        <w:t xml:space="preserve">4. The Interaction Profile Schema</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This is the core data contract — the structure that connects every local agent to the ClearSignals Cloud. Regardless of whether profiles come from a desktop app, Outlook add-in, or server agent, they all conform to this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DESIGN PRINCIPLE</w:t>
            </w:r>
          </w:p>
          <w:p>
            <w:r>
              <w:rPr>
                <w:rFonts w:ascii="Arial" w:cs="Arial" w:eastAsia="Arial" w:hAnsi="Arial"/>
                <w:color w:val="333333"/>
                <w:sz w:val="21"/>
                <w:szCs w:val="21"/>
              </w:rPr>
              <w:t xml:space="preserve">An interaction profile contains EVERYTHING ClearSignals needs to score, coach, and predict — and NOTHING that identifies a real person. A profile is useful to us but worthless to an attacker.</w:t>
            </w:r>
          </w:p>
        </w:tc>
      </w:tr>
    </w:tbl>
    <w:p>
      <w:pPr>
        <w:spacing w:after="80"/>
      </w:pPr>
    </w:p>
    <w:p>
      <w:pPr>
        <w:pStyle w:val="Heading3"/>
        <w:spacing w:before="300" w:after="150"/>
      </w:pPr>
      <w:r>
        <w:rPr>
          <w:rFonts w:ascii="Arial" w:cs="Arial" w:eastAsia="Arial" w:hAnsi="Arial"/>
        </w:rPr>
        <w:t xml:space="preserve">Contact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929" w:sz="2"/>
              <w:left w:val="single" w:color="0B1929" w:sz="2"/>
              <w:bottom w:val="single" w:color="0B1929" w:sz="2"/>
              <w:right w:val="single" w:color="0B1929" w:sz="2"/>
            </w:tcBorders>
            <w:shd w:fill="F5F5F5" w:val="clear"/>
            <w:tcMar>
              <w:top w:type="dxa" w:w="150"/>
              <w:left w:type="dxa" w:w="200"/>
              <w:bottom w:type="dxa" w:w="150"/>
              <w:right w:type="dxa" w:w="200"/>
            </w:tcMar>
          </w:tcPr>
          <w:p>
            <w:pPr>
              <w:spacing w:after="60"/>
            </w:pPr>
            <w:r>
              <w:rPr>
                <w:rFonts w:ascii="Courier New" w:cs="Courier New" w:eastAsia="Courier New" w:hAnsi="Courier New"/>
                <w:b/>
                <w:bCs/>
                <w:color w:val="0B1929"/>
                <w:sz w:val="18"/>
                <w:szCs w:val="18"/>
              </w:rPr>
              <w:t xml:space="preserve">INTERACTION PROFILE SCHEMA</w:t>
            </w:r>
          </w:p>
          <w:p>
            <w:r>
              <w:rPr>
                <w:rFonts w:ascii="Courier New" w:cs="Courier New" w:eastAsia="Courier New" w:hAnsi="Courier New"/>
                <w:color w:val="333333"/>
                <w:sz w:val="15"/>
                <w:szCs w:val="15"/>
              </w:rPr>
              <w:t xml:space="preserve">{
  "schema_version": "1.0",
  "profile_id": "a1b2c3d4-uuid-generated-locally",
  "org_id": "customer-tenant-uuid",
  "created_at": "2026-02-22T10:30:00Z",
  "updated_at": "2026-02-22T15:45:00Z",
  "contact": {
    "hash_id": "sha256-of-email-address",
    "role_category": "executive|director|manager|individual_contributor",
    "department_category": "engineering|sales|operations|finance|legal|executive|other",
    "company_hash": "sha256-of-company-domain",
    "company_size_band": "1-50|51-200|201-1000|1001-5000|5000+",
    "industry_category": "technology|manufacturing|healthcare|finance|other",
    "region": "north_america|europe|asia_pacific|middle_east|latin_america|africa",
    "country_code": "US|JP|VN|DE|BR|CN|KR|SE|IN|AE|MX|GB",
    "culture_profile": "west_direct|west_formal|west_warm|east_indirect|east_hierarchical|hybrid",
    "language_primary": "en|ja|zh|de|pt|es|ko|sv|hi|ar"
  },
  "baseline": {
    "established_from_threads": 3,
    "observation_period_days": 120,
    "formality_mean": 7.2,
    "formality_stddev": 0.8,
    "warmth_mean": 5.5,
    "warmth_stddev": 1.2,
    "response_time_mean_hours": 18.4,
    "response_time_stddev_hours": 8.2,
    "message_length_mean_words": 135,
    "message_length_stddev_words": 42,
    "initiation_ratio": 0.3,
    "greeting_pattern": "formal_title|formal_name|casual_name|casual_familiar",
    "signoff_pattern": "formal_full|formal_short|casual|minimal"
  },
  "threads": [
    {
      "thread_hash": "sha256-of-thread-id",
      "started_at": "2026-01-15T09:30:00Z",
      "ended_at": "2026-02-18T14:22:00Z",
      "duration_days": 34,
      "email_count": 9,
      "deal_stage": "prospecting|qualification|demo|proposal|negotiation|closed_won|closed_lost|no_decision",
      "outcome": "won|lost|no_decision|active",
      "trajectory": [
        {
          "email_index": 1,
          "direction": "outbound",
          "timestamp": "2026-01-15T09:30:00Z",
          "response_time_hours": null,
          "formality_score": 7,
          "warmth_score": 5,
          "word_count": 142,
          "intent_score": 3,
          "win_likelihood_pct": 30,
          "ryg": { "r": 0, "y": 0, "g": 1 }
        }
      ],
      "signals": [
        {
          "email_index": 3,
          "type": "intent",
          "subtype": "future_commitment",
          "severity": "green",
          "description": "Contact used future commitment language referencing implementation timeline",
          "readiness_delta": 2
        },
        {
          "email_index": 5,
          "type": "cultural",
          "subtype": "rushing_decision",
          "severity": "red",
          "description": "Rep pushed for timeline before relationship context was established",
          "readiness_delta": -1
        },
        {
          "email_index": 6,
          "type": "competitive",
          "subtype": "implied",
          "severity": "yellow",
          "description": "Contact referenced unnamed alternative solutions"
        }
      ],
      "formality_trajectory": [7, 7, 6, 5, 5, 4, 4, 4, 4],
      "warmth_trajectory": [5, 5, 5, 6, 6, 7, 7, 7, 7],
      "response_time_trajectory": [null, 4.2, 6.1, 3.8, 2.5, 4.0, 3.2, 2.1, 1.8],
      "drift_from_baseline": {
        "formality_delta": -3.2,
        "warmth_delta": 1.5,
        "response_time_delta": -14.6,
        "length_delta": -15,
        "interpretation": "positive_engagement"
      },
      "final_scores": {
        "intent": 8,
        "win_likelihood_pct": 82,
        "ryg_total": { "r": 1, "y": 2, "g": 5 },
        "coaching_priority": "Address the cultural violation from email 5 before next interaction"
      }
    }
  ],
  "aggregate_scores": {
    "overall_relationship_health": "strong|healthy|at_risk|damaged|new",
    "trend_direction": "improving|stable|declining",
    "win_rate": 0.75,
    "total_threads": 4,
    "total_signals": 23,
    "cultural_violation_count": 2,
    "competitive_mention_count": 3,
    "avg_deal_cycle_days": 32
  }
}</w:t>
            </w:r>
          </w:p>
        </w:tc>
      </w:tr>
    </w:tbl>
    <w:p>
      <w:r>
        <w:br w:type="page"/>
      </w:r>
    </w:p>
    <w:p>
      <w:pPr>
        <w:pStyle w:val="Heading1"/>
        <w:spacing w:before="300" w:after="150"/>
      </w:pPr>
      <w:r>
        <w:rPr>
          <w:rFonts w:ascii="Arial" w:cs="Arial" w:eastAsia="Arial" w:hAnsi="Arial"/>
        </w:rPr>
        <w:t xml:space="preserve">5. PII Stripping Rules</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The Local Agent applies these rules before any data leaves the customer’s environment:</w:t>
      </w:r>
    </w:p>
    <w:p>
      <w:pPr>
        <w:spacing w:after="80"/>
      </w:pPr>
    </w:p>
    <w:p>
      <w:pPr>
        <w:pStyle w:val="Heading3"/>
        <w:spacing w:before="300" w:after="150"/>
      </w:pPr>
      <w:r>
        <w:rPr>
          <w:rFonts w:ascii="Arial" w:cs="Arial" w:eastAsia="Arial" w:hAnsi="Arial"/>
        </w:rPr>
        <w:t xml:space="preserve">Always Stripped (never transmitted)</w:t>
      </w:r>
    </w:p>
    <w:p>
      <w:pPr>
        <w:pStyle w:val="ListParagraph"/>
        <w:numPr>
          <w:ilvl w:val="0"/>
          <w:numId w:val="2"/>
        </w:numPr>
        <w:spacing w:after="70"/>
      </w:pPr>
      <w:r>
        <w:rPr>
          <w:rFonts w:ascii="Arial" w:cs="Arial" w:eastAsia="Arial" w:hAnsi="Arial"/>
          <w:color w:val="333333"/>
          <w:sz w:val="22"/>
          <w:szCs w:val="22"/>
        </w:rPr>
        <w:t xml:space="preserve">Names → replaced with role_category + hash_id</w:t>
      </w:r>
    </w:p>
    <w:p>
      <w:pPr>
        <w:pStyle w:val="ListParagraph"/>
        <w:numPr>
          <w:ilvl w:val="0"/>
          <w:numId w:val="2"/>
        </w:numPr>
        <w:spacing w:after="70"/>
      </w:pPr>
      <w:r>
        <w:rPr>
          <w:rFonts w:ascii="Arial" w:cs="Arial" w:eastAsia="Arial" w:hAnsi="Arial"/>
          <w:color w:val="333333"/>
          <w:sz w:val="22"/>
          <w:szCs w:val="22"/>
        </w:rPr>
        <w:t xml:space="preserve">Email addresses → replaced with sha256 hash (one-way, irreversible)</w:t>
      </w:r>
    </w:p>
    <w:p>
      <w:pPr>
        <w:pStyle w:val="ListParagraph"/>
        <w:numPr>
          <w:ilvl w:val="0"/>
          <w:numId w:val="2"/>
        </w:numPr>
        <w:spacing w:after="70"/>
      </w:pPr>
      <w:r>
        <w:rPr>
          <w:rFonts w:ascii="Arial" w:cs="Arial" w:eastAsia="Arial" w:hAnsi="Arial"/>
          <w:color w:val="333333"/>
          <w:sz w:val="22"/>
          <w:szCs w:val="22"/>
        </w:rPr>
        <w:t xml:space="preserve">Company names → replaced with sha256 hash of domain + industry/size/region metadata</w:t>
      </w:r>
    </w:p>
    <w:p>
      <w:pPr>
        <w:pStyle w:val="ListParagraph"/>
        <w:numPr>
          <w:ilvl w:val="0"/>
          <w:numId w:val="2"/>
        </w:numPr>
        <w:spacing w:after="70"/>
      </w:pPr>
      <w:r>
        <w:rPr>
          <w:rFonts w:ascii="Arial" w:cs="Arial" w:eastAsia="Arial" w:hAnsi="Arial"/>
          <w:color w:val="333333"/>
          <w:sz w:val="22"/>
          <w:szCs w:val="22"/>
        </w:rPr>
        <w:t xml:space="preserve">Phone numbers, physical addresses → deleted entirely</w:t>
      </w:r>
    </w:p>
    <w:p>
      <w:pPr>
        <w:pStyle w:val="ListParagraph"/>
        <w:numPr>
          <w:ilvl w:val="0"/>
          <w:numId w:val="2"/>
        </w:numPr>
        <w:spacing w:after="70"/>
      </w:pPr>
      <w:r>
        <w:rPr>
          <w:rFonts w:ascii="Arial" w:cs="Arial" w:eastAsia="Arial" w:hAnsi="Arial"/>
          <w:color w:val="333333"/>
          <w:sz w:val="22"/>
          <w:szCs w:val="22"/>
        </w:rPr>
        <w:t xml:space="preserve">Email body text → deleted entirely after signal extraction</w:t>
      </w:r>
    </w:p>
    <w:p>
      <w:pPr>
        <w:pStyle w:val="ListParagraph"/>
        <w:numPr>
          <w:ilvl w:val="0"/>
          <w:numId w:val="2"/>
        </w:numPr>
        <w:spacing w:after="70"/>
      </w:pPr>
      <w:r>
        <w:rPr>
          <w:rFonts w:ascii="Arial" w:cs="Arial" w:eastAsia="Arial" w:hAnsi="Arial"/>
          <w:color w:val="333333"/>
          <w:sz w:val="22"/>
          <w:szCs w:val="22"/>
        </w:rPr>
        <w:t xml:space="preserve">Email subject lines → deleted entirely after thread grouping</w:t>
      </w:r>
    </w:p>
    <w:p>
      <w:pPr>
        <w:pStyle w:val="ListParagraph"/>
        <w:numPr>
          <w:ilvl w:val="0"/>
          <w:numId w:val="2"/>
        </w:numPr>
        <w:spacing w:after="70"/>
      </w:pPr>
      <w:r>
        <w:rPr>
          <w:rFonts w:ascii="Arial" w:cs="Arial" w:eastAsia="Arial" w:hAnsi="Arial"/>
          <w:color w:val="333333"/>
          <w:sz w:val="22"/>
          <w:szCs w:val="22"/>
        </w:rPr>
        <w:t xml:space="preserve">Attachments → never processed, never transmitted</w:t>
      </w:r>
    </w:p>
    <w:p>
      <w:pPr>
        <w:pStyle w:val="ListParagraph"/>
        <w:numPr>
          <w:ilvl w:val="0"/>
          <w:numId w:val="2"/>
        </w:numPr>
        <w:spacing w:after="70"/>
      </w:pPr>
      <w:r>
        <w:rPr>
          <w:rFonts w:ascii="Arial" w:cs="Arial" w:eastAsia="Arial" w:hAnsi="Arial"/>
          <w:color w:val="333333"/>
          <w:sz w:val="22"/>
          <w:szCs w:val="22"/>
        </w:rPr>
        <w:t xml:space="preserve">CC/BCC addresses → replaced with count only (e.g., “2 CCs added”)</w:t>
      </w:r>
    </w:p>
    <w:p>
      <w:pPr>
        <w:spacing w:after="80"/>
      </w:pPr>
    </w:p>
    <w:p>
      <w:pPr>
        <w:pStyle w:val="Heading3"/>
        <w:spacing w:before="300" w:after="150"/>
      </w:pPr>
      <w:r>
        <w:rPr>
          <w:rFonts w:ascii="Arial" w:cs="Arial" w:eastAsia="Arial" w:hAnsi="Arial"/>
        </w:rPr>
        <w:t xml:space="preserve">Retained in Anonymized Form</w:t>
      </w:r>
    </w:p>
    <w:p>
      <w:pPr>
        <w:pStyle w:val="ListParagraph"/>
        <w:numPr>
          <w:ilvl w:val="0"/>
          <w:numId w:val="2"/>
        </w:numPr>
        <w:spacing w:after="70"/>
      </w:pPr>
      <w:r>
        <w:rPr>
          <w:rFonts w:ascii="Arial" w:cs="Arial" w:eastAsia="Arial" w:hAnsi="Arial"/>
          <w:color w:val="333333"/>
          <w:sz w:val="22"/>
          <w:szCs w:val="22"/>
        </w:rPr>
        <w:t xml:space="preserve">Signal descriptions (generic: “future commitment language detected” — NOT the actual quote)</w:t>
      </w:r>
    </w:p>
    <w:p>
      <w:pPr>
        <w:pStyle w:val="ListParagraph"/>
        <w:numPr>
          <w:ilvl w:val="0"/>
          <w:numId w:val="2"/>
        </w:numPr>
        <w:spacing w:after="70"/>
      </w:pPr>
      <w:r>
        <w:rPr>
          <w:rFonts w:ascii="Arial" w:cs="Arial" w:eastAsia="Arial" w:hAnsi="Arial"/>
          <w:color w:val="333333"/>
          <w:sz w:val="22"/>
          <w:szCs w:val="22"/>
        </w:rPr>
        <w:t xml:space="preserve">Scores (formality, warmth, intent, win_likelihood — all numerical)</w:t>
      </w:r>
    </w:p>
    <w:p>
      <w:pPr>
        <w:pStyle w:val="ListParagraph"/>
        <w:numPr>
          <w:ilvl w:val="0"/>
          <w:numId w:val="2"/>
        </w:numPr>
        <w:spacing w:after="70"/>
      </w:pPr>
      <w:r>
        <w:rPr>
          <w:rFonts w:ascii="Arial" w:cs="Arial" w:eastAsia="Arial" w:hAnsi="Arial"/>
          <w:color w:val="333333"/>
          <w:sz w:val="22"/>
          <w:szCs w:val="22"/>
        </w:rPr>
        <w:t xml:space="preserve">Trajectories (arrays of scores over time)</w:t>
      </w:r>
    </w:p>
    <w:p>
      <w:pPr>
        <w:pStyle w:val="ListParagraph"/>
        <w:numPr>
          <w:ilvl w:val="0"/>
          <w:numId w:val="2"/>
        </w:numPr>
        <w:spacing w:after="70"/>
      </w:pPr>
      <w:r>
        <w:rPr>
          <w:rFonts w:ascii="Arial" w:cs="Arial" w:eastAsia="Arial" w:hAnsi="Arial"/>
          <w:color w:val="333333"/>
          <w:sz w:val="22"/>
          <w:szCs w:val="22"/>
        </w:rPr>
        <w:t xml:space="preserve">Timestamps (retained for time-series analysis)</w:t>
      </w:r>
    </w:p>
    <w:p>
      <w:pPr>
        <w:pStyle w:val="ListParagraph"/>
        <w:numPr>
          <w:ilvl w:val="0"/>
          <w:numId w:val="2"/>
        </w:numPr>
        <w:spacing w:after="70"/>
      </w:pPr>
      <w:r>
        <w:rPr>
          <w:rFonts w:ascii="Arial" w:cs="Arial" w:eastAsia="Arial" w:hAnsi="Arial"/>
          <w:color w:val="333333"/>
          <w:sz w:val="22"/>
          <w:szCs w:val="22"/>
        </w:rPr>
        <w:t xml:space="preserve">Response time calculations (retained as numerical values)</w:t>
      </w:r>
    </w:p>
    <w:p>
      <w:pPr>
        <w:pStyle w:val="ListParagraph"/>
        <w:numPr>
          <w:ilvl w:val="0"/>
          <w:numId w:val="2"/>
        </w:numPr>
        <w:spacing w:after="70"/>
      </w:pPr>
      <w:r>
        <w:rPr>
          <w:rFonts w:ascii="Arial" w:cs="Arial" w:eastAsia="Arial" w:hAnsi="Arial"/>
          <w:color w:val="333333"/>
          <w:sz w:val="22"/>
          <w:szCs w:val="22"/>
        </w:rPr>
        <w:t xml:space="preserve">Country/region codes (retained for cultural rule application)</w:t>
      </w:r>
    </w:p>
    <w:p>
      <w:pPr>
        <w:pStyle w:val="ListParagraph"/>
        <w:numPr>
          <w:ilvl w:val="0"/>
          <w:numId w:val="2"/>
        </w:numPr>
        <w:spacing w:after="70"/>
      </w:pPr>
      <w:r>
        <w:rPr>
          <w:rFonts w:ascii="Arial" w:cs="Arial" w:eastAsia="Arial" w:hAnsi="Arial"/>
          <w:color w:val="333333"/>
          <w:sz w:val="22"/>
          <w:szCs w:val="22"/>
        </w:rPr>
        <w:t xml:space="preserve">Industry/size/role categories (retained for benchmarking)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THE LITMUS TEST</w:t>
            </w:r>
          </w:p>
          <w:p>
            <w:r>
              <w:rPr>
                <w:rFonts w:ascii="Arial" w:cs="Arial" w:eastAsia="Arial" w:hAnsi="Arial"/>
                <w:color w:val="333333"/>
                <w:sz w:val="21"/>
                <w:szCs w:val="21"/>
              </w:rPr>
              <w:t xml:space="preserve">If an attacker intercepted a ClearSignals interaction profile, they would see: “Contact sha256:a4f2... in Asia-Pacific, executive role, manufacturing industry, formality 8.2, warmth 4.1, 3 cultural violations detected, win likelihood 34%, declining trend.” They would NOT be able to determine who this person is, what company they work for, or what was said in any email.</w:t>
            </w:r>
          </w:p>
        </w:tc>
      </w:tr>
    </w:tbl>
    <w:p>
      <w:r>
        <w:br w:type="page"/>
      </w:r>
    </w:p>
    <w:p>
      <w:pPr>
        <w:pStyle w:val="Heading1"/>
        <w:spacing w:before="300" w:after="150"/>
      </w:pPr>
      <w:r>
        <w:rPr>
          <w:rFonts w:ascii="Arial" w:cs="Arial" w:eastAsia="Arial" w:hAnsi="Arial"/>
        </w:rPr>
        <w:t xml:space="preserve">6. Local AI Processing</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The LLM that analyzes emails runs on the customer’s side, not ours. Three options:</w:t>
      </w:r>
    </w:p>
    <w:p>
      <w:pPr>
        <w:spacing w:after="80"/>
      </w:pPr>
    </w:p>
    <w:p>
      <w:pPr>
        <w:pStyle w:val="Heading3"/>
        <w:spacing w:before="300" w:after="150"/>
      </w:pPr>
      <w:r>
        <w:rPr>
          <w:rFonts w:ascii="Arial" w:cs="Arial" w:eastAsia="Arial" w:hAnsi="Arial"/>
        </w:rPr>
        <w:t xml:space="preserve">Option 1: OpenRouter (Customer’s API Key)</w:t>
      </w:r>
    </w:p>
    <w:p>
      <w:pPr>
        <w:pStyle w:val="ListParagraph"/>
        <w:numPr>
          <w:ilvl w:val="0"/>
          <w:numId w:val="2"/>
        </w:numPr>
        <w:spacing w:after="70"/>
      </w:pPr>
      <w:r>
        <w:rPr>
          <w:rFonts w:ascii="Arial" w:cs="Arial" w:eastAsia="Arial" w:hAnsi="Arial"/>
          <w:color w:val="333333"/>
          <w:sz w:val="22"/>
          <w:szCs w:val="22"/>
        </w:rPr>
        <w:t xml:space="preserve">Customer provides their own OpenRouter API key</w:t>
      </w:r>
    </w:p>
    <w:p>
      <w:pPr>
        <w:pStyle w:val="ListParagraph"/>
        <w:numPr>
          <w:ilvl w:val="0"/>
          <w:numId w:val="2"/>
        </w:numPr>
        <w:spacing w:after="70"/>
      </w:pPr>
      <w:r>
        <w:rPr>
          <w:rFonts w:ascii="Arial" w:cs="Arial" w:eastAsia="Arial" w:hAnsi="Arial"/>
          <w:color w:val="333333"/>
          <w:sz w:val="22"/>
          <w:szCs w:val="22"/>
        </w:rPr>
        <w:t xml:space="preserve">Emails are sent to the LLM through OpenRouter’s API</w:t>
      </w:r>
    </w:p>
    <w:p>
      <w:pPr>
        <w:pStyle w:val="ListParagraph"/>
        <w:numPr>
          <w:ilvl w:val="0"/>
          <w:numId w:val="2"/>
        </w:numPr>
        <w:spacing w:after="70"/>
      </w:pPr>
      <w:r>
        <w:rPr>
          <w:rFonts w:ascii="Arial" w:cs="Arial" w:eastAsia="Arial" w:hAnsi="Arial"/>
          <w:color w:val="333333"/>
          <w:sz w:val="22"/>
          <w:szCs w:val="22"/>
        </w:rPr>
        <w:t xml:space="preserve">Customer chooses which model to use (Claude, GPT-4, Llama, etc.)</w:t>
      </w:r>
    </w:p>
    <w:p>
      <w:pPr>
        <w:pStyle w:val="ListParagraph"/>
        <w:numPr>
          <w:ilvl w:val="0"/>
          <w:numId w:val="2"/>
        </w:numPr>
        <w:spacing w:after="70"/>
      </w:pPr>
      <w:r>
        <w:rPr>
          <w:rFonts w:ascii="Arial" w:cs="Arial" w:eastAsia="Arial" w:hAnsi="Arial"/>
          <w:color w:val="333333"/>
          <w:sz w:val="22"/>
          <w:szCs w:val="22"/>
        </w:rPr>
        <w:t xml:space="preserve">Customer controls their own costs</w:t>
      </w:r>
    </w:p>
    <w:p>
      <w:pPr>
        <w:pStyle w:val="ListParagraph"/>
        <w:numPr>
          <w:ilvl w:val="0"/>
          <w:numId w:val="2"/>
        </w:numPr>
        <w:spacing w:after="70"/>
      </w:pPr>
      <w:r>
        <w:rPr>
          <w:rFonts w:ascii="Arial" w:cs="Arial" w:eastAsia="Arial" w:hAnsi="Arial"/>
          <w:color w:val="333333"/>
          <w:sz w:val="22"/>
          <w:szCs w:val="22"/>
        </w:rPr>
        <w:t xml:space="preserve">Data passes through OpenRouter’s servers (subject to their privacy policy)</w:t>
      </w:r>
    </w:p>
    <w:p>
      <w:pPr>
        <w:pStyle w:val="ListParagraph"/>
        <w:numPr>
          <w:ilvl w:val="0"/>
          <w:numId w:val="2"/>
        </w:numPr>
        <w:spacing w:after="70"/>
      </w:pPr>
      <w:r>
        <w:rPr>
          <w:rFonts w:ascii="Arial" w:cs="Arial" w:eastAsia="Arial" w:hAnsi="Arial"/>
          <w:color w:val="333333"/>
          <w:sz w:val="22"/>
          <w:szCs w:val="22"/>
        </w:rPr>
        <w:t xml:space="preserve">Best for: individual reps and small teams who want flexibility</w:t>
      </w:r>
    </w:p>
    <w:p>
      <w:pPr>
        <w:spacing w:after="80"/>
      </w:pPr>
    </w:p>
    <w:p>
      <w:pPr>
        <w:pStyle w:val="Heading3"/>
        <w:spacing w:before="300" w:after="150"/>
      </w:pPr>
      <w:r>
        <w:rPr>
          <w:rFonts w:ascii="Arial" w:cs="Arial" w:eastAsia="Arial" w:hAnsi="Arial"/>
        </w:rPr>
        <w:t xml:space="preserve">Option 2: Azure OpenAI (Customer’s Tenant)</w:t>
      </w:r>
    </w:p>
    <w:p>
      <w:pPr>
        <w:pStyle w:val="ListParagraph"/>
        <w:numPr>
          <w:ilvl w:val="0"/>
          <w:numId w:val="2"/>
        </w:numPr>
        <w:spacing w:after="70"/>
      </w:pPr>
      <w:r>
        <w:rPr>
          <w:rFonts w:ascii="Arial" w:cs="Arial" w:eastAsia="Arial" w:hAnsi="Arial"/>
          <w:color w:val="333333"/>
          <w:sz w:val="22"/>
          <w:szCs w:val="22"/>
        </w:rPr>
        <w:t xml:space="preserve">Enterprise customers deploy Azure OpenAI in their own Azure tenant</w:t>
      </w:r>
    </w:p>
    <w:p>
      <w:pPr>
        <w:pStyle w:val="ListParagraph"/>
        <w:numPr>
          <w:ilvl w:val="0"/>
          <w:numId w:val="2"/>
        </w:numPr>
        <w:spacing w:after="70"/>
      </w:pPr>
      <w:r>
        <w:rPr>
          <w:rFonts w:ascii="Arial" w:cs="Arial" w:eastAsia="Arial" w:hAnsi="Arial"/>
          <w:color w:val="333333"/>
          <w:sz w:val="22"/>
          <w:szCs w:val="22"/>
        </w:rPr>
        <w:t xml:space="preserve">Emails never leave their Azure environment</w:t>
      </w:r>
    </w:p>
    <w:p>
      <w:pPr>
        <w:pStyle w:val="ListParagraph"/>
        <w:numPr>
          <w:ilvl w:val="0"/>
          <w:numId w:val="2"/>
        </w:numPr>
        <w:spacing w:after="70"/>
      </w:pPr>
      <w:r>
        <w:rPr>
          <w:rFonts w:ascii="Arial" w:cs="Arial" w:eastAsia="Arial" w:hAnsi="Arial"/>
          <w:color w:val="333333"/>
          <w:sz w:val="22"/>
          <w:szCs w:val="22"/>
        </w:rPr>
        <w:t xml:space="preserve">Full data residency compliance (EU data stays in EU)</w:t>
      </w:r>
    </w:p>
    <w:p>
      <w:pPr>
        <w:pStyle w:val="ListParagraph"/>
        <w:numPr>
          <w:ilvl w:val="0"/>
          <w:numId w:val="2"/>
        </w:numPr>
        <w:spacing w:after="70"/>
      </w:pPr>
      <w:r>
        <w:rPr>
          <w:rFonts w:ascii="Arial" w:cs="Arial" w:eastAsia="Arial" w:hAnsi="Arial"/>
          <w:color w:val="333333"/>
          <w:sz w:val="22"/>
          <w:szCs w:val="22"/>
        </w:rPr>
        <w:t xml:space="preserve">Customer manages model deployment and scaling</w:t>
      </w:r>
    </w:p>
    <w:p>
      <w:pPr>
        <w:pStyle w:val="ListParagraph"/>
        <w:numPr>
          <w:ilvl w:val="0"/>
          <w:numId w:val="2"/>
        </w:numPr>
        <w:spacing w:after="70"/>
      </w:pPr>
      <w:r>
        <w:rPr>
          <w:rFonts w:ascii="Arial" w:cs="Arial" w:eastAsia="Arial" w:hAnsi="Arial"/>
          <w:color w:val="333333"/>
          <w:sz w:val="22"/>
          <w:szCs w:val="22"/>
        </w:rPr>
        <w:t xml:space="preserve">Best for: enterprise customers with Azure infrastructure</w:t>
      </w:r>
    </w:p>
    <w:p>
      <w:pPr>
        <w:spacing w:after="80"/>
      </w:pPr>
    </w:p>
    <w:p>
      <w:pPr>
        <w:pStyle w:val="Heading3"/>
        <w:spacing w:before="300" w:after="150"/>
      </w:pPr>
      <w:r>
        <w:rPr>
          <w:rFonts w:ascii="Arial" w:cs="Arial" w:eastAsia="Arial" w:hAnsi="Arial"/>
        </w:rPr>
        <w:t xml:space="preserve">Option 3: Local LLM (Ollama / LM Studio)</w:t>
      </w:r>
    </w:p>
    <w:p>
      <w:pPr>
        <w:pStyle w:val="ListParagraph"/>
        <w:numPr>
          <w:ilvl w:val="0"/>
          <w:numId w:val="2"/>
        </w:numPr>
        <w:spacing w:after="70"/>
      </w:pPr>
      <w:r>
        <w:rPr>
          <w:rFonts w:ascii="Arial" w:cs="Arial" w:eastAsia="Arial" w:hAnsi="Arial"/>
          <w:color w:val="333333"/>
          <w:sz w:val="22"/>
          <w:szCs w:val="22"/>
        </w:rPr>
        <w:t xml:space="preserve">LLM runs on the customer’s machine or server</w:t>
      </w:r>
    </w:p>
    <w:p>
      <w:pPr>
        <w:pStyle w:val="ListParagraph"/>
        <w:numPr>
          <w:ilvl w:val="0"/>
          <w:numId w:val="2"/>
        </w:numPr>
        <w:spacing w:after="70"/>
      </w:pPr>
      <w:r>
        <w:rPr>
          <w:rFonts w:ascii="Arial" w:cs="Arial" w:eastAsia="Arial" w:hAnsi="Arial"/>
          <w:color w:val="333333"/>
          <w:sz w:val="22"/>
          <w:szCs w:val="22"/>
        </w:rPr>
        <w:t xml:space="preserve">Zero data transmission — everything stays on the local device</w:t>
      </w:r>
    </w:p>
    <w:p>
      <w:pPr>
        <w:pStyle w:val="ListParagraph"/>
        <w:numPr>
          <w:ilvl w:val="0"/>
          <w:numId w:val="2"/>
        </w:numPr>
        <w:spacing w:after="70"/>
      </w:pPr>
      <w:r>
        <w:rPr>
          <w:rFonts w:ascii="Arial" w:cs="Arial" w:eastAsia="Arial" w:hAnsi="Arial"/>
          <w:color w:val="333333"/>
          <w:sz w:val="22"/>
          <w:szCs w:val="22"/>
        </w:rPr>
        <w:t xml:space="preserve">Models: Llama 3.1 70B, Mistral Large, Qwen 2.5 72B</w:t>
      </w:r>
    </w:p>
    <w:p>
      <w:pPr>
        <w:pStyle w:val="ListParagraph"/>
        <w:numPr>
          <w:ilvl w:val="0"/>
          <w:numId w:val="2"/>
        </w:numPr>
        <w:spacing w:after="70"/>
      </w:pPr>
      <w:r>
        <w:rPr>
          <w:rFonts w:ascii="Arial" w:cs="Arial" w:eastAsia="Arial" w:hAnsi="Arial"/>
          <w:color w:val="333333"/>
          <w:sz w:val="22"/>
          <w:szCs w:val="22"/>
        </w:rPr>
        <w:t xml:space="preserve">Requires significant local compute (32GB+ RAM, GPU recommended)</w:t>
      </w:r>
    </w:p>
    <w:p>
      <w:pPr>
        <w:pStyle w:val="ListParagraph"/>
        <w:numPr>
          <w:ilvl w:val="0"/>
          <w:numId w:val="2"/>
        </w:numPr>
        <w:spacing w:after="70"/>
      </w:pPr>
      <w:r>
        <w:rPr>
          <w:rFonts w:ascii="Arial" w:cs="Arial" w:eastAsia="Arial" w:hAnsi="Arial"/>
          <w:color w:val="333333"/>
          <w:sz w:val="22"/>
          <w:szCs w:val="22"/>
        </w:rPr>
        <w:t xml:space="preserve">Best for: maximum privacy customers, air-gapped environments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OUR RECOMMENDATION</w:t>
            </w:r>
          </w:p>
          <w:p>
            <w:r>
              <w:rPr>
                <w:rFonts w:ascii="Arial" w:cs="Arial" w:eastAsia="Arial" w:hAnsi="Arial"/>
                <w:color w:val="333333"/>
                <w:sz w:val="21"/>
                <w:szCs w:val="21"/>
              </w:rPr>
              <w:t xml:space="preserve">Default to OpenRouter with the customer’s key for individual users (lowest friction). Offer Azure OpenAI for enterprise deployments. Local LLM for government, defense, and regulated industries. The ClearSignals agent is LLM-agnostic — it sends the same prompts regardless of which model processes them.</w:t>
            </w:r>
          </w:p>
        </w:tc>
      </w:tr>
    </w:tbl>
    <w:p>
      <w:r>
        <w:br w:type="page"/>
      </w:r>
    </w:p>
    <w:p>
      <w:pPr>
        <w:pStyle w:val="Heading1"/>
        <w:spacing w:before="300" w:after="150"/>
      </w:pPr>
      <w:r>
        <w:rPr>
          <w:rFonts w:ascii="Arial" w:cs="Arial" w:eastAsia="Arial" w:hAnsi="Arial"/>
        </w:rPr>
        <w:t xml:space="preserve">7. Phased Build Roadmap</w:t>
      </w:r>
    </w:p>
    <w:p>
      <w:pPr>
        <w:pBdr>
          <w:bottom w:val="single" w:color="C9A84C" w:sz="6" w:space="1"/>
        </w:pBdr>
        <w:spacing w:before="200" w:after="200"/>
      </w:pPr>
    </w:p>
    <w:p>
      <w:pPr>
        <w:spacing w:after="80"/>
      </w:pPr>
    </w:p>
    <w:p>
      <w:pPr>
        <w:pStyle w:val="Heading2"/>
        <w:spacing w:before="300" w:after="150"/>
      </w:pPr>
      <w:r>
        <w:rPr>
          <w:rFonts w:ascii="Arial" w:cs="Arial" w:eastAsia="Arial" w:hAnsi="Arial"/>
        </w:rPr>
        <w:t xml:space="preserve">Phase 1: Web MVP + Paste (Now)</w:t>
      </w:r>
    </w:p>
    <w:p>
      <w:pPr>
        <w:pStyle w:val="ListParagraph"/>
        <w:numPr>
          <w:ilvl w:val="0"/>
          <w:numId w:val="2"/>
        </w:numPr>
        <w:spacing w:after="70"/>
      </w:pPr>
      <w:r>
        <w:rPr>
          <w:rFonts w:ascii="Arial" w:cs="Arial" w:eastAsia="Arial" w:hAnsi="Arial"/>
          <w:color w:val="333333"/>
          <w:sz w:val="22"/>
          <w:szCs w:val="22"/>
        </w:rPr>
        <w:t xml:space="preserve">Browser-based analysis via Claude.ai artifact</w:t>
      </w:r>
    </w:p>
    <w:p>
      <w:pPr>
        <w:pStyle w:val="ListParagraph"/>
        <w:numPr>
          <w:ilvl w:val="0"/>
          <w:numId w:val="2"/>
        </w:numPr>
        <w:spacing w:after="70"/>
      </w:pPr>
      <w:r>
        <w:rPr>
          <w:rFonts w:ascii="Arial" w:cs="Arial" w:eastAsia="Arial" w:hAnsi="Arial"/>
          <w:color w:val="333333"/>
          <w:sz w:val="22"/>
          <w:szCs w:val="22"/>
        </w:rPr>
        <w:t xml:space="preserve">Paste an email thread, get instant analysis</w:t>
      </w:r>
    </w:p>
    <w:p>
      <w:pPr>
        <w:pStyle w:val="ListParagraph"/>
        <w:numPr>
          <w:ilvl w:val="0"/>
          <w:numId w:val="2"/>
        </w:numPr>
        <w:spacing w:after="70"/>
      </w:pPr>
      <w:r>
        <w:rPr>
          <w:rFonts w:ascii="Arial" w:cs="Arial" w:eastAsia="Arial" w:hAnsi="Arial"/>
          <w:color w:val="333333"/>
          <w:sz w:val="22"/>
          <w:szCs w:val="22"/>
        </w:rPr>
        <w:t xml:space="preserve">Upload test database JSON, run against test data</w:t>
      </w:r>
    </w:p>
    <w:p>
      <w:pPr>
        <w:pStyle w:val="ListParagraph"/>
        <w:numPr>
          <w:ilvl w:val="0"/>
          <w:numId w:val="2"/>
        </w:numPr>
        <w:spacing w:after="70"/>
      </w:pPr>
      <w:r>
        <w:rPr>
          <w:rFonts w:ascii="Arial" w:cs="Arial" w:eastAsia="Arial" w:hAnsi="Arial"/>
          <w:color w:val="333333"/>
          <w:sz w:val="22"/>
          <w:szCs w:val="22"/>
        </w:rPr>
        <w:t xml:space="preserve">Purpose: validate detection quality, demo to investors</w:t>
      </w:r>
    </w:p>
    <w:p>
      <w:pPr>
        <w:pStyle w:val="ListParagraph"/>
        <w:numPr>
          <w:ilvl w:val="0"/>
          <w:numId w:val="2"/>
        </w:numPr>
        <w:spacing w:after="70"/>
      </w:pPr>
      <w:r>
        <w:rPr>
          <w:rFonts w:ascii="Arial" w:cs="Arial" w:eastAsia="Arial" w:hAnsi="Arial"/>
          <w:color w:val="333333"/>
          <w:sz w:val="22"/>
          <w:szCs w:val="22"/>
        </w:rPr>
        <w:t xml:space="preserve">Timeline: built</w:t>
      </w:r>
    </w:p>
    <w:p>
      <w:pPr>
        <w:spacing w:after="80"/>
      </w:pPr>
    </w:p>
    <w:p>
      <w:pPr>
        <w:pStyle w:val="Heading2"/>
        <w:spacing w:before="300" w:after="150"/>
      </w:pPr>
      <w:r>
        <w:rPr>
          <w:rFonts w:ascii="Arial" w:cs="Arial" w:eastAsia="Arial" w:hAnsi="Arial"/>
        </w:rPr>
        <w:t xml:space="preserve">Phase 2: Desktop Agent (Month 1-2)</w:t>
      </w:r>
    </w:p>
    <w:p>
      <w:pPr>
        <w:pStyle w:val="ListParagraph"/>
        <w:numPr>
          <w:ilvl w:val="0"/>
          <w:numId w:val="2"/>
        </w:numPr>
        <w:spacing w:after="70"/>
      </w:pPr>
      <w:r>
        <w:rPr>
          <w:rFonts w:ascii="Arial" w:cs="Arial" w:eastAsia="Arial" w:hAnsi="Arial"/>
          <w:color w:val="333333"/>
          <w:sz w:val="22"/>
          <w:szCs w:val="22"/>
        </w:rPr>
        <w:t xml:space="preserve">Electron app with PST/OST file support (via pypff/libpff)</w:t>
      </w:r>
    </w:p>
    <w:p>
      <w:pPr>
        <w:pStyle w:val="ListParagraph"/>
        <w:numPr>
          <w:ilvl w:val="0"/>
          <w:numId w:val="2"/>
        </w:numPr>
        <w:spacing w:after="70"/>
      </w:pPr>
      <w:r>
        <w:rPr>
          <w:rFonts w:ascii="Arial" w:cs="Arial" w:eastAsia="Arial" w:hAnsi="Arial"/>
          <w:color w:val="333333"/>
          <w:sz w:val="22"/>
          <w:szCs w:val="22"/>
        </w:rPr>
        <w:t xml:space="preserve">IMAP connection for Gmail and other providers</w:t>
      </w:r>
    </w:p>
    <w:p>
      <w:pPr>
        <w:pStyle w:val="ListParagraph"/>
        <w:numPr>
          <w:ilvl w:val="0"/>
          <w:numId w:val="2"/>
        </w:numPr>
        <w:spacing w:after="70"/>
      </w:pPr>
      <w:r>
        <w:rPr>
          <w:rFonts w:ascii="Arial" w:cs="Arial" w:eastAsia="Arial" w:hAnsi="Arial"/>
          <w:color w:val="333333"/>
          <w:sz w:val="22"/>
          <w:szCs w:val="22"/>
        </w:rPr>
        <w:t xml:space="preserve">OpenRouter integration with user’s API key</w:t>
      </w:r>
    </w:p>
    <w:p>
      <w:pPr>
        <w:pStyle w:val="ListParagraph"/>
        <w:numPr>
          <w:ilvl w:val="0"/>
          <w:numId w:val="2"/>
        </w:numPr>
        <w:spacing w:after="70"/>
      </w:pPr>
      <w:r>
        <w:rPr>
          <w:rFonts w:ascii="Arial" w:cs="Arial" w:eastAsia="Arial" w:hAnsi="Arial"/>
          <w:color w:val="333333"/>
          <w:sz w:val="22"/>
          <w:szCs w:val="22"/>
        </w:rPr>
        <w:t xml:space="preserve">Local profile storage (SQLite)</w:t>
      </w:r>
    </w:p>
    <w:p>
      <w:pPr>
        <w:pStyle w:val="ListParagraph"/>
        <w:numPr>
          <w:ilvl w:val="0"/>
          <w:numId w:val="2"/>
        </w:numPr>
        <w:spacing w:after="70"/>
      </w:pPr>
      <w:r>
        <w:rPr>
          <w:rFonts w:ascii="Arial" w:cs="Arial" w:eastAsia="Arial" w:hAnsi="Arial"/>
          <w:color w:val="333333"/>
          <w:sz w:val="22"/>
          <w:szCs w:val="22"/>
        </w:rPr>
        <w:t xml:space="preserve">One-click profile export to ClearSignals Cloud</w:t>
      </w:r>
    </w:p>
    <w:p>
      <w:pPr>
        <w:pStyle w:val="ListParagraph"/>
        <w:numPr>
          <w:ilvl w:val="0"/>
          <w:numId w:val="2"/>
        </w:numPr>
        <w:spacing w:after="70"/>
      </w:pPr>
      <w:r>
        <w:rPr>
          <w:rFonts w:ascii="Arial" w:cs="Arial" w:eastAsia="Arial" w:hAnsi="Arial"/>
          <w:color w:val="333333"/>
          <w:sz w:val="22"/>
          <w:szCs w:val="22"/>
        </w:rPr>
        <w:t xml:space="preserve">Purpose: first real users, collect feedback, validate privacy model</w:t>
      </w:r>
    </w:p>
    <w:p>
      <w:pPr>
        <w:spacing w:after="80"/>
      </w:pPr>
    </w:p>
    <w:p>
      <w:pPr>
        <w:pStyle w:val="Heading2"/>
        <w:spacing w:before="300" w:after="150"/>
      </w:pPr>
      <w:r>
        <w:rPr>
          <w:rFonts w:ascii="Arial" w:cs="Arial" w:eastAsia="Arial" w:hAnsi="Arial"/>
        </w:rPr>
        <w:t xml:space="preserve">Phase 3: Outlook Add-in (Month 2-3)</w:t>
      </w:r>
    </w:p>
    <w:p>
      <w:pPr>
        <w:pStyle w:val="ListParagraph"/>
        <w:numPr>
          <w:ilvl w:val="0"/>
          <w:numId w:val="2"/>
        </w:numPr>
        <w:spacing w:after="70"/>
      </w:pPr>
      <w:r>
        <w:rPr>
          <w:rFonts w:ascii="Arial" w:cs="Arial" w:eastAsia="Arial" w:hAnsi="Arial"/>
          <w:color w:val="333333"/>
          <w:sz w:val="22"/>
          <w:szCs w:val="22"/>
        </w:rPr>
        <w:t xml:space="preserve">Office Add-in for Outlook (Web + Desktop)</w:t>
      </w:r>
    </w:p>
    <w:p>
      <w:pPr>
        <w:pStyle w:val="ListParagraph"/>
        <w:numPr>
          <w:ilvl w:val="0"/>
          <w:numId w:val="2"/>
        </w:numPr>
        <w:spacing w:after="70"/>
      </w:pPr>
      <w:r>
        <w:rPr>
          <w:rFonts w:ascii="Arial" w:cs="Arial" w:eastAsia="Arial" w:hAnsi="Arial"/>
          <w:color w:val="333333"/>
          <w:sz w:val="22"/>
          <w:szCs w:val="22"/>
        </w:rPr>
        <w:t xml:space="preserve">One-click analysis of current email/thread</w:t>
      </w:r>
    </w:p>
    <w:p>
      <w:pPr>
        <w:pStyle w:val="ListParagraph"/>
        <w:numPr>
          <w:ilvl w:val="0"/>
          <w:numId w:val="2"/>
        </w:numPr>
        <w:spacing w:after="70"/>
      </w:pPr>
      <w:r>
        <w:rPr>
          <w:rFonts w:ascii="Arial" w:cs="Arial" w:eastAsia="Arial" w:hAnsi="Arial"/>
          <w:color w:val="333333"/>
          <w:sz w:val="22"/>
          <w:szCs w:val="22"/>
        </w:rPr>
        <w:t xml:space="preserve">Sidebar shows real-time RYG scoring as user reads email</w:t>
      </w:r>
    </w:p>
    <w:p>
      <w:pPr>
        <w:pStyle w:val="ListParagraph"/>
        <w:numPr>
          <w:ilvl w:val="0"/>
          <w:numId w:val="2"/>
        </w:numPr>
        <w:spacing w:after="70"/>
      </w:pPr>
      <w:r>
        <w:rPr>
          <w:rFonts w:ascii="Arial" w:cs="Arial" w:eastAsia="Arial" w:hAnsi="Arial"/>
          <w:color w:val="333333"/>
          <w:sz w:val="22"/>
          <w:szCs w:val="22"/>
        </w:rPr>
        <w:t xml:space="preserve">Folder scan mode for bulk profile building</w:t>
      </w:r>
    </w:p>
    <w:p>
      <w:pPr>
        <w:pStyle w:val="ListParagraph"/>
        <w:numPr>
          <w:ilvl w:val="0"/>
          <w:numId w:val="2"/>
        </w:numPr>
        <w:spacing w:after="70"/>
      </w:pPr>
      <w:r>
        <w:rPr>
          <w:rFonts w:ascii="Arial" w:cs="Arial" w:eastAsia="Arial" w:hAnsi="Arial"/>
          <w:color w:val="333333"/>
          <w:sz w:val="22"/>
          <w:szCs w:val="22"/>
        </w:rPr>
        <w:t xml:space="preserve">Purpose: lowest-friction entry point, Microsoft 365 market</w:t>
      </w:r>
    </w:p>
    <w:p>
      <w:pPr>
        <w:spacing w:after="80"/>
      </w:pPr>
    </w:p>
    <w:p>
      <w:pPr>
        <w:pStyle w:val="Heading2"/>
        <w:spacing w:before="300" w:after="150"/>
      </w:pPr>
      <w:r>
        <w:rPr>
          <w:rFonts w:ascii="Arial" w:cs="Arial" w:eastAsia="Arial" w:hAnsi="Arial"/>
        </w:rPr>
        <w:t xml:space="preserve">Phase 4: Server Agent (Month 3-5)</w:t>
      </w:r>
    </w:p>
    <w:p>
      <w:pPr>
        <w:pStyle w:val="ListParagraph"/>
        <w:numPr>
          <w:ilvl w:val="0"/>
          <w:numId w:val="2"/>
        </w:numPr>
        <w:spacing w:after="70"/>
      </w:pPr>
      <w:r>
        <w:rPr>
          <w:rFonts w:ascii="Arial" w:cs="Arial" w:eastAsia="Arial" w:hAnsi="Arial"/>
          <w:color w:val="333333"/>
          <w:sz w:val="22"/>
          <w:szCs w:val="22"/>
        </w:rPr>
        <w:t xml:space="preserve">Docker container for enterprise deployment</w:t>
      </w:r>
    </w:p>
    <w:p>
      <w:pPr>
        <w:pStyle w:val="ListParagraph"/>
        <w:numPr>
          <w:ilvl w:val="0"/>
          <w:numId w:val="2"/>
        </w:numPr>
        <w:spacing w:after="70"/>
      </w:pPr>
      <w:r>
        <w:rPr>
          <w:rFonts w:ascii="Arial" w:cs="Arial" w:eastAsia="Arial" w:hAnsi="Arial"/>
          <w:color w:val="333333"/>
          <w:sz w:val="22"/>
          <w:szCs w:val="22"/>
        </w:rPr>
        <w:t xml:space="preserve">Exchange/Graph API connectors</w:t>
      </w:r>
    </w:p>
    <w:p>
      <w:pPr>
        <w:pStyle w:val="ListParagraph"/>
        <w:numPr>
          <w:ilvl w:val="0"/>
          <w:numId w:val="2"/>
        </w:numPr>
        <w:spacing w:after="70"/>
      </w:pPr>
      <w:r>
        <w:rPr>
          <w:rFonts w:ascii="Arial" w:cs="Arial" w:eastAsia="Arial" w:hAnsi="Arial"/>
          <w:color w:val="333333"/>
          <w:sz w:val="22"/>
          <w:szCs w:val="22"/>
        </w:rPr>
        <w:t xml:space="preserve">Scheduled batch processing (nightly, weekly)</w:t>
      </w:r>
    </w:p>
    <w:p>
      <w:pPr>
        <w:pStyle w:val="ListParagraph"/>
        <w:numPr>
          <w:ilvl w:val="0"/>
          <w:numId w:val="2"/>
        </w:numPr>
        <w:spacing w:after="70"/>
      </w:pPr>
      <w:r>
        <w:rPr>
          <w:rFonts w:ascii="Arial" w:cs="Arial" w:eastAsia="Arial" w:hAnsi="Arial"/>
          <w:color w:val="333333"/>
          <w:sz w:val="22"/>
          <w:szCs w:val="22"/>
        </w:rPr>
        <w:t xml:space="preserve">Admin dashboard for IT teams</w:t>
      </w:r>
    </w:p>
    <w:p>
      <w:pPr>
        <w:pStyle w:val="ListParagraph"/>
        <w:numPr>
          <w:ilvl w:val="0"/>
          <w:numId w:val="2"/>
        </w:numPr>
        <w:spacing w:after="70"/>
      </w:pPr>
      <w:r>
        <w:rPr>
          <w:rFonts w:ascii="Arial" w:cs="Arial" w:eastAsia="Arial" w:hAnsi="Arial"/>
          <w:color w:val="333333"/>
          <w:sz w:val="22"/>
          <w:szCs w:val="22"/>
        </w:rPr>
        <w:t xml:space="preserve">Azure OpenAI / local LLM support</w:t>
      </w:r>
    </w:p>
    <w:p>
      <w:pPr>
        <w:pStyle w:val="ListParagraph"/>
        <w:numPr>
          <w:ilvl w:val="0"/>
          <w:numId w:val="2"/>
        </w:numPr>
        <w:spacing w:after="70"/>
      </w:pPr>
      <w:r>
        <w:rPr>
          <w:rFonts w:ascii="Arial" w:cs="Arial" w:eastAsia="Arial" w:hAnsi="Arial"/>
          <w:color w:val="333333"/>
          <w:sz w:val="22"/>
          <w:szCs w:val="22"/>
        </w:rPr>
        <w:t xml:space="preserve">Purpose: enterprise customers, team-wide deployment</w:t>
      </w:r>
    </w:p>
    <w:p>
      <w:pPr>
        <w:spacing w:after="80"/>
      </w:pPr>
    </w:p>
    <w:p>
      <w:pPr>
        <w:pStyle w:val="Heading2"/>
        <w:spacing w:before="300" w:after="150"/>
      </w:pPr>
      <w:r>
        <w:rPr>
          <w:rFonts w:ascii="Arial" w:cs="Arial" w:eastAsia="Arial" w:hAnsi="Arial"/>
        </w:rPr>
        <w:t xml:space="preserve">Phase 5: Cloud Dashboard (Month 2-4, parallel)</w:t>
      </w:r>
    </w:p>
    <w:p>
      <w:pPr>
        <w:pStyle w:val="ListParagraph"/>
        <w:numPr>
          <w:ilvl w:val="0"/>
          <w:numId w:val="2"/>
        </w:numPr>
        <w:spacing w:after="70"/>
      </w:pPr>
      <w:r>
        <w:rPr>
          <w:rFonts w:ascii="Arial" w:cs="Arial" w:eastAsia="Arial" w:hAnsi="Arial"/>
          <w:color w:val="333333"/>
          <w:sz w:val="22"/>
          <w:szCs w:val="22"/>
        </w:rPr>
        <w:t xml:space="preserve">Web dashboard consuming interaction profiles</w:t>
      </w:r>
    </w:p>
    <w:p>
      <w:pPr>
        <w:pStyle w:val="ListParagraph"/>
        <w:numPr>
          <w:ilvl w:val="0"/>
          <w:numId w:val="2"/>
        </w:numPr>
        <w:spacing w:after="70"/>
      </w:pPr>
      <w:r>
        <w:rPr>
          <w:rFonts w:ascii="Arial" w:cs="Arial" w:eastAsia="Arial" w:hAnsi="Arial"/>
          <w:color w:val="333333"/>
          <w:sz w:val="22"/>
          <w:szCs w:val="22"/>
        </w:rPr>
        <w:t xml:space="preserve">Cross-contact views, team analytics, trend reporting</w:t>
      </w:r>
    </w:p>
    <w:p>
      <w:pPr>
        <w:pStyle w:val="ListParagraph"/>
        <w:numPr>
          <w:ilvl w:val="0"/>
          <w:numId w:val="2"/>
        </w:numPr>
        <w:spacing w:after="70"/>
      </w:pPr>
      <w:r>
        <w:rPr>
          <w:rFonts w:ascii="Arial" w:cs="Arial" w:eastAsia="Arial" w:hAnsi="Arial"/>
          <w:color w:val="333333"/>
          <w:sz w:val="22"/>
          <w:szCs w:val="22"/>
        </w:rPr>
        <w:t xml:space="preserve">Coaching queue (prioritized by signal severity)</w:t>
      </w:r>
    </w:p>
    <w:p>
      <w:pPr>
        <w:pStyle w:val="ListParagraph"/>
        <w:numPr>
          <w:ilvl w:val="0"/>
          <w:numId w:val="2"/>
        </w:numPr>
        <w:spacing w:after="70"/>
      </w:pPr>
      <w:r>
        <w:rPr>
          <w:rFonts w:ascii="Arial" w:cs="Arial" w:eastAsia="Arial" w:hAnsi="Arial"/>
          <w:color w:val="333333"/>
          <w:sz w:val="22"/>
          <w:szCs w:val="22"/>
        </w:rPr>
        <w:t xml:space="preserve">Competitive intelligence aggregation (anonymized across customers)</w:t>
      </w:r>
    </w:p>
    <w:p>
      <w:pPr>
        <w:pStyle w:val="ListParagraph"/>
        <w:numPr>
          <w:ilvl w:val="0"/>
          <w:numId w:val="2"/>
        </w:numPr>
        <w:spacing w:after="70"/>
      </w:pPr>
      <w:r>
        <w:rPr>
          <w:rFonts w:ascii="Arial" w:cs="Arial" w:eastAsia="Arial" w:hAnsi="Arial"/>
          <w:color w:val="333333"/>
          <w:sz w:val="22"/>
          <w:szCs w:val="22"/>
        </w:rPr>
        <w:t xml:space="preserve">API for CRM integration (Salesforce, HubSpot)</w:t>
      </w:r>
    </w:p>
    <w:p>
      <w:pPr>
        <w:pStyle w:val="ListParagraph"/>
        <w:numPr>
          <w:ilvl w:val="0"/>
          <w:numId w:val="2"/>
        </w:numPr>
        <w:spacing w:after="70"/>
      </w:pPr>
      <w:r>
        <w:rPr>
          <w:rFonts w:ascii="Arial" w:cs="Arial" w:eastAsia="Arial" w:hAnsi="Arial"/>
          <w:color w:val="333333"/>
          <w:sz w:val="22"/>
          <w:szCs w:val="22"/>
        </w:rPr>
        <w:t xml:space="preserve">Purpose: the recurring revenue product</w:t>
      </w:r>
    </w:p>
    <w:p>
      <w:r>
        <w:br w:type="page"/>
      </w:r>
    </w:p>
    <w:p>
      <w:pPr>
        <w:pStyle w:val="Heading1"/>
        <w:spacing w:before="300" w:after="150"/>
      </w:pPr>
      <w:r>
        <w:rPr>
          <w:rFonts w:ascii="Arial" w:cs="Arial" w:eastAsia="Arial" w:hAnsi="Arial"/>
        </w:rPr>
        <w:t xml:space="preserve">8. What We Actually Sell</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The Local Agent is free. The Cloud Dashboard is the subscription.</w:t>
      </w:r>
    </w:p>
    <w:p>
      <w:pPr>
        <w:spacing w:after="80"/>
      </w:pPr>
    </w:p>
    <w:p>
      <w:pPr>
        <w:spacing w:after="140"/>
      </w:pPr>
      <w:r>
        <w:rPr>
          <w:rFonts w:ascii="Arial" w:cs="Arial" w:eastAsia="Arial" w:hAnsi="Arial"/>
          <w:b w:val="false"/>
          <w:bCs w:val="false"/>
          <w:i w:val="false"/>
          <w:iCs w:val="false"/>
          <w:color w:val="333333"/>
          <w:sz w:val="22"/>
          <w:szCs w:val="22"/>
        </w:rPr>
        <w:t xml:space="preserve">This is the Dropbox model: the sync client is free, the storage is the product. In our case, the email processor is free, the intelligence layer is the product. Customers get the agent for free, process their own emails, keep their own data. They pay for the cloud dashboard that turns those anonymized profiles into actionable intelligence, team-wide visibility, and predictive deal scoring.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Free Agent</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($49/user/mo)</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Enterprise (custom)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Email Processing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Profile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Local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Cloud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Team Views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Predictive Scoring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Server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CRM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Custom LLM Support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OpenRouter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 (Azure, local)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THE PITCH</w:t>
            </w:r>
          </w:p>
          <w:p>
            <w:r>
              <w:rPr>
                <w:rFonts w:ascii="Arial" w:cs="Arial" w:eastAsia="Arial" w:hAnsi="Arial"/>
                <w:color w:val="333333"/>
                <w:sz w:val="21"/>
                <w:szCs w:val="21"/>
              </w:rPr>
              <w:t xml:space="preserve">ClearSignals is the only sales intelligence platform where your emails never leave your building. Process locally, score globally, predict accurately — without exposing a single word of your communication to anyone.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B192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2026-02-22T18:52:15.245Z</dcterms:created>
  <dcterms:modified xsi:type="dcterms:W3CDTF">2026-02-22T18:52:15.246Z</dcterms:modified>
</cp:coreProperties>
</file>

<file path=docProps/custom.xml><?xml version="1.0" encoding="utf-8"?>
<Properties xmlns="http://schemas.openxmlformats.org/officeDocument/2006/custom-properties" xmlns:vt="http://schemas.openxmlformats.org/officeDocument/2006/docPropsVTypes"/>
</file>