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DRiX Channel: Pricing Philosophy</w:t>
      </w:r>
    </w:p>
    <w:p>
      <w:pPr>
        <w:spacing w:after="160" w:line="276"/>
      </w:pPr>
      <w:r>
        <w:rPr>
          <w:i/>
          <w:iCs/>
          <w:color w:val="5A6B75"/>
        </w:rPr>
        <w:t xml:space="preserve">How we price. Not what we charge. The numbers never live on this page. They live in the report.</w:t>
      </w:r>
    </w:p>
    <w:p>
      <w:pPr>
        <w:pStyle w:val="Heading1"/>
      </w:pPr>
      <w:r>
        <w:t xml:space="preserve">The first principle</w:t>
      </w:r>
    </w:p>
    <w:p>
      <w:pPr>
        <w:spacing w:after="160" w:line="276"/>
      </w:pPr>
      <w:r>
        <w:rPr>
          <w:i w:val="false"/>
          <w:iCs w:val="false"/>
        </w:rPr>
        <w:t xml:space="preserve">We do not price a solution until we know what it is.</w:t>
      </w:r>
    </w:p>
    <w:p>
      <w:pPr>
        <w:spacing w:after="160" w:line="276"/>
      </w:pPr>
      <w:r>
        <w:rPr>
          <w:i w:val="false"/>
          <w:iCs w:val="false"/>
        </w:rPr>
        <w:t xml:space="preserve">Price is not a property of a tier. Price is a property of a specific solution, scoped to a specific business. Until a real company is read and a real solution is named, there is no number to give, and we do not invent one. Anyone who quotes before the report is guessing, and guessing is the thing this model exists to kill.</w:t>
      </w:r>
    </w:p>
    <w:p>
      <w:pPr>
        <w:spacing w:after="160" w:line="276"/>
      </w:pPr>
      <w:r>
        <w:rPr>
          <w:i w:val="false"/>
          <w:iCs w:val="false"/>
        </w:rPr>
        <w:t xml:space="preserve">Everything below is a rule. None of it is a price.</w:t>
      </w:r>
    </w:p>
    <w:p>
      <w:pPr>
        <w:pStyle w:val="Heading1"/>
      </w:pPr>
      <w:r>
        <w:t xml:space="preserve">Where a price comes from</w:t>
      </w:r>
    </w:p>
    <w:p>
      <w:pPr>
        <w:spacing w:after="160" w:line="276"/>
      </w:pPr>
      <w:r>
        <w:rPr>
          <w:i w:val="false"/>
          <w:iCs w:val="false"/>
        </w:rPr>
        <w:t xml:space="preserve">A price is the last thing that happens, not the first.</w:t>
      </w:r>
    </w:p>
    <w:p>
      <w:pPr>
        <w:pStyle w:val="ListParagraph"/>
        <w:numPr>
          <w:ilvl w:val="0"/>
          <w:numId w:val="2"/>
        </w:numPr>
        <w:spacing w:after="80" w:line="276"/>
      </w:pPr>
      <w:r>
        <w:t xml:space="preserve">A company goes into the engine.</w:t>
      </w:r>
    </w:p>
    <w:p>
      <w:pPr>
        <w:pStyle w:val="ListParagraph"/>
        <w:numPr>
          <w:ilvl w:val="0"/>
          <w:numId w:val="2"/>
        </w:numPr>
        <w:spacing w:after="80" w:line="276"/>
      </w:pPr>
      <w:r>
        <w:t xml:space="preserve">The engine returns up to ten possible solutions, each scoped to that business.</w:t>
      </w:r>
    </w:p>
    <w:p>
      <w:pPr>
        <w:pStyle w:val="ListParagraph"/>
        <w:numPr>
          <w:ilvl w:val="0"/>
          <w:numId w:val="2"/>
        </w:numPr>
        <w:spacing w:after="80" w:line="276"/>
      </w:pPr>
      <w:r>
        <w:t xml:space="preserve">Each solution carries its own indicative range, because each one is a different amount of work. Solution one and solution seven are not the same build, so they are not the same price.</w:t>
      </w:r>
    </w:p>
    <w:p>
      <w:pPr>
        <w:pStyle w:val="ListParagraph"/>
        <w:numPr>
          <w:ilvl w:val="0"/>
          <w:numId w:val="2"/>
        </w:numPr>
        <w:spacing w:after="80" w:line="276"/>
      </w:pPr>
      <w:r>
        <w:t xml:space="preserve">The range stays indicative until we understand the company's systems, data, and integration count well enough to make it firm.</w:t>
      </w:r>
    </w:p>
    <w:p>
      <w:pPr>
        <w:spacing w:after="160" w:line="276"/>
      </w:pPr>
      <w:r>
        <w:rPr>
          <w:i w:val="false"/>
          <w:iCs w:val="false"/>
        </w:rPr>
        <w:t xml:space="preserve">No company, no solutions. No solutions, no prices. The report unlocks pricing, and nothing before it does.</w:t>
      </w:r>
    </w:p>
    <w:p>
      <w:pPr>
        <w:pStyle w:val="Heading1"/>
      </w:pPr>
      <w:r>
        <w:t xml:space="preserve">What drives the number</w:t>
      </w:r>
    </w:p>
    <w:p>
      <w:pPr>
        <w:spacing w:after="160" w:line="276"/>
      </w:pPr>
      <w:r>
        <w:rPr>
          <w:i w:val="false"/>
          <w:iCs w:val="false"/>
        </w:rPr>
        <w:t xml:space="preserve">Effort drives the number. The engine already tags every solution by effort, and effort is the price driver. Heavier build, higher range. Lighter build, lower range. The price rides on the work, not on a wish.</w:t>
      </w:r>
    </w:p>
    <w:p>
      <w:pPr>
        <w:spacing w:after="160" w:line="276"/>
      </w:pPr>
      <w:r>
        <w:rPr>
          <w:i w:val="false"/>
          <w:iCs w:val="false"/>
        </w:rPr>
        <w:t xml:space="preserve">The largest swing inside any single solution is integration count and data state. A solution that touches one clean system and a solution that touches four messy ones are the same idea at very different prices. That swing is normal, and we make it visible rather than burying it.</w:t>
      </w:r>
    </w:p>
    <w:p>
      <w:pPr>
        <w:pStyle w:val="Heading1"/>
      </w:pPr>
      <w:r>
        <w:t xml:space="preserve">The rules by tier</w:t>
      </w:r>
    </w:p>
    <w:p>
      <w:pPr>
        <w:spacing w:after="120" w:line="276"/>
      </w:pPr>
      <w:r>
        <w:rPr>
          <w:b/>
          <w:bCs/>
        </w:rPr>
        <w:t xml:space="preserve">Tier 1, Business Basics.  </w:t>
      </w:r>
      <w:r>
        <w:t xml:space="preserve">A flat monthly subscription. This is a product, not a build, so it carries no project price. Setup is one month's fee. Nothing more up front.</w:t>
      </w:r>
    </w:p>
    <w:p>
      <w:pPr>
        <w:spacing w:after="120" w:line="276"/>
      </w:pPr>
      <w:r>
        <w:rPr>
          <w:b/>
          <w:bCs/>
        </w:rPr>
        <w:t xml:space="preserve">Tier 2, Advanced Solutions.  </w:t>
      </w:r>
      <w:r>
        <w:t xml:space="preserve">A committed annual contract, paid over twelve months. The full year is owed at signature. The customer is not buying month to month and cannot exit the term without paying it. Setup is one month's fee. Term length earns the discount: one, two, or three years, with the longer commitment carrying the lower monthly. Every Tier 2 price is per solution, set by the report, never by the tier.</w:t>
      </w:r>
    </w:p>
    <w:p>
      <w:pPr>
        <w:spacing w:after="120" w:line="276"/>
      </w:pPr>
      <w:r>
        <w:rPr>
          <w:b/>
          <w:bCs/>
        </w:rPr>
        <w:t xml:space="preserve">Tier 3, Custom Integration.  </w:t>
      </w:r>
      <w:r>
        <w:t xml:space="preserve">Quoted only after discovery. Never priced cold. This tier wires into the customer's core systems, and that work cannot be priced from the outside. Discovery is the gate, and the gate comes first.</w:t>
      </w:r>
    </w:p>
    <w:p>
      <w:pPr>
        <w:pStyle w:val="Heading1"/>
      </w:pPr>
      <w:r>
        <w:t xml:space="preserve">Maintenance</w:t>
      </w:r>
    </w:p>
    <w:p>
      <w:pPr>
        <w:spacing w:after="160" w:line="276"/>
      </w:pPr>
      <w:r>
        <w:rPr>
          <w:i w:val="false"/>
          <w:iCs w:val="false"/>
        </w:rPr>
        <w:t xml:space="preserve">Maintenance is bundled into the monthly by default. The customer buys a thing that works, not a thing plus a separate line they can question or cut. We itemize maintenance only as the exception, for heavy, high-touch builds whose support cost is not predictable.</w:t>
      </w:r>
    </w:p>
    <w:p>
      <w:pPr>
        <w:pStyle w:val="Heading1"/>
      </w:pPr>
      <w:r>
        <w:t xml:space="preserve">The yardstick</w:t>
      </w:r>
    </w:p>
    <w:p>
      <w:pPr>
        <w:spacing w:after="160" w:line="276"/>
      </w:pPr>
      <w:r>
        <w:rPr>
          <w:i w:val="false"/>
          <w:iCs w:val="false"/>
        </w:rPr>
        <w:t xml:space="preserve">The customer's measure is return, not sticker price. A solution clears because it pays back several times its cost inside the first year, not because it is cheap. We lead with the return the solution produces, and the price becomes the smaller number in a larger story.</w:t>
      </w:r>
    </w:p>
    <w:p>
      <w:pPr>
        <w:pStyle w:val="Heading1"/>
      </w:pPr>
      <w:r>
        <w:t xml:space="preserve">The line we hold</w:t>
      </w:r>
    </w:p>
    <w:p>
      <w:pPr>
        <w:spacing w:after="160" w:line="276"/>
      </w:pPr>
      <w:r>
        <w:rPr>
          <w:i w:val="false"/>
          <w:iCs w:val="false"/>
        </w:rPr>
        <w:t xml:space="preserve">We price what we can see. We do not price what we have not read. The report comes first, the solution comes next, and the number comes last. Always in that order.</w:t>
      </w:r>
    </w:p>
    <w:p>
      <w:pPr>
        <w:spacing w:after="160" w:line="276"/>
      </w:pPr>
      <w:r>
        <w:rPr>
          <w:i/>
          <w:iCs/>
          <w:color w:val="5A6B75"/>
        </w:rPr>
        <w:t xml:space="preserve">Indicative pricing for any specific solution is produced by the engine after a company is run. This page governs how those numbers are formed. It does not contain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B3A4B"/>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1B3A4B"/>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B8C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2026-06-25T08:40:23.329Z</dcterms:created>
  <dcterms:modified xsi:type="dcterms:W3CDTF">2026-06-25T08:40:23.329Z</dcterms:modified>
</cp:coreProperties>
</file>

<file path=docProps/custom.xml><?xml version="1.0" encoding="utf-8"?>
<Properties xmlns="http://schemas.openxmlformats.org/officeDocument/2006/custom-properties" xmlns:vt="http://schemas.openxmlformats.org/officeDocument/2006/docPropsVTypes"/>
</file>