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8"/>
          <w:sz w:val="40"/>
          <w:szCs w:val="40"/>
        </w:rPr>
        <w:t xml:space="preserve">DRiX vs. Standard AI</w:t>
      </w:r>
    </w:p>
    <w:p>
      <w:pPr>
        <w:spacing w:after="40"/>
      </w:pPr>
      <w:r>
        <w:rPr>
          <w:sz w:val="26"/>
          <w:szCs w:val="26"/>
        </w:rPr>
        <w:t xml:space="preserve">A Simulation Study of Outreach Quality and Its Modeled Business Impact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WinTech Partners — DRiX (Data Reimagined Experience). Working paper, pre-launch. Figures are AI-/benchmark-inferred estimates, not measured customer outcomes.</w:t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This study estimates how much DRiX, an atom-grounded sales-intelligence engine, improves cold B2B outreach relative to standard AI models. We separate what we measure from what we model. In Layer 1 we run a blind, position-counterbalanced LLM-as-judge tournament: for ~40 real companies, a neutral model acts as the buyer and chooses between DRiX's output and a baseline model's output, scoring each on relevance, specificity, credibility, and likelihood-to-respond. In Layer 2 we translate the measured quality edge into three business metrics — cold-email response rate, win rate, and sales-cycle length — using published industry benchmarks applied as Conservative/Expected/Optimistic bands. The buyer is simulated and the business metrics are modeled, not observed; we state this throughout and recommend a live pilot to confirm the estimates.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DRiX is pre-launch: there is no live customer outcome data yet. The purpose of this study is to produce defensible, clearly-labeled estimates of DRiX's impact that a reader can interrogate, reproduce, and replace with their own assumptions. We deliberately avoid presenting any figure as a measured real-world result.</w:t>
      </w:r>
    </w:p>
    <w:p>
      <w:pPr>
        <w:pStyle w:val="Heading1"/>
      </w:pPr>
      <w:r>
        <w:t xml:space="preserve">2. What we measure vs. what we model</w:t>
      </w:r>
    </w:p>
    <w:p>
      <w:pPr>
        <w:spacing w:after="120"/>
      </w:pPr>
      <w:r>
        <w:t xml:space="preserve">The study has two layers, kept strictly separate so a reader can trust each on its own terms: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1 (measured in simulation): the quality edge — does a blind buyer-model prefer DRiX's outreach to a strong baseline's, and by how much on a 0–10 scale? This is the empirical 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2 (modeled): response rate, win rate, and sales-cycle reduction. These are not measured here; they are derived from the Layer-1 quality edge plus published conversion benchmarks, expressed as ranges.</w:t>
      </w:r>
    </w:p>
    <w:p>
      <w:pPr>
        <w:pStyle w:val="Heading1"/>
      </w:pPr>
      <w:r>
        <w:t xml:space="preserve">3. Method — Layer 1: blind quality tournament</w:t>
      </w:r>
    </w:p>
    <w:p>
      <w:pPr>
        <w:spacing w:after="120"/>
      </w:pPr>
      <w:r>
        <w:t xml:space="preserve">For each target company we fetch DRiX's atom-grounded output from the live production endpoint (readyleads.getthedrix.com/api/comparison), which scrapes the company and synthesizes outreach from tagged intelligence units. We then generate two baseline emails ourselves via OpenRouter, using the same cold-email prompt the product's comparison feature uses, with two comparator models: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Flash-lite baseline: google/gemini-2.5-flash-lite — a low-cost model, representing a typical budget AI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Frontier baseline: openai/gpt-4o — a leading model writing unaided, the harder and more credible bar.</w:t>
      </w:r>
    </w:p>
    <w:p>
      <w:pPr>
        <w:spacing w:after="120"/>
      </w:pPr>
      <w:r>
        <w:t xml:space="preserve">A neutral judge model (anthropic/claude-sonnet-4 — deliberately different from both baselines and from DRiX's synthesis model, to avoid self-preference bias) reads DRiX vs. one baseline at a time. The judge is blind to which email is which; the A/B position is counterbalanced across passes; and we run multiple passes per company per baseline. The judge returns a winner and 1–10 scores on relevance, specificity, credibility, and likelihood-to-respond. We aggregate to a per-company DRiX win-rate and score lift, then bootstrap (10,000 resamples over companies) for 95% confidence intervals.</w:t>
      </w:r>
    </w:p>
    <w:p>
      <w:pPr>
        <w:spacing w:after="120"/>
      </w:pPr>
      <w:r>
        <w:t xml:space="preserve">Run configuration for the reported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Target companies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 real B2B firms (varied industries)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Baselines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gemini-2.5-flash-lite; gpt-4o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Judge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claude-sonnet-4 (neutral)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Passes per company per baseline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 (A/B position counterbalanced)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judge evaluations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~960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Confidence interval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95%, bootstrap (10,000 resamples over companies)</w:t>
            </w:r>
          </w:p>
        </w:tc>
      </w:tr>
    </w:tbl>
    <w:p>
      <w:pPr>
        <w:pStyle w:val="Heading1"/>
      </w:pPr>
      <w:r>
        <w:t xml:space="preserve">4. Method — Layer 2: business-impact model</w:t>
      </w:r>
    </w:p>
    <w:p>
      <w:pPr>
        <w:spacing w:after="120"/>
      </w:pPr>
      <w:r>
        <w:t xml:space="preserve">The quality edge is translated into business metrics through a transparent funnel. Every parameter is an editable input with a published source and a Conservative/Expected/Optimistic band (see DRiX_business_model.xlsx). The model anchors DRiX's reply-rate lift to published personalization-vs-generic research rather than to the raw simulation score, and uses the simulation win-rate as a directional cross-check (a high win-rate supports the upper bands). For the win-rate metric we hold downstream conversion (reply→meeting→opportunity→close) equal between DRiX and baseline — i.e. we credit DRiX only with getting more of the right people to reply, not with closing better once engaged. This is the conservative choice.</w:t>
      </w:r>
    </w:p>
    <w:p>
      <w:pPr>
        <w:pStyle w:val="Heading1"/>
      </w:pPr>
      <w:r>
        <w:t xml:space="preserve">5. Results</w:t>
      </w:r>
    </w:p>
    <w:p>
      <w:pPr>
        <w:spacing w:after="120"/>
      </w:pPr>
      <w:r>
        <w:rPr>
          <w:b/>
          <w:bCs/>
        </w:rPr>
        <w:t xml:space="preserve">5.1  Layer 1 — measured quality edge (paste from benchmark_results.csv OVERALL rows after running):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vs Flash-lite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vs GPT-4o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Companies scored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[ from run 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[ from run ]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DRiX blind win-rate (95% CI)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[ __% (__–__) 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[ __% (__–__) ]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Relative score lift, likelihood-to-respond (95% CI)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[ +__% (__–__) 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[ +__% (__–__) ]</w:t>
            </w:r>
          </w:p>
        </w:tc>
      </w:tr>
    </w:tbl>
    <w:p>
      <w:pPr>
        <w:spacing w:after="120"/>
      </w:pPr>
      <w:r>
        <w:rPr>
          <w:b/>
          <w:bCs/>
        </w:rPr>
        <w:t xml:space="preserve">5.2  Layer 2 — modeled business impact (from the assumption bands; independent of the paste-in above):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Expected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Optimistic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Cold-email response rate (baseline → DRiX)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3.0% → 4.0%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4.0% → 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5.0% → 20.0%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Response-rate lift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+32%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+300%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Closed-won per 1,000 leads (baseline → DRiX)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1.5 → 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4.0 → 8.0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 → 30.0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Win-rate lift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+32%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+300%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Sales cycle, days (baseline → DRiX)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 → 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 → 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 → 46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Cycle reduction (days saved)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-10% (-8d)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-25% (-21d)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-45% (-38d)</w:t>
            </w:r>
          </w:p>
        </w:tc>
      </w:tr>
    </w:tbl>
    <w:p>
      <w:pPr>
        <w:spacing w:after="120"/>
      </w:pPr>
      <w:r>
        <w:t xml:space="preserve">Reporting guidance: lead with the Expected column and present the band, e.g. “the model estimates DRiX roughly doubles cold-email response rate (Expected; range +32% to +300%) and shortens the sales cycle by about a quarter.” Always attach the word “estimated/modeled.”</w:t>
      </w:r>
    </w:p>
    <w:p>
      <w:pPr>
        <w:pStyle w:val="Heading1"/>
      </w:pPr>
      <w:r>
        <w:t xml:space="preserve">6. Assumptions &amp;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Assumption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Range (Cons/Exp/Opt)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Baseline cold-email reply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3% / 4% / 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Belkins; Built For B2B (2025) cold-email benchmarks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DRiX reply-rate multiplier (personalization lift)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1.32x / 2.0x / 4.0x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SalesS.io +32.7%; The Digital Bloom (~2x); Martal/Apollo (up to 4–8x)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Reply → closed-won conversion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5% / 10% / 15%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Composite of Glue Up &amp; HiBob funnel-stage benchmarks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Baseline sales-cycle length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 days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Optifai B2B SaaS median (2025)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DRiX sales-cycle reduction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10% / 25% / 45%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Personalization-velocity studies (40–50% treated as ceiling)</w:t>
            </w:r>
          </w:p>
        </w:tc>
      </w:tr>
    </w:tbl>
    <w:p>
      <w:pPr>
        <w:pStyle w:val="Heading1"/>
      </w:pPr>
      <w:r>
        <w:t xml:space="preserve">7. Strengths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the real production DRiX engine, not a mock-up — the treatment arm is the actual product.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Blind, position-counterbalanced, and bootstrapped, which reduces order effects and cherry-picking.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baselines, including a frontier model (GPT-4o), so the claim is tested at a hard bar, not only an easy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Neutral judge model, different from both baselines and from DRiX's synthesis model, to limit self-preference bias.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Fully reproducible: the company list, harness, and assumption model are all provided and editable.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assumptions are explicit, sourced, and ranged — no single hidden number.</w:t>
      </w:r>
    </w:p>
    <w:p>
      <w:pPr>
        <w:pStyle w:val="Heading1"/>
      </w:pPr>
      <w:r>
        <w:t xml:space="preserve">8. Limitations &amp; weaknesses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buyer is simulated. An LLM judge is a proxy for a human decision-maker; its preferences may diverge from real buyers'.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LLM-as-judge bias. A single judge family can have systematic preferences; we mitigate with blinding and counterbalancing but cannot eliminate it. Using multiple judge models would strengthen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metrics are modeled, not measured. Response/win/cycle figures come from applying published benchmarks to the quality edge, not from real sends. They are estimates.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Downstream conversion is assumed equal. If DRiX also improves later stages, we understate impact; if its replies are lower-intent, we overstate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Baselines are machine-generated. Flash-lite is a budget model, so DRiX's margin against it overstates the gap versus a skilled human writer; GPT-4o is the fairer comparison.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composition. The ~40 companies are well-known firms with rich public footprints, where DRiX's scraping/grounding advantage may be larger than for obscure SMBs.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Pre-launch. There is no live customer outcome data; a controlled pilot is required to validate any figure here.</w:t>
      </w:r>
    </w:p>
    <w:p>
      <w:pPr>
        <w:pStyle w:val="Heading1"/>
      </w:pPr>
      <w:r>
        <w:t xml:space="preserve">9. How to reproduce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setup and cost without spending: node benchmark_drix.js --dry-run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study (incurs API cost): node benchmark_drix.js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benchmark_results.csv; from the two OVERALL rows, paste drix_win_rate and rel_lift_pct into the yellow cells of DRiX_business_model.xlsx and into Section 5.1 of this paper.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the Expected column of the model for the headline business numbers; cite the Conservative column as the floor.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 change the comparator, company set, or sample size, edit benchmark_companies.json and the BASELINES/rounds in benchmark_drix.js, then re-run.</w:t>
      </w:r>
    </w:p>
    <w:p>
      <w:pPr>
        <w:pStyle w:val="Heading1"/>
      </w:pPr>
      <w:r>
        <w:t xml:space="preserve">10. References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rxpzbd8yeavjjx77jdmk">
        <w:r>
          <w:rPr>
            <w:rStyle w:val="Hyperlink"/>
          </w:rPr>
          <w:t xml:space="preserve">Belkins — B2B cold email response rates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2ky4siegaptsn136dnz_">
        <w:r>
          <w:rPr>
            <w:rStyle w:val="Hyperlink"/>
          </w:rPr>
          <w:t xml:space="preserve">Built For B2B — 2025 cold email benchmarks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e1vr8jgiow7pnxekbaal">
        <w:r>
          <w:rPr>
            <w:rStyle w:val="Hyperlink"/>
          </w:rPr>
          <w:t xml:space="preserve">The Digital Bloom — cold outbound reply-rate benchmarks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28njq-huitsmmumxlc5pa">
        <w:r>
          <w:rPr>
            <w:rStyle w:val="Hyperlink"/>
          </w:rPr>
          <w:t xml:space="preserve">Martal — B2B cold email statistics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w5s1gv4kpwhgcggdr20d">
        <w:r>
          <w:rPr>
            <w:rStyle w:val="Hyperlink"/>
          </w:rPr>
          <w:t xml:space="preserve">Apollo — personalization strategies that improve reply rates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7jhqfvgifqkoo0utg7a98">
        <w:r>
          <w:rPr>
            <w:rStyle w:val="Hyperlink"/>
          </w:rPr>
          <w:t xml:space="preserve">Glue Up — sales funnel conversion benchmarks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irc6r3wnybgks4nnb3hk">
        <w:r>
          <w:rPr>
            <w:rStyle w:val="Hyperlink"/>
          </w:rPr>
          <w:t xml:space="preserve">HiBob — sales funnel conversion rates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8gxpbjzbkpwm4xhs1xja">
        <w:r>
          <w:rPr>
            <w:rStyle w:val="Hyperlink"/>
          </w:rPr>
          <w:t xml:space="preserve">Optifai — B2B SaaS sales cycle length benchmark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DRiX Simulation Study — working paper —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rxpzbd8yeavjjx77jdmk" Type="http://schemas.openxmlformats.org/officeDocument/2006/relationships/hyperlink" Target="https://belkins.io/blog/cold-email-response-rates" TargetMode="External"/><Relationship Id="rIdw2ky4siegaptsn136dnz_" Type="http://schemas.openxmlformats.org/officeDocument/2006/relationships/hyperlink" Target="https://www.builtforb2b.com/blog/b2b-cold-email-benchmark-2025" TargetMode="External"/><Relationship Id="rIdqe1vr8jgiow7pnxekbaal" Type="http://schemas.openxmlformats.org/officeDocument/2006/relationships/hyperlink" Target="https://thedigitalbloom.com/learn/cold-outbound-reply-rate-benchmarks/" TargetMode="External"/><Relationship Id="rId28njq-huitsmmumxlc5pa" Type="http://schemas.openxmlformats.org/officeDocument/2006/relationships/hyperlink" Target="https://martal.ca/b2b-cold-email-statistics-lb/" TargetMode="External"/><Relationship Id="rIddw5s1gv4kpwhgcggdr20d" Type="http://schemas.openxmlformats.org/officeDocument/2006/relationships/hyperlink" Target="https://www.apollo.io/insights/what-personalization-strategies-actually-improve-cold-email-reply-rates" TargetMode="External"/><Relationship Id="rId7jhqfvgifqkoo0utg7a98" Type="http://schemas.openxmlformats.org/officeDocument/2006/relationships/hyperlink" Target="https://www.glueup.com/blog/sales-funnel-conversion-rate-benchmarks" TargetMode="External"/><Relationship Id="rIdlirc6r3wnybgks4nnb3hk" Type="http://schemas.openxmlformats.org/officeDocument/2006/relationships/hyperlink" Target="https://www.hibob.com/blog/sales-funnel-conversion-rate/" TargetMode="External"/><Relationship Id="rIde8gxpbjzbkpwm4xhs1xja" Type="http://schemas.openxmlformats.org/officeDocument/2006/relationships/hyperlink" Target="https://optif.ai/learn/questions/sales-cycle-length-benchmark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2026-05-23T00:06:06.031Z</dcterms:created>
  <dcterms:modified xsi:type="dcterms:W3CDTF">2026-05-23T00:06:06.033Z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