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p>
    <w:p>
      <w:pPr>
        <w:spacing w:before="100" w:after="100"/>
      </w:pPr>
    </w:p>
    <w:p>
      <w:pPr>
        <w:spacing w:before="100" w:after="100"/>
      </w:pPr>
    </w:p>
    <w:p>
      <w:pPr>
        <w:jc w:val="center"/>
      </w:pPr>
      <w:r>
        <w:drawing>
          <wp:inline distT="0" distB="0" distL="0" distR="0">
            <wp:extent cx="1905000" cy="952500"/>
            <wp:effectExtent t="0" r="0" b="0" l="0"/>
            <wp:docPr id="1" name="logo" descr="NYN Golf company logo" title="NYN Gol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952500"/>
                    </a:xfrm>
                    <a:prstGeom prst="rect">
                      <a:avLst/>
                    </a:prstGeom>
                  </pic:spPr>
                </pic:pic>
              </a:graphicData>
            </a:graphic>
          </wp:inline>
        </w:drawing>
      </w:r>
    </w:p>
    <w:p>
      <w:pPr>
        <w:spacing w:before="100" w:after="100"/>
      </w:pPr>
    </w:p>
    <w:p>
      <w:pPr>
        <w:spacing w:before="100" w:after="100"/>
      </w:pPr>
    </w:p>
    <w:p>
      <w:pPr>
        <w:spacing w:before="400" w:after="200"/>
        <w:jc w:val="center"/>
      </w:pPr>
      <w:r>
        <w:rPr>
          <w:rFonts w:ascii="Georgia" w:cs="Georgia" w:eastAsia="Georgia" w:hAnsi="Georgia"/>
          <w:b/>
          <w:bCs/>
          <w:color w:val="1B2B4B"/>
          <w:sz w:val="56"/>
          <w:szCs w:val="56"/>
        </w:rPr>
        <w:t xml:space="preserve">FOUNDING INVESTOR</w:t>
      </w:r>
    </w:p>
    <w:p>
      <w:pPr>
        <w:spacing w:before="400" w:after="200"/>
        <w:jc w:val="center"/>
      </w:pPr>
      <w:r>
        <w:rPr>
          <w:rFonts w:ascii="Georgia" w:cs="Georgia" w:eastAsia="Georgia" w:hAnsi="Georgia"/>
          <w:b/>
          <w:bCs/>
          <w:color w:val="C9A227"/>
          <w:sz w:val="56"/>
          <w:szCs w:val="56"/>
        </w:rPr>
        <w:t xml:space="preserve">OPPORTUNITY</w:t>
      </w:r>
    </w:p>
    <w:p>
      <w:pPr>
        <w:spacing w:before="100" w:after="100"/>
      </w:pPr>
    </w:p>
    <w:p>
      <w:pPr>
        <w:spacing w:before="200" w:after="200"/>
        <w:jc w:val="center"/>
      </w:pPr>
      <w:r>
        <w:rPr>
          <w:rFonts w:ascii="Georgia" w:cs="Georgia" w:eastAsia="Georgia" w:hAnsi="Georgia"/>
          <w:i/>
          <w:iCs/>
          <w:color w:val="333333"/>
          <w:sz w:val="28"/>
          <w:szCs w:val="28"/>
        </w:rPr>
        <w:t xml:space="preserve">Join the Ground Floor of Vietnam's Premier</w:t>
      </w:r>
    </w:p>
    <w:p>
      <w:pPr>
        <w:jc w:val="center"/>
      </w:pPr>
      <w:r>
        <w:rPr>
          <w:rFonts w:ascii="Georgia" w:cs="Georgia" w:eastAsia="Georgia" w:hAnsi="Georgia"/>
          <w:i/>
          <w:iCs/>
          <w:color w:val="333333"/>
          <w:sz w:val="28"/>
          <w:szCs w:val="28"/>
        </w:rPr>
        <w:t xml:space="preserve">Luxury Golf Experience Company</w:t>
      </w:r>
    </w:p>
    <w:p>
      <w:pPr>
        <w:spacing w:before="100" w:after="100"/>
      </w:pPr>
    </w:p>
    <w:p>
      <w:pPr>
        <w:spacing w:before="100" w:after="100"/>
      </w:pPr>
    </w:p>
    <w:p>
      <w:pPr>
        <w:spacing w:before="100" w:after="100"/>
      </w:pPr>
    </w:p>
    <w:p>
      <w:pPr>
        <w:pBdr>
          <w:top w:val="single" w:color="C9A227" w:sz="2"/>
          <w:bottom w:val="single" w:color="C9A227" w:sz="2"/>
        </w:pBdr>
        <w:spacing w:before="200" w:after="200"/>
        <w:jc w:val="center"/>
      </w:pPr>
      <w:r>
        <w:rPr>
          <w:rFonts w:ascii="Arial" w:cs="Arial" w:eastAsia="Arial" w:hAnsi="Arial"/>
          <w:b/>
          <w:bCs/>
          <w:color w:val="1B2B4B"/>
          <w:sz w:val="24"/>
          <w:szCs w:val="24"/>
        </w:rPr>
        <w:t xml:space="preserve">$50,000 SEED ROUND  •  10 FOUNDING INVESTOR SLOTS  •  $5,000 MINIMUM</w:t>
      </w:r>
    </w:p>
    <w:p>
      <w:pPr>
        <w:spacing w:before="100" w:after="100"/>
      </w:pPr>
    </w:p>
    <w:p>
      <w:pPr>
        <w:spacing w:before="100" w:after="100"/>
      </w:pPr>
    </w:p>
    <w:p>
      <w:pPr>
        <w:spacing w:before="100" w:after="100"/>
      </w:pPr>
    </w:p>
    <w:p>
      <w:pPr>
        <w:spacing w:before="100" w:after="100"/>
      </w:pPr>
    </w:p>
    <w:p>
      <w:pPr>
        <w:spacing w:before="100" w:after="100"/>
        <w:jc w:val="center"/>
      </w:pPr>
      <w:r>
        <w:rPr>
          <w:rFonts w:ascii="Arial" w:cs="Arial" w:eastAsia="Arial" w:hAnsi="Arial"/>
          <w:color w:val="666666"/>
          <w:sz w:val="22"/>
          <w:szCs w:val="22"/>
        </w:rPr>
        <w:t xml:space="preserve">January 2026</w:t>
      </w:r>
    </w:p>
    <w:p>
      <w:pPr>
        <w:spacing w:before="100" w:after="100"/>
        <w:jc w:val="center"/>
      </w:pPr>
      <w:r>
        <w:rPr>
          <w:rFonts w:ascii="Arial" w:cs="Arial" w:eastAsia="Arial" w:hAnsi="Arial"/>
          <w:color w:val="666666"/>
          <w:sz w:val="22"/>
          <w:szCs w:val="22"/>
        </w:rPr>
        <w:t xml:space="preserve">Confidential Investment Memorandum</w:t>
      </w:r>
    </w:p>
    <w:p>
      <w:r>
        <w:br w:type="page"/>
      </w:r>
    </w:p>
    <w:p>
      <w:pPr>
        <w:pBdr>
          <w:bottom w:val="single" w:color="C9A227" w:sz="6"/>
        </w:pBdr>
        <w:spacing w:before="400" w:after="200"/>
      </w:pPr>
      <w:r>
        <w:rPr>
          <w:rFonts w:ascii="Georgia" w:cs="Georgia" w:eastAsia="Georgia" w:hAnsi="Georgia"/>
          <w:b/>
          <w:bCs/>
          <w:color w:val="1B2B4B"/>
          <w:sz w:val="36"/>
          <w:szCs w:val="36"/>
        </w:rPr>
        <w:t xml:space="preserve">EXECUTIVE SUMMARY</w:t>
      </w:r>
    </w:p>
    <w:p>
      <w:pPr>
        <w:spacing w:before="100" w:after="100"/>
      </w:pPr>
    </w:p>
    <w:p>
      <w:pPr>
        <w:pBdr>
          <w:left w:val="single" w:color="C9A227" w:sz="12"/>
        </w:pBdr>
        <w:spacing w:before="100" w:after="200"/>
        <w:ind w:left="360"/>
      </w:pPr>
      <w:r>
        <w:rPr>
          <w:rFonts w:ascii="Georgia" w:cs="Georgia" w:eastAsia="Georgia" w:hAnsi="Georgia"/>
          <w:i/>
          <w:iCs/>
          <w:color w:val="333333"/>
          <w:sz w:val="24"/>
          <w:szCs w:val="24"/>
        </w:rPr>
        <w:t xml:space="preserve">"Vietnam has won 'Asia's Best Golf Destination' for eight consecutive years. The government targets $1 billion in golf tourism revenue. Yet no operator specifically serves affluent American golfers seeking authentic cultural immersion alongside world-class golf. NYN Golf fills that gap."</w:t>
      </w:r>
    </w:p>
    <w:p>
      <w:pPr>
        <w:spacing w:before="300" w:after="150"/>
      </w:pPr>
      <w:r>
        <w:rPr>
          <w:rFonts w:ascii="Georgia" w:cs="Georgia" w:eastAsia="Georgia" w:hAnsi="Georgia"/>
          <w:b/>
          <w:bCs/>
          <w:color w:val="1B2B4B"/>
          <w:sz w:val="28"/>
          <w:szCs w:val="28"/>
        </w:rPr>
        <w:t xml:space="preserve">The Opportunity in 60 Seconds</w:t>
      </w:r>
    </w:p>
    <w:p>
      <w:pPr>
        <w:pStyle w:val="ListParagraph"/>
        <w:numPr>
          <w:ilvl w:val="0"/>
          <w:numId w:val="2"/>
        </w:numPr>
        <w:spacing w:before="80" w:after="80"/>
      </w:pPr>
      <w:r>
        <w:rPr>
          <w:rFonts w:ascii="Arial" w:cs="Arial" w:eastAsia="Arial" w:hAnsi="Arial"/>
          <w:b/>
          <w:bCs/>
          <w:color w:val="333333"/>
          <w:sz w:val="22"/>
          <w:szCs w:val="22"/>
        </w:rPr>
        <w:t xml:space="preserve">Vietnam golf tourism market: </w:t>
      </w:r>
      <w:r>
        <w:rPr>
          <w:rFonts w:ascii="Arial" w:cs="Arial" w:eastAsia="Arial" w:hAnsi="Arial"/>
          <w:color w:val="333333"/>
          <w:sz w:val="22"/>
          <w:szCs w:val="22"/>
        </w:rPr>
        <w:t xml:space="preserve">$137.8M in 2025 → $285.5M by 2034 (18% CAGR)</w:t>
      </w:r>
    </w:p>
    <w:p>
      <w:pPr>
        <w:pStyle w:val="ListParagraph"/>
        <w:numPr>
          <w:ilvl w:val="0"/>
          <w:numId w:val="2"/>
        </w:numPr>
        <w:spacing w:before="80" w:after="80"/>
      </w:pPr>
      <w:r>
        <w:rPr>
          <w:rFonts w:ascii="Arial" w:cs="Arial" w:eastAsia="Arial" w:hAnsi="Arial"/>
          <w:b/>
          <w:bCs/>
          <w:color w:val="333333"/>
          <w:sz w:val="22"/>
          <w:szCs w:val="22"/>
        </w:rPr>
        <w:t xml:space="preserve">Golf tourists spend 6x </w:t>
      </w:r>
      <w:r>
        <w:rPr>
          <w:rFonts w:ascii="Arial" w:cs="Arial" w:eastAsia="Arial" w:hAnsi="Arial"/>
          <w:color w:val="333333"/>
          <w:sz w:val="22"/>
          <w:szCs w:val="22"/>
        </w:rPr>
        <w:t xml:space="preserve">more than average tourists</w:t>
      </w:r>
    </w:p>
    <w:p>
      <w:pPr>
        <w:pStyle w:val="ListParagraph"/>
        <w:numPr>
          <w:ilvl w:val="0"/>
          <w:numId w:val="2"/>
        </w:numPr>
        <w:spacing w:before="80" w:after="80"/>
      </w:pPr>
      <w:r>
        <w:rPr>
          <w:rFonts w:ascii="Arial" w:cs="Arial" w:eastAsia="Arial" w:hAnsi="Arial"/>
          <w:b/>
          <w:bCs/>
          <w:color w:val="333333"/>
          <w:sz w:val="22"/>
          <w:szCs w:val="22"/>
        </w:rPr>
        <w:t xml:space="preserve">No competitor </w:t>
      </w:r>
      <w:r>
        <w:rPr>
          <w:rFonts w:ascii="Arial" w:cs="Arial" w:eastAsia="Arial" w:hAnsi="Arial"/>
          <w:color w:val="333333"/>
          <w:sz w:val="22"/>
          <w:szCs w:val="22"/>
        </w:rPr>
        <w:t xml:space="preserve">targets affluent American golfers with cultural immersion</w:t>
      </w:r>
    </w:p>
    <w:p>
      <w:pPr>
        <w:pStyle w:val="ListParagraph"/>
        <w:numPr>
          <w:ilvl w:val="0"/>
          <w:numId w:val="2"/>
        </w:numPr>
        <w:spacing w:before="80" w:after="80"/>
      </w:pPr>
      <w:r>
        <w:rPr>
          <w:rFonts w:ascii="Arial" w:cs="Arial" w:eastAsia="Arial" w:hAnsi="Arial"/>
          <w:b/>
          <w:bCs/>
          <w:color w:val="333333"/>
          <w:sz w:val="22"/>
          <w:szCs w:val="22"/>
        </w:rPr>
        <w:t xml:space="preserve">Founder credentials: </w:t>
      </w:r>
      <w:r>
        <w:rPr>
          <w:rFonts w:ascii="Arial" w:cs="Arial" w:eastAsia="Arial" w:hAnsi="Arial"/>
          <w:color w:val="333333"/>
          <w:sz w:val="22"/>
          <w:szCs w:val="22"/>
        </w:rPr>
        <w:t xml:space="preserve">25+ years enterprise sales, 200+ corporate events planned/attended, establishing operations in Vietnam Q1 2026</w:t>
      </w:r>
    </w:p>
    <w:p>
      <w:pPr>
        <w:pStyle w:val="ListParagraph"/>
        <w:numPr>
          <w:ilvl w:val="0"/>
          <w:numId w:val="2"/>
        </w:numPr>
        <w:spacing w:before="80" w:after="80"/>
      </w:pPr>
      <w:r>
        <w:rPr>
          <w:rFonts w:ascii="Arial" w:cs="Arial" w:eastAsia="Arial" w:hAnsi="Arial"/>
          <w:b/>
          <w:bCs/>
          <w:color w:val="333333"/>
          <w:sz w:val="22"/>
          <w:szCs w:val="22"/>
        </w:rPr>
        <w:t xml:space="preserve">First-mover advantage </w:t>
      </w:r>
      <w:r>
        <w:rPr>
          <w:rFonts w:ascii="Arial" w:cs="Arial" w:eastAsia="Arial" w:hAnsi="Arial"/>
          <w:color w:val="333333"/>
          <w:sz w:val="22"/>
          <w:szCs w:val="22"/>
        </w:rPr>
        <w:t xml:space="preserve">in the $5,000-$15,000 ultra-premium segment</w:t>
      </w:r>
    </w:p>
    <w:p>
      <w:pPr>
        <w:spacing w:before="100" w:after="100"/>
      </w:pPr>
    </w:p>
    <w:p>
      <w:pPr>
        <w:spacing w:before="300" w:after="150"/>
      </w:pPr>
      <w:r>
        <w:rPr>
          <w:rFonts w:ascii="Georgia" w:cs="Georgia" w:eastAsia="Georgia" w:hAnsi="Georgia"/>
          <w:b/>
          <w:bCs/>
          <w:color w:val="1B2B4B"/>
          <w:sz w:val="28"/>
          <w:szCs w:val="28"/>
        </w:rPr>
        <w:t xml:space="preserve">Investment Terms at a Glance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Term</w:t>
            </w:r>
          </w:p>
        </w:tc>
        <w:tc>
          <w:tcPr>
            <w:tcW w:type="dxa" w:w="468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Minimum Investment</w:t>
            </w:r>
          </w:p>
        </w:tc>
        <w:tc>
          <w:tcPr>
            <w:tcW w:type="dxa" w:w="468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$5,000 per slot</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2"/>
                <w:szCs w:val="22"/>
              </w:rPr>
              <w:t xml:space="preserve">Total Raise</w:t>
            </w:r>
          </w:p>
        </w:tc>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$50,000 (10 slots available)</w:t>
            </w:r>
          </w:p>
        </w:tc>
      </w:tr>
      <w:tr>
        <w:tc>
          <w:tcPr>
            <w:tcW w:type="dxa" w:w="468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Equity per Slot</w:t>
            </w:r>
          </w:p>
        </w:tc>
        <w:tc>
          <w:tcPr>
            <w:tcW w:type="dxa" w:w="468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1.5% of NYN Golf - Vietnam</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2"/>
                <w:szCs w:val="22"/>
              </w:rPr>
              <w:t xml:space="preserve">Annual Investor Perk</w:t>
            </w:r>
          </w:p>
        </w:tc>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One trip at cost (20-25% discount = $800-$1,500 savings)</w:t>
            </w:r>
          </w:p>
        </w:tc>
      </w:tr>
      <w:tr>
        <w:tc>
          <w:tcPr>
            <w:tcW w:type="dxa" w:w="468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Distributions</w:t>
            </w:r>
          </w:p>
        </w:tc>
        <w:tc>
          <w:tcPr>
            <w:tcW w:type="dxa" w:w="468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Annually, February 15th (Jan-Dec fiscal year)</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2"/>
                <w:szCs w:val="22"/>
              </w:rPr>
              <w:t xml:space="preserve">Use of Funds</w:t>
            </w:r>
          </w:p>
        </w:tc>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Legal/Licensing 50% • Operations Setup 20% • Marketing 20% • Reserve 10%</w:t>
            </w:r>
          </w:p>
        </w:tc>
      </w:tr>
    </w:tbl>
    <w:p>
      <w:r>
        <w:br w:type="page"/>
      </w:r>
    </w:p>
    <w:p>
      <w:pPr>
        <w:pBdr>
          <w:bottom w:val="single" w:color="C9A227" w:sz="6"/>
        </w:pBdr>
        <w:spacing w:before="400" w:after="200"/>
      </w:pPr>
      <w:r>
        <w:rPr>
          <w:rFonts w:ascii="Georgia" w:cs="Georgia" w:eastAsia="Georgia" w:hAnsi="Georgia"/>
          <w:b/>
          <w:bCs/>
          <w:color w:val="1B2B4B"/>
          <w:sz w:val="36"/>
          <w:szCs w:val="36"/>
        </w:rPr>
        <w:t xml:space="preserve">THE NYN GOLF VISION</w:t>
      </w:r>
    </w:p>
    <w:p>
      <w:pPr>
        <w:spacing w:before="100" w:after="100"/>
      </w:pPr>
    </w:p>
    <w:p>
      <w:pPr>
        <w:spacing w:before="300" w:after="150"/>
      </w:pPr>
      <w:r>
        <w:rPr>
          <w:rFonts w:ascii="Georgia" w:cs="Georgia" w:eastAsia="Georgia" w:hAnsi="Georgia"/>
          <w:b/>
          <w:bCs/>
          <w:color w:val="1B2B4B"/>
          <w:sz w:val="28"/>
          <w:szCs w:val="28"/>
        </w:rPr>
        <w:t xml:space="preserve">Not a Travel Agency. A Life Experience.</w:t>
      </w:r>
    </w:p>
    <w:p>
      <w:pPr>
        <w:spacing w:before="100" w:after="100"/>
        <w:jc w:val="left"/>
      </w:pPr>
      <w:r>
        <w:rPr>
          <w:rFonts w:ascii="Arial" w:cs="Arial" w:eastAsia="Arial" w:hAnsi="Arial"/>
          <w:color w:val="333333"/>
          <w:sz w:val="22"/>
          <w:szCs w:val="22"/>
        </w:rPr>
        <w:t xml:space="preserve">The luxury golf travel market is dominated by faceless agencies that book tee times and hotel rooms. They treat Vietnam as a logistics problem to solve, not an experience to craft.</w:t>
      </w:r>
    </w:p>
    <w:p>
      <w:pPr>
        <w:spacing w:before="100" w:after="100"/>
      </w:pPr>
    </w:p>
    <w:p>
      <w:pPr>
        <w:spacing w:before="100" w:after="100"/>
        <w:jc w:val="left"/>
      </w:pPr>
      <w:r>
        <w:rPr>
          <w:rFonts w:ascii="Arial" w:cs="Arial" w:eastAsia="Arial" w:hAnsi="Arial"/>
          <w:color w:val="333333"/>
          <w:sz w:val="22"/>
          <w:szCs w:val="22"/>
        </w:rPr>
        <w:t xml:space="preserve">NYN Golf is different. We don't sell golf trips. We create life experiences—journeys that transform how guests see Vietnam, connect with a new culture, and return home with stories they'll tell for decades.</w:t>
      </w:r>
    </w:p>
    <w:p>
      <w:pPr>
        <w:spacing w:before="100" w:after="100"/>
      </w:pPr>
    </w:p>
    <w:p>
      <w:pPr>
        <w:spacing w:before="300" w:after="150"/>
      </w:pPr>
      <w:r>
        <w:rPr>
          <w:rFonts w:ascii="Georgia" w:cs="Georgia" w:eastAsia="Georgia" w:hAnsi="Georgia"/>
          <w:b/>
          <w:bCs/>
          <w:color w:val="1B2B4B"/>
          <w:sz w:val="28"/>
          <w:szCs w:val="28"/>
        </w:rPr>
        <w:t xml:space="preserve">"Both Sides of the Coin" — Our Signature Philosophy</w:t>
      </w:r>
    </w:p>
    <w:p>
      <w:pPr>
        <w:spacing w:before="100" w:after="100"/>
        <w:jc w:val="left"/>
      </w:pPr>
      <w:r>
        <w:rPr>
          <w:rFonts w:ascii="Arial" w:cs="Arial" w:eastAsia="Arial" w:hAnsi="Arial"/>
          <w:color w:val="333333"/>
          <w:sz w:val="22"/>
          <w:szCs w:val="22"/>
        </w:rPr>
        <w:t xml:space="preserve">Every NYN Golf experience delivers what no competitor offers: world-class championship golf AND deep cultural immersion in equal measure. The golf is excellent. But the life experience is what makes it unforgettable.</w:t>
      </w:r>
    </w:p>
    <w:p>
      <w:pPr>
        <w:spacing w:before="100" w:after="100"/>
      </w:pPr>
    </w:p>
    <w:p>
      <w:pPr>
        <w:pStyle w:val="ListParagraph"/>
        <w:numPr>
          <w:ilvl w:val="0"/>
          <w:numId w:val="2"/>
        </w:numPr>
        <w:spacing w:before="80" w:after="80"/>
      </w:pPr>
      <w:r>
        <w:rPr>
          <w:rFonts w:ascii="Arial" w:cs="Arial" w:eastAsia="Arial" w:hAnsi="Arial"/>
          <w:b/>
          <w:bCs/>
          <w:color w:val="333333"/>
          <w:sz w:val="22"/>
          <w:szCs w:val="22"/>
        </w:rPr>
        <w:t xml:space="preserve">Championship Golf: </w:t>
      </w:r>
      <w:r>
        <w:rPr>
          <w:rFonts w:ascii="Arial" w:cs="Arial" w:eastAsia="Arial" w:hAnsi="Arial"/>
          <w:color w:val="333333"/>
          <w:sz w:val="22"/>
          <w:szCs w:val="22"/>
        </w:rPr>
        <w:t xml:space="preserve">Greg Norman, Nick Faldo, Colin Montgomerie, and Robert Trent Jones Jr. designed courses across stunning coastal and mountain terrain</w:t>
      </w:r>
    </w:p>
    <w:p>
      <w:pPr>
        <w:pStyle w:val="ListParagraph"/>
        <w:numPr>
          <w:ilvl w:val="0"/>
          <w:numId w:val="2"/>
        </w:numPr>
        <w:spacing w:before="80" w:after="80"/>
      </w:pPr>
      <w:r>
        <w:rPr>
          <w:rFonts w:ascii="Arial" w:cs="Arial" w:eastAsia="Arial" w:hAnsi="Arial"/>
          <w:b/>
          <w:bCs/>
          <w:color w:val="333333"/>
          <w:sz w:val="22"/>
          <w:szCs w:val="22"/>
        </w:rPr>
        <w:t xml:space="preserve">Cultural Immersion: </w:t>
      </w:r>
      <w:r>
        <w:rPr>
          <w:rFonts w:ascii="Arial" w:cs="Arial" w:eastAsia="Arial" w:hAnsi="Arial"/>
          <w:color w:val="333333"/>
          <w:sz w:val="22"/>
          <w:szCs w:val="22"/>
        </w:rPr>
        <w:t xml:space="preserve">UNESCO World Heritage sites, insider access to local artisans, family-style Vietnamese dining, experiences money can't typically buy</w:t>
      </w:r>
    </w:p>
    <w:p>
      <w:pPr>
        <w:pStyle w:val="ListParagraph"/>
        <w:numPr>
          <w:ilvl w:val="0"/>
          <w:numId w:val="2"/>
        </w:numPr>
        <w:spacing w:before="80" w:after="80"/>
      </w:pPr>
      <w:r>
        <w:rPr>
          <w:rFonts w:ascii="Arial" w:cs="Arial" w:eastAsia="Arial" w:hAnsi="Arial"/>
          <w:b/>
          <w:bCs/>
          <w:color w:val="333333"/>
          <w:sz w:val="22"/>
          <w:szCs w:val="22"/>
        </w:rPr>
        <w:t xml:space="preserve">Event-Quality Execution: </w:t>
      </w:r>
      <w:r>
        <w:rPr>
          <w:rFonts w:ascii="Arial" w:cs="Arial" w:eastAsia="Arial" w:hAnsi="Arial"/>
          <w:color w:val="333333"/>
          <w:sz w:val="22"/>
          <w:szCs w:val="22"/>
        </w:rPr>
        <w:t xml:space="preserve">Every itinerary personally curated with the meticulous attention of someone who has planned nearly 200 corporate events</w:t>
      </w:r>
    </w:p>
    <w:p>
      <w:pPr>
        <w:pStyle w:val="ListParagraph"/>
        <w:numPr>
          <w:ilvl w:val="0"/>
          <w:numId w:val="2"/>
        </w:numPr>
        <w:spacing w:before="80" w:after="80"/>
      </w:pPr>
      <w:r>
        <w:rPr>
          <w:rFonts w:ascii="Arial" w:cs="Arial" w:eastAsia="Arial" w:hAnsi="Arial"/>
          <w:b/>
          <w:bCs/>
          <w:color w:val="333333"/>
          <w:sz w:val="22"/>
          <w:szCs w:val="22"/>
        </w:rPr>
        <w:t xml:space="preserve">Small Group Intimacy: </w:t>
      </w:r>
      <w:r>
        <w:rPr>
          <w:rFonts w:ascii="Arial" w:cs="Arial" w:eastAsia="Arial" w:hAnsi="Arial"/>
          <w:color w:val="333333"/>
          <w:sz w:val="22"/>
          <w:szCs w:val="22"/>
        </w:rPr>
        <w:t xml:space="preserve">Maximum 8-12 guests per experience—this is never a bus tour</w:t>
      </w:r>
    </w:p>
    <w:p>
      <w:pPr>
        <w:pStyle w:val="ListParagraph"/>
        <w:numPr>
          <w:ilvl w:val="0"/>
          <w:numId w:val="2"/>
        </w:numPr>
        <w:spacing w:before="80" w:after="80"/>
      </w:pPr>
      <w:r>
        <w:rPr>
          <w:rFonts w:ascii="Arial" w:cs="Arial" w:eastAsia="Arial" w:hAnsi="Arial"/>
          <w:b/>
          <w:bCs/>
          <w:color w:val="333333"/>
          <w:sz w:val="22"/>
          <w:szCs w:val="22"/>
        </w:rPr>
        <w:t xml:space="preserve">Bragging Rights: </w:t>
      </w:r>
      <w:r>
        <w:rPr>
          <w:rFonts w:ascii="Arial" w:cs="Arial" w:eastAsia="Arial" w:hAnsi="Arial"/>
          <w:color w:val="333333"/>
          <w:sz w:val="22"/>
          <w:szCs w:val="22"/>
        </w:rPr>
        <w:t xml:space="preserve">Guests leave with memories, stories, and photos that become legendary in their social circles</w:t>
      </w:r>
    </w:p>
    <w:p>
      <w:pPr>
        <w:spacing w:before="100" w:after="100"/>
      </w:pPr>
    </w:p>
    <w:p>
      <w:pPr>
        <w:spacing w:before="300" w:after="150"/>
      </w:pPr>
      <w:r>
        <w:rPr>
          <w:rFonts w:ascii="Georgia" w:cs="Georgia" w:eastAsia="Georgia" w:hAnsi="Georgia"/>
          <w:b/>
          <w:bCs/>
          <w:color w:val="1B2B4B"/>
          <w:sz w:val="28"/>
          <w:szCs w:val="28"/>
        </w:rPr>
        <w:t xml:space="preserve">The Experience Tiers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340"/>
        <w:gridCol w:w="3120"/>
      </w:tblGrid>
      <w:tr>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Package</w:t>
            </w:r>
          </w:p>
        </w:tc>
        <w:tc>
          <w:tcPr>
            <w:tcW w:type="dxa" w:w="156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Duration</w:t>
            </w:r>
          </w:p>
        </w:tc>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Price Range</w:t>
            </w:r>
          </w:p>
        </w:tc>
        <w:tc>
          <w:tcPr>
            <w:tcW w:type="dxa" w:w="312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Experience</w:t>
            </w:r>
          </w:p>
        </w:tc>
      </w:tr>
      <w:tr>
        <w:tc>
          <w:tcPr>
            <w:tcW w:type="dxa" w:w="234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Essential Vietnam</w:t>
            </w:r>
          </w:p>
        </w:tc>
        <w:tc>
          <w:tcPr>
            <w:tcW w:type="dxa" w:w="156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4-5 nights</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$4,000-$5,000</w:t>
            </w:r>
          </w:p>
        </w:tc>
        <w:tc>
          <w:tcPr>
            <w:tcW w:type="dxa" w:w="312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Premier courses + Hoi An cultural immersion</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2"/>
                <w:szCs w:val="22"/>
              </w:rPr>
              <w:t xml:space="preserve">Central Coast Classic</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6 nights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$5,000-$7,500</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5 championship rounds + Ba Na Hills + deep cultural dive</w:t>
            </w:r>
          </w:p>
        </w:tc>
      </w:tr>
      <w:tr>
        <w:tc>
          <w:tcPr>
            <w:tcW w:type="dxa" w:w="234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Grand Vietnam Tour</w:t>
            </w:r>
          </w:p>
        </w:tc>
        <w:tc>
          <w:tcPr>
            <w:tcW w:type="dxa" w:w="156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10 nights</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$10,000-$15,000</w:t>
            </w:r>
          </w:p>
        </w:tc>
        <w:tc>
          <w:tcPr>
            <w:tcW w:type="dxa" w:w="312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Multi-region, luxury resorts, exclusive insider access</w:t>
            </w:r>
          </w:p>
        </w:tc>
      </w:tr>
    </w:tbl>
    <w:p>
      <w:r>
        <w:br w:type="page"/>
      </w:r>
    </w:p>
    <w:p>
      <w:pPr>
        <w:pBdr>
          <w:bottom w:val="single" w:color="C9A227" w:sz="6"/>
        </w:pBdr>
        <w:spacing w:before="400" w:after="200"/>
      </w:pPr>
      <w:r>
        <w:rPr>
          <w:rFonts w:ascii="Georgia" w:cs="Georgia" w:eastAsia="Georgia" w:hAnsi="Georgia"/>
          <w:b/>
          <w:bCs/>
          <w:color w:val="1B2B4B"/>
          <w:sz w:val="36"/>
          <w:szCs w:val="36"/>
        </w:rPr>
        <w:t xml:space="preserve">THE MARKET OPPORTUNITY</w:t>
      </w:r>
    </w:p>
    <w:p>
      <w:pPr>
        <w:spacing w:before="100" w:after="100"/>
      </w:pPr>
    </w:p>
    <w:p>
      <w:pPr>
        <w:spacing w:before="300" w:after="150"/>
      </w:pPr>
      <w:r>
        <w:rPr>
          <w:rFonts w:ascii="Georgia" w:cs="Georgia" w:eastAsia="Georgia" w:hAnsi="Georgia"/>
          <w:b/>
          <w:bCs/>
          <w:color w:val="1B2B4B"/>
          <w:sz w:val="28"/>
          <w:szCs w:val="28"/>
        </w:rPr>
        <w:t xml:space="preserve">A $1 Billion Government Priority</w:t>
      </w:r>
    </w:p>
    <w:p>
      <w:pPr>
        <w:spacing w:before="100" w:after="100"/>
        <w:jc w:val="left"/>
      </w:pPr>
      <w:r>
        <w:rPr>
          <w:rFonts w:ascii="Arial" w:cs="Arial" w:eastAsia="Arial" w:hAnsi="Arial"/>
          <w:color w:val="333333"/>
          <w:sz w:val="22"/>
          <w:szCs w:val="22"/>
        </w:rPr>
        <w:t xml:space="preserve">Vietnam's government has made golf tourism a national strategic priority. The Vietnam National Authority of Tourism (VNAT) has set an explicit target of $1 billion in golf tourism revenue—a commitment backed by:</w:t>
      </w:r>
    </w:p>
    <w:p>
      <w:pPr>
        <w:spacing w:before="100" w:after="100"/>
      </w:pPr>
    </w:p>
    <w:p>
      <w:pPr>
        <w:pStyle w:val="ListParagraph"/>
        <w:numPr>
          <w:ilvl w:val="0"/>
          <w:numId w:val="2"/>
        </w:numPr>
        <w:spacing w:before="80" w:after="80"/>
      </w:pPr>
      <w:r>
        <w:rPr>
          <w:rFonts w:ascii="Arial" w:cs="Arial" w:eastAsia="Arial" w:hAnsi="Arial"/>
          <w:b/>
          <w:bCs/>
          <w:color w:val="333333"/>
          <w:sz w:val="22"/>
          <w:szCs w:val="22"/>
        </w:rPr>
        <w:t xml:space="preserve">Greg Norman appointed </w:t>
      </w:r>
      <w:r>
        <w:rPr>
          <w:rFonts w:ascii="Arial" w:cs="Arial" w:eastAsia="Arial" w:hAnsi="Arial"/>
          <w:color w:val="333333"/>
          <w:sz w:val="22"/>
          <w:szCs w:val="22"/>
        </w:rPr>
        <w:t xml:space="preserve">as Vietnam's Tourism Ambassador (2025-2030)</w:t>
      </w:r>
    </w:p>
    <w:p>
      <w:pPr>
        <w:pStyle w:val="ListParagraph"/>
        <w:numPr>
          <w:ilvl w:val="0"/>
          <w:numId w:val="2"/>
        </w:numPr>
        <w:spacing w:before="80" w:after="80"/>
      </w:pPr>
      <w:r>
        <w:rPr>
          <w:rFonts w:ascii="Arial" w:cs="Arial" w:eastAsia="Arial" w:hAnsi="Arial"/>
          <w:b/>
          <w:bCs/>
          <w:color w:val="333333"/>
          <w:sz w:val="22"/>
          <w:szCs w:val="22"/>
        </w:rPr>
        <w:t xml:space="preserve">New Emirates Airlines direct route </w:t>
      </w:r>
      <w:r>
        <w:rPr>
          <w:rFonts w:ascii="Arial" w:cs="Arial" w:eastAsia="Arial" w:hAnsi="Arial"/>
          <w:color w:val="333333"/>
          <w:sz w:val="22"/>
          <w:szCs w:val="22"/>
        </w:rPr>
        <w:t xml:space="preserve">connecting Da Nang to Dubai and 260+ global destinations (June 2025)</w:t>
      </w:r>
    </w:p>
    <w:p>
      <w:pPr>
        <w:pStyle w:val="ListParagraph"/>
        <w:numPr>
          <w:ilvl w:val="0"/>
          <w:numId w:val="2"/>
        </w:numPr>
        <w:spacing w:before="80" w:after="80"/>
      </w:pPr>
      <w:r>
        <w:rPr>
          <w:rFonts w:ascii="Arial" w:cs="Arial" w:eastAsia="Arial" w:hAnsi="Arial"/>
          <w:b/>
          <w:bCs/>
          <w:color w:val="333333"/>
          <w:sz w:val="22"/>
          <w:szCs w:val="22"/>
        </w:rPr>
        <w:t xml:space="preserve">80+ internationally accredited golf courses </w:t>
      </w:r>
      <w:r>
        <w:rPr>
          <w:rFonts w:ascii="Arial" w:cs="Arial" w:eastAsia="Arial" w:hAnsi="Arial"/>
          <w:color w:val="333333"/>
          <w:sz w:val="22"/>
          <w:szCs w:val="22"/>
        </w:rPr>
        <w:t xml:space="preserve">nationwide with more under development</w:t>
      </w:r>
    </w:p>
    <w:p>
      <w:pPr>
        <w:pStyle w:val="ListParagraph"/>
        <w:numPr>
          <w:ilvl w:val="0"/>
          <w:numId w:val="2"/>
        </w:numPr>
        <w:spacing w:before="80" w:after="80"/>
      </w:pPr>
      <w:r>
        <w:rPr>
          <w:rFonts w:ascii="Arial" w:cs="Arial" w:eastAsia="Arial" w:hAnsi="Arial"/>
          <w:b/>
          <w:bCs/>
          <w:color w:val="333333"/>
          <w:sz w:val="22"/>
          <w:szCs w:val="22"/>
        </w:rPr>
        <w:t xml:space="preserve">"Asia's Best Golf Destination" </w:t>
      </w:r>
      <w:r>
        <w:rPr>
          <w:rFonts w:ascii="Arial" w:cs="Arial" w:eastAsia="Arial" w:hAnsi="Arial"/>
          <w:color w:val="333333"/>
          <w:sz w:val="22"/>
          <w:szCs w:val="22"/>
        </w:rPr>
        <w:t xml:space="preserve">award for 8 consecutive years (2017-2024)</w:t>
      </w:r>
    </w:p>
    <w:p>
      <w:pPr>
        <w:pStyle w:val="ListParagraph"/>
        <w:numPr>
          <w:ilvl w:val="0"/>
          <w:numId w:val="2"/>
        </w:numPr>
        <w:spacing w:before="80" w:after="80"/>
      </w:pPr>
      <w:r>
        <w:rPr>
          <w:rFonts w:ascii="Arial" w:cs="Arial" w:eastAsia="Arial" w:hAnsi="Arial"/>
          <w:b/>
          <w:bCs/>
          <w:color w:val="333333"/>
          <w:sz w:val="22"/>
          <w:szCs w:val="22"/>
        </w:rPr>
        <w:t xml:space="preserve">"World's Best Golf Destination" </w:t>
      </w:r>
      <w:r>
        <w:rPr>
          <w:rFonts w:ascii="Arial" w:cs="Arial" w:eastAsia="Arial" w:hAnsi="Arial"/>
          <w:color w:val="333333"/>
          <w:sz w:val="22"/>
          <w:szCs w:val="22"/>
        </w:rPr>
        <w:t xml:space="preserve">award in 2019 and 2021</w:t>
      </w:r>
    </w:p>
    <w:p>
      <w:pPr>
        <w:spacing w:before="100" w:after="100"/>
      </w:pPr>
    </w:p>
    <w:p>
      <w:pPr>
        <w:spacing w:before="300" w:after="150"/>
      </w:pPr>
      <w:r>
        <w:rPr>
          <w:rFonts w:ascii="Georgia" w:cs="Georgia" w:eastAsia="Georgia" w:hAnsi="Georgia"/>
          <w:b/>
          <w:bCs/>
          <w:color w:val="1B2B4B"/>
          <w:sz w:val="28"/>
          <w:szCs w:val="28"/>
        </w:rPr>
        <w:t xml:space="preserve">Market Size &amp; Growth Trajectory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c>
          <w:tcPr>
            <w:tcW w:type="dxa" w:w="546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Metric</w:t>
            </w:r>
          </w:p>
        </w:tc>
        <w:tc>
          <w:tcPr>
            <w:tcW w:type="dxa" w:w="390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Value</w:t>
            </w:r>
          </w:p>
        </w:tc>
      </w:tr>
      <w:tr>
        <w:tc>
          <w:tcPr>
            <w:tcW w:type="dxa" w:w="546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Vietnam Golf Tourism Market (2025)</w:t>
            </w:r>
          </w:p>
        </w:tc>
        <w:tc>
          <w:tcPr>
            <w:tcW w:type="dxa" w:w="390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$137.82 million</w:t>
            </w:r>
          </w:p>
        </w:tc>
      </w:tr>
      <w:tr>
        <w:tc>
          <w:tcPr>
            <w:tcW w:type="dxa" w:w="54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Vietnam Golf Tourism Market (2034 projected)</w:t>
            </w:r>
          </w:p>
        </w:tc>
        <w:tc>
          <w:tcPr>
            <w:tcW w:type="dxa" w:w="39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333333"/>
                <w:sz w:val="22"/>
                <w:szCs w:val="22"/>
              </w:rPr>
              <w:t xml:space="preserve">$285.51 million</w:t>
            </w:r>
          </w:p>
        </w:tc>
      </w:tr>
      <w:tr>
        <w:tc>
          <w:tcPr>
            <w:tcW w:type="dxa" w:w="546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Compound Annual Growth Rate</w:t>
            </w:r>
          </w:p>
        </w:tc>
        <w:tc>
          <w:tcPr>
            <w:tcW w:type="dxa" w:w="390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18% CAGR</w:t>
            </w:r>
          </w:p>
        </w:tc>
      </w:tr>
      <w:tr>
        <w:tc>
          <w:tcPr>
            <w:tcW w:type="dxa" w:w="54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Global Golf Tourism Market (2024)</w:t>
            </w:r>
          </w:p>
        </w:tc>
        <w:tc>
          <w:tcPr>
            <w:tcW w:type="dxa" w:w="39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333333"/>
                <w:sz w:val="22"/>
                <w:szCs w:val="22"/>
              </w:rPr>
              <w:t xml:space="preserve">$25.34 billion</w:t>
            </w:r>
          </w:p>
        </w:tc>
      </w:tr>
      <w:tr>
        <w:tc>
          <w:tcPr>
            <w:tcW w:type="dxa" w:w="546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Global Golf Tourism Market (2030 projected)</w:t>
            </w:r>
          </w:p>
        </w:tc>
        <w:tc>
          <w:tcPr>
            <w:tcW w:type="dxa" w:w="390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$41.87 billion (9.1% CAGR)</w:t>
            </w:r>
          </w:p>
        </w:tc>
      </w:tr>
      <w:tr>
        <w:tc>
          <w:tcPr>
            <w:tcW w:type="dxa" w:w="546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Golf Tourist Spending vs. Average Tourist</w:t>
            </w:r>
          </w:p>
        </w:tc>
        <w:tc>
          <w:tcPr>
            <w:tcW w:type="dxa" w:w="390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333333"/>
                <w:sz w:val="22"/>
                <w:szCs w:val="22"/>
              </w:rPr>
              <w:t xml:space="preserve">6x higher</w:t>
            </w:r>
          </w:p>
        </w:tc>
      </w:tr>
      <w:tr>
        <w:tc>
          <w:tcPr>
            <w:tcW w:type="dxa" w:w="546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Global Golfer Population</w:t>
            </w:r>
          </w:p>
        </w:tc>
        <w:tc>
          <w:tcPr>
            <w:tcW w:type="dxa" w:w="390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66+ million players</w:t>
            </w:r>
          </w:p>
        </w:tc>
      </w:tr>
    </w:tbl>
    <w:p>
      <w:pPr>
        <w:spacing w:before="100" w:after="100"/>
      </w:pPr>
    </w:p>
    <w:p>
      <w:pPr>
        <w:spacing w:before="100" w:after="100"/>
        <w:jc w:val="left"/>
      </w:pPr>
      <w:r>
        <w:rPr>
          <w:rFonts w:ascii="Arial" w:cs="Arial" w:eastAsia="Arial" w:hAnsi="Arial"/>
          <w:color w:val="666666"/>
          <w:sz w:val="18"/>
          <w:szCs w:val="18"/>
        </w:rPr>
        <w:t xml:space="preserve">Sources: IMARC Group Vietnam Golf Tourism Market Report, Vietnam National Authority of Tourism, World Golf Awards</w:t>
      </w:r>
    </w:p>
    <w:p>
      <w:r>
        <w:br w:type="page"/>
      </w:r>
    </w:p>
    <w:p>
      <w:pPr>
        <w:pBdr>
          <w:bottom w:val="single" w:color="C9A227" w:sz="6"/>
        </w:pBdr>
        <w:spacing w:before="400" w:after="200"/>
      </w:pPr>
      <w:r>
        <w:rPr>
          <w:rFonts w:ascii="Georgia" w:cs="Georgia" w:eastAsia="Georgia" w:hAnsi="Georgia"/>
          <w:b/>
          <w:bCs/>
          <w:color w:val="1B2B4B"/>
          <w:sz w:val="36"/>
          <w:szCs w:val="36"/>
        </w:rPr>
        <w:t xml:space="preserve">COMPETITIVE ADVANTAGE</w:t>
      </w:r>
    </w:p>
    <w:p>
      <w:pPr>
        <w:spacing w:before="100" w:after="100"/>
      </w:pPr>
    </w:p>
    <w:p>
      <w:pPr>
        <w:spacing w:before="300" w:after="150"/>
      </w:pPr>
      <w:r>
        <w:rPr>
          <w:rFonts w:ascii="Georgia" w:cs="Georgia" w:eastAsia="Georgia" w:hAnsi="Georgia"/>
          <w:b/>
          <w:bCs/>
          <w:color w:val="1B2B4B"/>
          <w:sz w:val="28"/>
          <w:szCs w:val="28"/>
        </w:rPr>
        <w:t xml:space="preserve">The White Space We Own</w:t>
      </w:r>
    </w:p>
    <w:p>
      <w:pPr>
        <w:spacing w:before="100" w:after="100"/>
        <w:jc w:val="left"/>
      </w:pPr>
      <w:r>
        <w:rPr>
          <w:rFonts w:ascii="Arial" w:cs="Arial" w:eastAsia="Arial" w:hAnsi="Arial"/>
          <w:color w:val="333333"/>
          <w:sz w:val="22"/>
          <w:szCs w:val="22"/>
        </w:rPr>
        <w:t xml:space="preserve">After analyzing 10+ Vietnam golf tour operators, a clear pattern emerges: everyone focuses on logistics while cultural experiences are an afterthought. The market is fragmented, with no clear leader—and critically, no operator specifically targets affluent American golfers.</w:t>
      </w:r>
    </w:p>
    <w:p>
      <w:pPr>
        <w:spacing w:before="100"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Market Segment</w:t>
            </w:r>
          </w:p>
        </w:tc>
        <w:tc>
          <w:tcPr>
            <w:tcW w:type="dxa" w:w="312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Current Players</w:t>
            </w:r>
          </w:p>
        </w:tc>
        <w:tc>
          <w:tcPr>
            <w:tcW w:type="dxa" w:w="312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Gap/Opportunity</w:t>
            </w:r>
          </w:p>
        </w:tc>
      </w:tr>
      <w:tr>
        <w:tc>
          <w:tcPr>
            <w:tcW w:type="dxa" w:w="312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Budget ($800-$1,500)</w:t>
            </w:r>
          </w:p>
        </w:tc>
        <w:tc>
          <w:tcPr>
            <w:tcW w:type="dxa" w:w="312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Way to Vietnam, GolfLux basic</w:t>
            </w:r>
          </w:p>
        </w:tc>
        <w:tc>
          <w:tcPr>
            <w:tcW w:type="dxa" w:w="312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Crowded, price-driven</w:t>
            </w:r>
          </w:p>
        </w:tc>
      </w:tr>
      <w:tr>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Mid-Market ($1,500-$3,000)</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Golf Asian, Vietnam Luxury Golf</w:t>
            </w:r>
          </w:p>
        </w:tc>
        <w:tc>
          <w:tcPr>
            <w:tcW w:type="dxa" w:w="312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Competition on service, not experience</w:t>
            </w:r>
          </w:p>
        </w:tc>
      </w:tr>
      <w:tr>
        <w:tc>
          <w:tcPr>
            <w:tcW w:type="dxa" w:w="312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Premium ($3,000-$5,000)</w:t>
            </w:r>
          </w:p>
        </w:tc>
        <w:tc>
          <w:tcPr>
            <w:tcW w:type="dxa" w:w="312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Vietnam Golf Luxury, Golfbreaks</w:t>
            </w:r>
          </w:p>
        </w:tc>
        <w:tc>
          <w:tcPr>
            <w:tcW w:type="dxa" w:w="312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Still logistics-focused</w:t>
            </w:r>
          </w:p>
        </w:tc>
      </w:tr>
      <w:tr>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color w:val="333333"/>
                <w:sz w:val="22"/>
                <w:szCs w:val="22"/>
              </w:rPr>
              <w:t xml:space="preserve">Ultra-Premium ($5,000-$15,000)</w:t>
            </w:r>
          </w:p>
        </w:tc>
        <w:tc>
          <w:tcPr>
            <w:tcW w:type="dxa" w:w="3120"/>
            <w:tcBorders>
              <w:top w:val="single" w:color="CCCCCC" w:sz="1"/>
              <w:left w:val="single" w:color="CCCCCC" w:sz="1"/>
              <w:bottom w:val="single" w:color="CCCCCC" w:sz="1"/>
              <w:right w:val="single" w:color="CCCCCC" w:sz="1"/>
            </w:tcBorders>
            <w:shd w:fill="E8F4E8" w:val="clear"/>
          </w:tcPr>
          <w:p>
            <w:pPr>
              <w:jc w:val="center"/>
            </w:pPr>
            <w:r>
              <w:rPr>
                <w:rFonts w:ascii="Arial" w:cs="Arial" w:eastAsia="Arial" w:hAnsi="Arial"/>
                <w:b/>
                <w:bCs/>
                <w:color w:val="333333"/>
                <w:sz w:val="22"/>
                <w:szCs w:val="22"/>
              </w:rPr>
              <w:t xml:space="preserve">NYN GOLF (TARGET)</w:t>
            </w:r>
          </w:p>
        </w:tc>
        <w:tc>
          <w:tcPr>
            <w:tcW w:type="dxa" w:w="312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color w:val="333333"/>
                <w:sz w:val="22"/>
                <w:szCs w:val="22"/>
              </w:rPr>
              <w:t xml:space="preserve">VIRTUALLY NO COMPETITION</w:t>
            </w:r>
          </w:p>
        </w:tc>
      </w:tr>
    </w:tbl>
    <w:p>
      <w:pPr>
        <w:spacing w:before="100" w:after="100"/>
      </w:pPr>
    </w:p>
    <w:p>
      <w:pPr>
        <w:spacing w:before="300" w:after="150"/>
      </w:pPr>
      <w:r>
        <w:rPr>
          <w:rFonts w:ascii="Georgia" w:cs="Georgia" w:eastAsia="Georgia" w:hAnsi="Georgia"/>
          <w:b/>
          <w:bCs/>
          <w:color w:val="1B2B4B"/>
          <w:sz w:val="28"/>
          <w:szCs w:val="28"/>
        </w:rPr>
        <w:t xml:space="preserve">Five Gaps Only NYN Golf Fills</w:t>
      </w:r>
    </w:p>
    <w:p>
      <w:pPr>
        <w:spacing w:before="100" w:after="100"/>
      </w:pPr>
    </w:p>
    <w:p>
      <w:pPr>
        <w:pStyle w:val="ListParagraph"/>
        <w:numPr>
          <w:ilvl w:val="0"/>
          <w:numId w:val="2"/>
        </w:numPr>
        <w:spacing w:before="80" w:after="80"/>
      </w:pPr>
      <w:r>
        <w:rPr>
          <w:rFonts w:ascii="Arial" w:cs="Arial" w:eastAsia="Arial" w:hAnsi="Arial"/>
          <w:b/>
          <w:bCs/>
          <w:color w:val="333333"/>
          <w:sz w:val="22"/>
          <w:szCs w:val="22"/>
        </w:rPr>
        <w:t xml:space="preserve">1. American Market Gap: </w:t>
      </w:r>
      <w:r>
        <w:rPr>
          <w:rFonts w:ascii="Arial" w:cs="Arial" w:eastAsia="Arial" w:hAnsi="Arial"/>
          <w:color w:val="333333"/>
          <w:sz w:val="22"/>
          <w:szCs w:val="22"/>
        </w:rPr>
        <w:t xml:space="preserve">Nearly all competitors serve Asian/Australian/UK golfers. American-focused marketing, communication styles, and value proposition are absent.</w:t>
      </w:r>
    </w:p>
    <w:p>
      <w:pPr>
        <w:pStyle w:val="ListParagraph"/>
        <w:numPr>
          <w:ilvl w:val="0"/>
          <w:numId w:val="2"/>
        </w:numPr>
        <w:spacing w:before="80" w:after="80"/>
      </w:pPr>
      <w:r>
        <w:rPr>
          <w:rFonts w:ascii="Arial" w:cs="Arial" w:eastAsia="Arial" w:hAnsi="Arial"/>
          <w:b/>
          <w:bCs/>
          <w:color w:val="333333"/>
          <w:sz w:val="22"/>
          <w:szCs w:val="22"/>
        </w:rPr>
        <w:t xml:space="preserve">2. Premium Price Point Gap: </w:t>
      </w:r>
      <w:r>
        <w:rPr>
          <w:rFonts w:ascii="Arial" w:cs="Arial" w:eastAsia="Arial" w:hAnsi="Arial"/>
          <w:color w:val="333333"/>
          <w:sz w:val="22"/>
          <w:szCs w:val="22"/>
        </w:rPr>
        <w:t xml:space="preserve">The market clusters at $1,500-$3,500. Above $5,000, there's essentially no dedicated competition.</w:t>
      </w:r>
    </w:p>
    <w:p>
      <w:pPr>
        <w:pStyle w:val="ListParagraph"/>
        <w:numPr>
          <w:ilvl w:val="0"/>
          <w:numId w:val="2"/>
        </w:numPr>
        <w:spacing w:before="80" w:after="80"/>
      </w:pPr>
      <w:r>
        <w:rPr>
          <w:rFonts w:ascii="Arial" w:cs="Arial" w:eastAsia="Arial" w:hAnsi="Arial"/>
          <w:b/>
          <w:bCs/>
          <w:color w:val="333333"/>
          <w:sz w:val="22"/>
          <w:szCs w:val="22"/>
        </w:rPr>
        <w:t xml:space="preserve">3. Cultural Immersion Gap: </w:t>
      </w:r>
      <w:r>
        <w:rPr>
          <w:rFonts w:ascii="Arial" w:cs="Arial" w:eastAsia="Arial" w:hAnsi="Arial"/>
          <w:color w:val="333333"/>
          <w:sz w:val="22"/>
          <w:szCs w:val="22"/>
        </w:rPr>
        <w:t xml:space="preserve">"Cultural experiences" at competitors means Ha Long Bay cruise or Hoi An walking tour—not curated, exclusive, insider access.</w:t>
      </w:r>
    </w:p>
    <w:p>
      <w:pPr>
        <w:pStyle w:val="ListParagraph"/>
        <w:numPr>
          <w:ilvl w:val="0"/>
          <w:numId w:val="2"/>
        </w:numPr>
        <w:spacing w:before="80" w:after="80"/>
      </w:pPr>
      <w:r>
        <w:rPr>
          <w:rFonts w:ascii="Arial" w:cs="Arial" w:eastAsia="Arial" w:hAnsi="Arial"/>
          <w:b/>
          <w:bCs/>
          <w:color w:val="333333"/>
          <w:sz w:val="22"/>
          <w:szCs w:val="22"/>
        </w:rPr>
        <w:t xml:space="preserve">4. Founder-Led Brand Gap: </w:t>
      </w:r>
      <w:r>
        <w:rPr>
          <w:rFonts w:ascii="Arial" w:cs="Arial" w:eastAsia="Arial" w:hAnsi="Arial"/>
          <w:color w:val="333333"/>
          <w:sz w:val="22"/>
          <w:szCs w:val="22"/>
        </w:rPr>
        <w:t xml:space="preserve">Every competitor is a faceless travel agency. None have a founder story, personal brand, or authentic voice.</w:t>
      </w:r>
    </w:p>
    <w:p>
      <w:pPr>
        <w:pStyle w:val="ListParagraph"/>
        <w:numPr>
          <w:ilvl w:val="0"/>
          <w:numId w:val="2"/>
        </w:numPr>
        <w:spacing w:before="80" w:after="80"/>
      </w:pPr>
      <w:r>
        <w:rPr>
          <w:rFonts w:ascii="Arial" w:cs="Arial" w:eastAsia="Arial" w:hAnsi="Arial"/>
          <w:b/>
          <w:bCs/>
          <w:color w:val="333333"/>
          <w:sz w:val="22"/>
          <w:szCs w:val="22"/>
        </w:rPr>
        <w:t xml:space="preserve">5. Technology/Marketing Gap: </w:t>
      </w:r>
      <w:r>
        <w:rPr>
          <w:rFonts w:ascii="Arial" w:cs="Arial" w:eastAsia="Arial" w:hAnsi="Arial"/>
          <w:color w:val="333333"/>
          <w:sz w:val="22"/>
          <w:szCs w:val="22"/>
        </w:rPr>
        <w:t xml:space="preserve">All competitors use static websites with photo galleries. NYN Golf plans immersive 360° VR course previews.</w:t>
      </w:r>
    </w:p>
    <w:p>
      <w:pPr>
        <w:spacing w:before="100" w:after="100"/>
      </w:pPr>
    </w:p>
    <w:p>
      <w:pPr>
        <w:spacing w:before="300" w:after="150"/>
      </w:pPr>
      <w:r>
        <w:rPr>
          <w:rFonts w:ascii="Georgia" w:cs="Georgia" w:eastAsia="Georgia" w:hAnsi="Georgia"/>
          <w:b/>
          <w:bCs/>
          <w:color w:val="1B2B4B"/>
          <w:sz w:val="28"/>
          <w:szCs w:val="28"/>
        </w:rPr>
        <w:t xml:space="preserve">Our Positioning Statement</w:t>
      </w:r>
    </w:p>
    <w:p>
      <w:pPr>
        <w:pBdr>
          <w:left w:val="single" w:color="C9A227" w:sz="12"/>
        </w:pBdr>
        <w:spacing w:before="100" w:after="200"/>
        <w:ind w:left="360"/>
      </w:pPr>
      <w:r>
        <w:rPr>
          <w:rFonts w:ascii="Georgia" w:cs="Georgia" w:eastAsia="Georgia" w:hAnsi="Georgia"/>
          <w:i/>
          <w:iCs/>
          <w:color w:val="333333"/>
          <w:sz w:val="22"/>
          <w:szCs w:val="22"/>
        </w:rPr>
        <w:t xml:space="preserve">"NYN Golf is the only luxury Vietnam golf experience designed specifically for affluent American golfers who want world-class courses AND deep cultural immersion—guided by an American founder who lives in Vietnam and understands that a great golf trip is really about creating a great life experience."</w:t>
      </w:r>
    </w:p>
    <w:p>
      <w:r>
        <w:br w:type="page"/>
      </w:r>
    </w:p>
    <w:p>
      <w:pPr>
        <w:pBdr>
          <w:bottom w:val="single" w:color="C9A227" w:sz="6"/>
        </w:pBdr>
        <w:spacing w:before="400" w:after="200"/>
      </w:pPr>
      <w:r>
        <w:rPr>
          <w:rFonts w:ascii="Georgia" w:cs="Georgia" w:eastAsia="Georgia" w:hAnsi="Georgia"/>
          <w:b/>
          <w:bCs/>
          <w:color w:val="1B2B4B"/>
          <w:sz w:val="36"/>
          <w:szCs w:val="36"/>
        </w:rPr>
        <w:t xml:space="preserve">THE FOUNDER</w:t>
      </w:r>
    </w:p>
    <w:p>
      <w:pPr>
        <w:spacing w:before="100" w:after="100"/>
      </w:pPr>
    </w:p>
    <w:p>
      <w:pPr>
        <w:spacing w:before="300" w:after="150"/>
      </w:pPr>
      <w:r>
        <w:rPr>
          <w:rFonts w:ascii="Georgia" w:cs="Georgia" w:eastAsia="Georgia" w:hAnsi="Georgia"/>
          <w:b/>
          <w:bCs/>
          <w:color w:val="1B2B4B"/>
          <w:sz w:val="28"/>
          <w:szCs w:val="28"/>
        </w:rPr>
        <w:t xml:space="preserve">Steve Winfield — The Event Expert Who Happens to Love Golf</w:t>
      </w:r>
    </w:p>
    <w:p>
      <w:pPr>
        <w:spacing w:before="100" w:after="100"/>
        <w:jc w:val="left"/>
      </w:pPr>
      <w:r>
        <w:rPr>
          <w:rFonts w:ascii="Arial" w:cs="Arial" w:eastAsia="Arial" w:hAnsi="Arial"/>
          <w:color w:val="333333"/>
          <w:sz w:val="22"/>
          <w:szCs w:val="22"/>
        </w:rPr>
        <w:t xml:space="preserve">NYN Golf isn't built by a golf pro or a travel agent. It's built by someone who has spent a career creating experiences that people remember.</w:t>
      </w:r>
    </w:p>
    <w:p>
      <w:pPr>
        <w:spacing w:before="100" w:after="100"/>
      </w:pPr>
    </w:p>
    <w:p>
      <w:pPr>
        <w:pBdr>
          <w:left w:val="single" w:color="C9A227" w:sz="12"/>
        </w:pBdr>
        <w:spacing w:before="100" w:after="200"/>
        <w:ind w:left="360"/>
      </w:pPr>
      <w:r>
        <w:rPr>
          <w:rFonts w:ascii="Georgia" w:cs="Georgia" w:eastAsia="Georgia" w:hAnsi="Georgia"/>
          <w:i/>
          <w:iCs/>
          <w:color w:val="333333"/>
          <w:sz w:val="22"/>
          <w:szCs w:val="22"/>
        </w:rPr>
        <w:t xml:space="preserve">"I've played golf—poorly—all around the world. But I've never forgotten a single trip. That's because the best golf experiences aren't really about the golf. They're about the people you're with, the places you discover, and the stories you bring home. That's what I know how to create."</w:t>
      </w:r>
      <w:r>
        <w:rPr>
          <w:rFonts w:ascii="Georgia" w:cs="Georgia" w:eastAsia="Georgia" w:hAnsi="Georgia"/>
          <w:color w:val="666666"/>
          <w:sz w:val="22"/>
          <w:szCs w:val="22"/>
        </w:rPr>
        <w:t xml:space="preserve"> — Steve Winfield</w:t>
      </w:r>
    </w:p>
    <w:p>
      <w:pPr>
        <w:spacing w:before="100" w:after="100"/>
      </w:pPr>
    </w:p>
    <w:p>
      <w:pPr>
        <w:spacing w:before="300" w:after="150"/>
      </w:pPr>
      <w:r>
        <w:rPr>
          <w:rFonts w:ascii="Georgia" w:cs="Georgia" w:eastAsia="Georgia" w:hAnsi="Georgia"/>
          <w:b/>
          <w:bCs/>
          <w:color w:val="1B2B4B"/>
          <w:sz w:val="28"/>
          <w:szCs w:val="28"/>
        </w:rPr>
        <w:t xml:space="preserve">A Career Built on Creating Experiences</w:t>
      </w:r>
    </w:p>
    <w:p>
      <w:pPr>
        <w:pStyle w:val="ListParagraph"/>
        <w:numPr>
          <w:ilvl w:val="0"/>
          <w:numId w:val="2"/>
        </w:numPr>
        <w:spacing w:before="80" w:after="80"/>
      </w:pPr>
      <w:r>
        <w:rPr>
          <w:rFonts w:ascii="Arial" w:cs="Arial" w:eastAsia="Arial" w:hAnsi="Arial"/>
          <w:b/>
          <w:bCs/>
          <w:color w:val="333333"/>
          <w:sz w:val="22"/>
          <w:szCs w:val="22"/>
        </w:rPr>
        <w:t xml:space="preserve">25+ Years </w:t>
      </w:r>
      <w:r>
        <w:rPr>
          <w:rFonts w:ascii="Arial" w:cs="Arial" w:eastAsia="Arial" w:hAnsi="Arial"/>
          <w:color w:val="333333"/>
          <w:sz w:val="22"/>
          <w:szCs w:val="22"/>
        </w:rPr>
        <w:t xml:space="preserve">in technology channel sales, including 15+ years at Microsoft managing worldwide partner relationships and generating billions in revenue</w:t>
      </w:r>
    </w:p>
    <w:p>
      <w:pPr>
        <w:pStyle w:val="ListParagraph"/>
        <w:numPr>
          <w:ilvl w:val="0"/>
          <w:numId w:val="2"/>
        </w:numPr>
        <w:spacing w:before="80" w:after="80"/>
      </w:pPr>
      <w:r>
        <w:rPr>
          <w:rFonts w:ascii="Arial" w:cs="Arial" w:eastAsia="Arial" w:hAnsi="Arial"/>
          <w:b/>
          <w:bCs/>
          <w:color w:val="333333"/>
          <w:sz w:val="22"/>
          <w:szCs w:val="22"/>
        </w:rPr>
        <w:t xml:space="preserve">Nearly 200 Events </w:t>
      </w:r>
      <w:r>
        <w:rPr>
          <w:rFonts w:ascii="Arial" w:cs="Arial" w:eastAsia="Arial" w:hAnsi="Arial"/>
          <w:color w:val="333333"/>
          <w:sz w:val="22"/>
          <w:szCs w:val="22"/>
        </w:rPr>
        <w:t xml:space="preserve">—Steve has planned or attended close to 200 corporate events, partner summits, incentive trips, and customer experiences. He knows what separates a forgettable event from one people talk about for years.</w:t>
      </w:r>
    </w:p>
    <w:p>
      <w:pPr>
        <w:pStyle w:val="ListParagraph"/>
        <w:numPr>
          <w:ilvl w:val="0"/>
          <w:numId w:val="2"/>
        </w:numPr>
        <w:spacing w:before="80" w:after="80"/>
      </w:pPr>
      <w:r>
        <w:rPr>
          <w:rFonts w:ascii="Arial" w:cs="Arial" w:eastAsia="Arial" w:hAnsi="Arial"/>
          <w:b/>
          <w:bCs/>
          <w:color w:val="333333"/>
          <w:sz w:val="22"/>
          <w:szCs w:val="22"/>
        </w:rPr>
        <w:t xml:space="preserve">International Experience </w:t>
      </w:r>
      <w:r>
        <w:rPr>
          <w:rFonts w:ascii="Arial" w:cs="Arial" w:eastAsia="Arial" w:hAnsi="Arial"/>
          <w:color w:val="333333"/>
          <w:sz w:val="22"/>
          <w:szCs w:val="22"/>
        </w:rPr>
        <w:t xml:space="preserve">across 41+ countries—understanding how business and hospitality operate across cultures</w:t>
      </w:r>
    </w:p>
    <w:p>
      <w:pPr>
        <w:pStyle w:val="ListParagraph"/>
        <w:numPr>
          <w:ilvl w:val="0"/>
          <w:numId w:val="2"/>
        </w:numPr>
        <w:spacing w:before="80" w:after="80"/>
      </w:pPr>
      <w:r>
        <w:rPr>
          <w:rFonts w:ascii="Arial" w:cs="Arial" w:eastAsia="Arial" w:hAnsi="Arial"/>
          <w:b/>
          <w:bCs/>
          <w:color w:val="333333"/>
          <w:sz w:val="22"/>
          <w:szCs w:val="22"/>
        </w:rPr>
        <w:t xml:space="preserve">Former Educator </w:t>
      </w:r>
      <w:r>
        <w:rPr>
          <w:rFonts w:ascii="Arial" w:cs="Arial" w:eastAsia="Arial" w:hAnsi="Arial"/>
          <w:color w:val="333333"/>
          <w:sz w:val="22"/>
          <w:szCs w:val="22"/>
        </w:rPr>
        <w:t xml:space="preserve">as a teacher, coach, and principal—communication, leadership, and genuine care for people are second nature</w:t>
      </w:r>
    </w:p>
    <w:p>
      <w:pPr>
        <w:pStyle w:val="ListParagraph"/>
        <w:numPr>
          <w:ilvl w:val="0"/>
          <w:numId w:val="2"/>
        </w:numPr>
        <w:spacing w:before="80" w:after="80"/>
      </w:pPr>
      <w:r>
        <w:rPr>
          <w:rFonts w:ascii="Arial" w:cs="Arial" w:eastAsia="Arial" w:hAnsi="Arial"/>
          <w:b/>
          <w:bCs/>
          <w:color w:val="333333"/>
          <w:sz w:val="22"/>
          <w:szCs w:val="22"/>
        </w:rPr>
        <w:t xml:space="preserve">Boots on the Ground </w:t>
      </w:r>
      <w:r>
        <w:rPr>
          <w:rFonts w:ascii="Arial" w:cs="Arial" w:eastAsia="Arial" w:hAnsi="Arial"/>
          <w:color w:val="333333"/>
          <w:sz w:val="22"/>
          <w:szCs w:val="22"/>
        </w:rPr>
        <w:t xml:space="preserve">—Steve is establishing full-time operations in Vietnam in Q1 2026, building relationships on the ground that remote operators simply cannot replicate</w:t>
      </w:r>
    </w:p>
    <w:p>
      <w:pPr>
        <w:spacing w:before="100" w:after="100"/>
      </w:pPr>
    </w:p>
    <w:p>
      <w:pPr>
        <w:spacing w:before="300" w:after="150"/>
      </w:pPr>
      <w:r>
        <w:rPr>
          <w:rFonts w:ascii="Georgia" w:cs="Georgia" w:eastAsia="Georgia" w:hAnsi="Georgia"/>
          <w:b/>
          <w:bCs/>
          <w:color w:val="1B2B4B"/>
          <w:sz w:val="28"/>
          <w:szCs w:val="28"/>
        </w:rPr>
        <w:t xml:space="preserve">Why Event Expertise Matters More Than Golf Expertise</w:t>
      </w:r>
    </w:p>
    <w:p>
      <w:pPr>
        <w:spacing w:before="100" w:after="100"/>
        <w:jc w:val="left"/>
      </w:pPr>
      <w:r>
        <w:rPr>
          <w:rFonts w:ascii="Arial" w:cs="Arial" w:eastAsia="Arial" w:hAnsi="Arial"/>
          <w:color w:val="333333"/>
          <w:sz w:val="22"/>
          <w:szCs w:val="22"/>
        </w:rPr>
        <w:t xml:space="preserve">Anyone can book a tee time. The difference between a good trip and an unforgettable one comes down to event operations expertise:</w:t>
      </w:r>
    </w:p>
    <w:p>
      <w:pPr>
        <w:spacing w:before="100" w:after="100"/>
      </w:pPr>
    </w:p>
    <w:p>
      <w:pPr>
        <w:pStyle w:val="ListParagraph"/>
        <w:numPr>
          <w:ilvl w:val="0"/>
          <w:numId w:val="2"/>
        </w:numPr>
        <w:spacing w:before="80" w:after="80"/>
      </w:pPr>
      <w:r>
        <w:rPr>
          <w:rFonts w:ascii="Arial" w:cs="Arial" w:eastAsia="Arial" w:hAnsi="Arial"/>
          <w:b/>
          <w:bCs/>
          <w:color w:val="333333"/>
          <w:sz w:val="22"/>
          <w:szCs w:val="22"/>
        </w:rPr>
        <w:t xml:space="preserve">Logistics mastery: </w:t>
      </w:r>
      <w:r>
        <w:rPr>
          <w:rFonts w:ascii="Arial" w:cs="Arial" w:eastAsia="Arial" w:hAnsi="Arial"/>
          <w:color w:val="333333"/>
          <w:sz w:val="22"/>
          <w:szCs w:val="22"/>
        </w:rPr>
        <w:t xml:space="preserve">Anticipating problems before they happen</w:t>
      </w:r>
    </w:p>
    <w:p>
      <w:pPr>
        <w:pStyle w:val="ListParagraph"/>
        <w:numPr>
          <w:ilvl w:val="0"/>
          <w:numId w:val="2"/>
        </w:numPr>
        <w:spacing w:before="80" w:after="80"/>
      </w:pPr>
      <w:r>
        <w:rPr>
          <w:rFonts w:ascii="Arial" w:cs="Arial" w:eastAsia="Arial" w:hAnsi="Arial"/>
          <w:b/>
          <w:bCs/>
          <w:color w:val="333333"/>
          <w:sz w:val="22"/>
          <w:szCs w:val="22"/>
        </w:rPr>
        <w:t xml:space="preserve">Reading the room: </w:t>
      </w:r>
      <w:r>
        <w:rPr>
          <w:rFonts w:ascii="Arial" w:cs="Arial" w:eastAsia="Arial" w:hAnsi="Arial"/>
          <w:color w:val="333333"/>
          <w:sz w:val="22"/>
          <w:szCs w:val="22"/>
        </w:rPr>
        <w:t xml:space="preserve">Knowing when to stick to the plan and when to improvise</w:t>
      </w:r>
    </w:p>
    <w:p>
      <w:pPr>
        <w:pStyle w:val="ListParagraph"/>
        <w:numPr>
          <w:ilvl w:val="0"/>
          <w:numId w:val="2"/>
        </w:numPr>
        <w:spacing w:before="80" w:after="80"/>
      </w:pPr>
      <w:r>
        <w:rPr>
          <w:rFonts w:ascii="Arial" w:cs="Arial" w:eastAsia="Arial" w:hAnsi="Arial"/>
          <w:b/>
          <w:bCs/>
          <w:color w:val="333333"/>
          <w:sz w:val="22"/>
          <w:szCs w:val="22"/>
        </w:rPr>
        <w:t xml:space="preserve">Creating moments: </w:t>
      </w:r>
      <w:r>
        <w:rPr>
          <w:rFonts w:ascii="Arial" w:cs="Arial" w:eastAsia="Arial" w:hAnsi="Arial"/>
          <w:color w:val="333333"/>
          <w:sz w:val="22"/>
          <w:szCs w:val="22"/>
        </w:rPr>
        <w:t xml:space="preserve">Every touchpoint—from airport pickup to farewell dinner—feels intentional</w:t>
      </w:r>
    </w:p>
    <w:p>
      <w:pPr>
        <w:pStyle w:val="ListParagraph"/>
        <w:numPr>
          <w:ilvl w:val="0"/>
          <w:numId w:val="2"/>
        </w:numPr>
        <w:spacing w:before="80" w:after="80"/>
      </w:pPr>
      <w:r>
        <w:rPr>
          <w:rFonts w:ascii="Arial" w:cs="Arial" w:eastAsia="Arial" w:hAnsi="Arial"/>
          <w:b/>
          <w:bCs/>
          <w:color w:val="333333"/>
          <w:sz w:val="22"/>
          <w:szCs w:val="22"/>
        </w:rPr>
        <w:t xml:space="preserve">Personal attention: </w:t>
      </w:r>
      <w:r>
        <w:rPr>
          <w:rFonts w:ascii="Arial" w:cs="Arial" w:eastAsia="Arial" w:hAnsi="Arial"/>
          <w:color w:val="333333"/>
          <w:sz w:val="22"/>
          <w:szCs w:val="22"/>
        </w:rPr>
        <w:t xml:space="preserve">Making every guest feel like the trip was designed just for them</w:t>
      </w:r>
    </w:p>
    <w:p>
      <w:pPr>
        <w:spacing w:before="100" w:after="100"/>
      </w:pPr>
    </w:p>
    <w:p>
      <w:pPr>
        <w:spacing w:before="100" w:after="100"/>
        <w:jc w:val="left"/>
      </w:pPr>
      <w:r>
        <w:rPr>
          <w:rFonts w:ascii="Arial" w:cs="Arial" w:eastAsia="Arial" w:hAnsi="Arial"/>
          <w:color w:val="333333"/>
          <w:sz w:val="22"/>
          <w:szCs w:val="22"/>
        </w:rPr>
        <w:t xml:space="preserve">This is what Steve has done for Fortune 500 companies for 25 years. Now he's doing it for golfers who want more than a vacation—they want a life experience.</w:t>
      </w:r>
    </w:p>
    <w:p>
      <w:r>
        <w:br w:type="page"/>
      </w:r>
    </w:p>
    <w:p>
      <w:pPr>
        <w:pBdr>
          <w:bottom w:val="single" w:color="C9A227" w:sz="6"/>
        </w:pBdr>
        <w:spacing w:before="400" w:after="200"/>
      </w:pPr>
      <w:r>
        <w:rPr>
          <w:rFonts w:ascii="Georgia" w:cs="Georgia" w:eastAsia="Georgia" w:hAnsi="Georgia"/>
          <w:b/>
          <w:bCs/>
          <w:color w:val="1B2B4B"/>
          <w:sz w:val="36"/>
          <w:szCs w:val="36"/>
        </w:rPr>
        <w:t xml:space="preserve">FINANCIAL PROJECTIONS</w:t>
      </w:r>
    </w:p>
    <w:p>
      <w:pPr>
        <w:spacing w:before="100" w:after="100"/>
      </w:pPr>
    </w:p>
    <w:p>
      <w:pPr>
        <w:spacing w:before="100" w:after="100"/>
        <w:jc w:val="left"/>
      </w:pPr>
      <w:r>
        <w:rPr>
          <w:rFonts w:ascii="Arial" w:cs="Arial" w:eastAsia="Arial" w:hAnsi="Arial"/>
          <w:color w:val="333333"/>
          <w:sz w:val="22"/>
          <w:szCs w:val="22"/>
        </w:rPr>
        <w:t xml:space="preserve">The following projections represent Year 1 operations (launching Q2 2026). All scenarios assume an average package price of $4,000-$5,000 and a net margin of 25-33% after all operating costs.</w:t>
      </w:r>
    </w:p>
    <w:p>
      <w:pPr>
        <w:spacing w:before="100" w:after="100"/>
      </w:pPr>
    </w:p>
    <w:p>
      <w:pPr>
        <w:spacing w:before="300" w:after="150"/>
      </w:pPr>
      <w:r>
        <w:rPr>
          <w:rFonts w:ascii="Georgia" w:cs="Georgia" w:eastAsia="Georgia" w:hAnsi="Georgia"/>
          <w:b/>
          <w:bCs/>
          <w:color w:val="1B2B4B"/>
          <w:sz w:val="28"/>
          <w:szCs w:val="28"/>
        </w:rPr>
        <w:t xml:space="preserve">Year 1 Revenue 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Scenario</w:t>
            </w:r>
          </w:p>
        </w:tc>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Conservative</w:t>
            </w:r>
          </w:p>
        </w:tc>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Expected</w:t>
            </w:r>
          </w:p>
        </w:tc>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Stretch</w:t>
            </w:r>
          </w:p>
        </w:tc>
      </w:tr>
      <w:tr>
        <w:tc>
          <w:tcPr>
            <w:tcW w:type="dxa" w:w="234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Groups Served</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10 groups</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20 groups</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30 groups</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2"/>
                <w:szCs w:val="22"/>
              </w:rPr>
              <w:t xml:space="preserve">Avg. Group Size</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8 golfers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10 golfers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12 golfers</w:t>
            </w:r>
          </w:p>
        </w:tc>
      </w:tr>
      <w:tr>
        <w:tc>
          <w:tcPr>
            <w:tcW w:type="dxa" w:w="234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Avg. Package Price</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$4,000</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$4,500</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$5,000</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2"/>
                <w:szCs w:val="22"/>
              </w:rPr>
              <w:t xml:space="preserve">Total Guests</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80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200</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360</w:t>
            </w:r>
          </w:p>
        </w:tc>
      </w:tr>
      <w:tr>
        <w:tc>
          <w:tcPr>
            <w:tcW w:type="dxa" w:w="234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color w:val="333333"/>
                <w:sz w:val="22"/>
                <w:szCs w:val="22"/>
              </w:rPr>
              <w:t xml:space="preserve">Gross Revenue</w:t>
            </w:r>
          </w:p>
        </w:tc>
        <w:tc>
          <w:tcPr>
            <w:tcW w:type="dxa" w:w="2340"/>
            <w:tcBorders>
              <w:top w:val="single" w:color="CCCCCC" w:sz="1"/>
              <w:left w:val="single" w:color="CCCCCC" w:sz="1"/>
              <w:bottom w:val="single" w:color="CCCCCC" w:sz="1"/>
              <w:right w:val="single" w:color="CCCCCC" w:sz="1"/>
            </w:tcBorders>
            <w:shd w:fill="E8F4E8" w:val="clear"/>
          </w:tcPr>
          <w:p>
            <w:pPr>
              <w:jc w:val="center"/>
            </w:pPr>
            <w:r>
              <w:rPr>
                <w:rFonts w:ascii="Arial" w:cs="Arial" w:eastAsia="Arial" w:hAnsi="Arial"/>
                <w:b/>
                <w:bCs/>
                <w:color w:val="333333"/>
                <w:sz w:val="22"/>
                <w:szCs w:val="22"/>
              </w:rPr>
              <w:t xml:space="preserve">$320,000</w:t>
            </w:r>
          </w:p>
        </w:tc>
        <w:tc>
          <w:tcPr>
            <w:tcW w:type="dxa" w:w="2340"/>
            <w:tcBorders>
              <w:top w:val="single" w:color="CCCCCC" w:sz="1"/>
              <w:left w:val="single" w:color="CCCCCC" w:sz="1"/>
              <w:bottom w:val="single" w:color="CCCCCC" w:sz="1"/>
              <w:right w:val="single" w:color="CCCCCC" w:sz="1"/>
            </w:tcBorders>
            <w:shd w:fill="E8F4E8" w:val="clear"/>
          </w:tcPr>
          <w:p>
            <w:pPr>
              <w:jc w:val="center"/>
            </w:pPr>
            <w:r>
              <w:rPr>
                <w:rFonts w:ascii="Arial" w:cs="Arial" w:eastAsia="Arial" w:hAnsi="Arial"/>
                <w:b/>
                <w:bCs/>
                <w:color w:val="333333"/>
                <w:sz w:val="22"/>
                <w:szCs w:val="22"/>
              </w:rPr>
              <w:t xml:space="preserve">$900,000</w:t>
            </w:r>
          </w:p>
        </w:tc>
        <w:tc>
          <w:tcPr>
            <w:tcW w:type="dxa" w:w="2340"/>
            <w:tcBorders>
              <w:top w:val="single" w:color="CCCCCC" w:sz="1"/>
              <w:left w:val="single" w:color="CCCCCC" w:sz="1"/>
              <w:bottom w:val="single" w:color="CCCCCC" w:sz="1"/>
              <w:right w:val="single" w:color="CCCCCC" w:sz="1"/>
            </w:tcBorders>
            <w:shd w:fill="E8F4E8" w:val="clear"/>
          </w:tcPr>
          <w:p>
            <w:pPr>
              <w:jc w:val="center"/>
            </w:pPr>
            <w:r>
              <w:rPr>
                <w:rFonts w:ascii="Arial" w:cs="Arial" w:eastAsia="Arial" w:hAnsi="Arial"/>
                <w:b/>
                <w:bCs/>
                <w:color w:val="333333"/>
                <w:sz w:val="22"/>
                <w:szCs w:val="22"/>
              </w:rPr>
              <w:t xml:space="preserve">$1,800,000</w:t>
            </w:r>
          </w:p>
        </w:tc>
      </w:tr>
    </w:tbl>
    <w:p>
      <w:pPr>
        <w:spacing w:before="100" w:after="100"/>
      </w:pPr>
    </w:p>
    <w:p>
      <w:pPr>
        <w:spacing w:before="300" w:after="150"/>
      </w:pPr>
      <w:r>
        <w:rPr>
          <w:rFonts w:ascii="Georgia" w:cs="Georgia" w:eastAsia="Georgia" w:hAnsi="Georgia"/>
          <w:b/>
          <w:bCs/>
          <w:color w:val="1B2B4B"/>
          <w:sz w:val="28"/>
          <w:szCs w:val="28"/>
        </w:rPr>
        <w:t xml:space="preserve">Year 1 Profitability 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Metric</w:t>
            </w:r>
          </w:p>
        </w:tc>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Conservative</w:t>
            </w:r>
          </w:p>
        </w:tc>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Expected</w:t>
            </w:r>
          </w:p>
        </w:tc>
        <w:tc>
          <w:tcPr>
            <w:tcW w:type="dxa" w:w="234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Stretch</w:t>
            </w:r>
          </w:p>
        </w:tc>
      </w:tr>
      <w:tr>
        <w:tc>
          <w:tcPr>
            <w:tcW w:type="dxa" w:w="234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Gross Revenue</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$320,000</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$900,000</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val="false"/>
                <w:bCs w:val="false"/>
                <w:color w:val="333333"/>
                <w:sz w:val="22"/>
                <w:szCs w:val="22"/>
              </w:rPr>
              <w:t xml:space="preserve">$1,800,000</w:t>
            </w:r>
          </w:p>
        </w:tc>
      </w:tr>
      <w:tr>
        <w:tc>
          <w:tcPr>
            <w:tcW w:type="dxa" w:w="234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2"/>
                <w:szCs w:val="22"/>
              </w:rPr>
              <w:t xml:space="preserve">Net Margin (25-33%)</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$80K - $106K</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$225K - $297K</w:t>
            </w:r>
          </w:p>
        </w:tc>
        <w:tc>
          <w:tcPr>
            <w:tcW w:type="dxa" w:w="2340"/>
            <w:tcBorders>
              <w:top w:val="single" w:color="CCCCCC" w:sz="1"/>
              <w:left w:val="single" w:color="CCCCCC" w:sz="1"/>
              <w:bottom w:val="single" w:color="CCCCCC" w:sz="1"/>
              <w:right w:val="single" w:color="CCCCCC" w:sz="1"/>
            </w:tcBorders>
          </w:tcPr>
          <w:p>
            <w:pPr>
              <w:jc w:val="center"/>
            </w:pPr>
            <w:r>
              <w:rPr>
                <w:rFonts w:ascii="Arial" w:cs="Arial" w:eastAsia="Arial" w:hAnsi="Arial"/>
                <w:b w:val="false"/>
                <w:bCs w:val="false"/>
                <w:color w:val="333333"/>
                <w:sz w:val="22"/>
                <w:szCs w:val="22"/>
              </w:rPr>
              <w:t xml:space="preserve">$450K - $594K</w:t>
            </w:r>
          </w:p>
        </w:tc>
      </w:tr>
      <w:tr>
        <w:tc>
          <w:tcPr>
            <w:tcW w:type="dxa" w:w="234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Your 1.5% Share (Low)</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$1,200</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$3,375</w:t>
            </w:r>
          </w:p>
        </w:tc>
        <w:tc>
          <w:tcPr>
            <w:tcW w:type="dxa" w:w="234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$6,750</w:t>
            </w:r>
          </w:p>
        </w:tc>
      </w:tr>
      <w:tr>
        <w:tc>
          <w:tcPr>
            <w:tcW w:type="dxa" w:w="234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color w:val="333333"/>
                <w:sz w:val="22"/>
                <w:szCs w:val="22"/>
              </w:rPr>
              <w:t xml:space="preserve">Your 1.5% Share (High)</w:t>
            </w:r>
          </w:p>
        </w:tc>
        <w:tc>
          <w:tcPr>
            <w:tcW w:type="dxa" w:w="2340"/>
            <w:tcBorders>
              <w:top w:val="single" w:color="CCCCCC" w:sz="1"/>
              <w:left w:val="single" w:color="CCCCCC" w:sz="1"/>
              <w:bottom w:val="single" w:color="CCCCCC" w:sz="1"/>
              <w:right w:val="single" w:color="CCCCCC" w:sz="1"/>
            </w:tcBorders>
            <w:shd w:fill="E8F4E8" w:val="clear"/>
          </w:tcPr>
          <w:p>
            <w:pPr>
              <w:jc w:val="center"/>
            </w:pPr>
            <w:r>
              <w:rPr>
                <w:rFonts w:ascii="Arial" w:cs="Arial" w:eastAsia="Arial" w:hAnsi="Arial"/>
                <w:b/>
                <w:bCs/>
                <w:color w:val="333333"/>
                <w:sz w:val="22"/>
                <w:szCs w:val="22"/>
              </w:rPr>
              <w:t xml:space="preserve">$1,590</w:t>
            </w:r>
          </w:p>
        </w:tc>
        <w:tc>
          <w:tcPr>
            <w:tcW w:type="dxa" w:w="2340"/>
            <w:tcBorders>
              <w:top w:val="single" w:color="CCCCCC" w:sz="1"/>
              <w:left w:val="single" w:color="CCCCCC" w:sz="1"/>
              <w:bottom w:val="single" w:color="CCCCCC" w:sz="1"/>
              <w:right w:val="single" w:color="CCCCCC" w:sz="1"/>
            </w:tcBorders>
            <w:shd w:fill="E8F4E8" w:val="clear"/>
          </w:tcPr>
          <w:p>
            <w:pPr>
              <w:jc w:val="center"/>
            </w:pPr>
            <w:r>
              <w:rPr>
                <w:rFonts w:ascii="Arial" w:cs="Arial" w:eastAsia="Arial" w:hAnsi="Arial"/>
                <w:b/>
                <w:bCs/>
                <w:color w:val="333333"/>
                <w:sz w:val="22"/>
                <w:szCs w:val="22"/>
              </w:rPr>
              <w:t xml:space="preserve">$4,455</w:t>
            </w:r>
          </w:p>
        </w:tc>
        <w:tc>
          <w:tcPr>
            <w:tcW w:type="dxa" w:w="2340"/>
            <w:tcBorders>
              <w:top w:val="single" w:color="CCCCCC" w:sz="1"/>
              <w:left w:val="single" w:color="CCCCCC" w:sz="1"/>
              <w:bottom w:val="single" w:color="CCCCCC" w:sz="1"/>
              <w:right w:val="single" w:color="CCCCCC" w:sz="1"/>
            </w:tcBorders>
            <w:shd w:fill="E8F4E8" w:val="clear"/>
          </w:tcPr>
          <w:p>
            <w:pPr>
              <w:jc w:val="center"/>
            </w:pPr>
            <w:r>
              <w:rPr>
                <w:rFonts w:ascii="Arial" w:cs="Arial" w:eastAsia="Arial" w:hAnsi="Arial"/>
                <w:b/>
                <w:bCs/>
                <w:color w:val="333333"/>
                <w:sz w:val="22"/>
                <w:szCs w:val="22"/>
              </w:rPr>
              <w:t xml:space="preserve">$8,910</w:t>
            </w:r>
          </w:p>
        </w:tc>
      </w:tr>
    </w:tbl>
    <w:p>
      <w:pPr>
        <w:spacing w:before="100" w:after="100"/>
      </w:pPr>
    </w:p>
    <w:p>
      <w:pPr>
        <w:spacing w:before="300" w:after="150"/>
      </w:pPr>
      <w:r>
        <w:rPr>
          <w:rFonts w:ascii="Georgia" w:cs="Georgia" w:eastAsia="Georgia" w:hAnsi="Georgia"/>
          <w:b/>
          <w:bCs/>
          <w:color w:val="1B2B4B"/>
          <w:sz w:val="28"/>
          <w:szCs w:val="28"/>
        </w:rPr>
        <w:t xml:space="preserve">The Real Math: Investment + Perk Value</w:t>
      </w:r>
    </w:p>
    <w:p>
      <w:pPr>
        <w:spacing w:before="100" w:after="100"/>
        <w:jc w:val="left"/>
      </w:pPr>
      <w:r>
        <w:rPr>
          <w:rFonts w:ascii="Arial" w:cs="Arial" w:eastAsia="Arial" w:hAnsi="Arial"/>
          <w:color w:val="333333"/>
          <w:sz w:val="22"/>
          <w:szCs w:val="22"/>
        </w:rPr>
        <w:t xml:space="preserve">Your $5,000 investment buys more than equity. It buys access.</w:t>
      </w:r>
    </w:p>
    <w:p>
      <w:pPr>
        <w:spacing w:before="100"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Year 1 Value</w:t>
            </w:r>
          </w:p>
        </w:tc>
      </w:tr>
      <w:tr>
        <w:tc>
          <w:tcPr>
            <w:tcW w:type="dxa" w:w="468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Annual Trip Discount (20-25% off $4K-$6K trip)</w:t>
            </w:r>
          </w:p>
        </w:tc>
        <w:tc>
          <w:tcPr>
            <w:tcW w:type="dxa" w:w="468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$800 - $1,500 savings</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Distribution (Expected Scenario)</w:t>
            </w:r>
          </w:p>
        </w:tc>
        <w:tc>
          <w:tcPr>
            <w:tcW w:type="dxa" w:w="468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333333"/>
                <w:sz w:val="22"/>
                <w:szCs w:val="22"/>
              </w:rPr>
              <w:t xml:space="preserve">$3,375 - $4,455</w:t>
            </w:r>
          </w:p>
        </w:tc>
      </w:tr>
      <w:tr>
        <w:tc>
          <w:tcPr>
            <w:tcW w:type="dxa" w:w="4680"/>
            <w:tcBorders>
              <w:top w:val="single" w:color="CCCCCC" w:sz="1"/>
              <w:left w:val="single" w:color="CCCCCC" w:sz="1"/>
              <w:bottom w:val="single" w:color="CCCCCC" w:sz="1"/>
              <w:right w:val="single" w:color="CCCCCC" w:sz="1"/>
            </w:tcBorders>
            <w:shd w:fill="E8F4E8" w:val="clear"/>
          </w:tcPr>
          <w:p>
            <w:pPr>
              <w:jc w:val="left"/>
            </w:pPr>
            <w:r>
              <w:rPr>
                <w:rFonts w:ascii="Arial" w:cs="Arial" w:eastAsia="Arial" w:hAnsi="Arial"/>
                <w:b/>
                <w:bCs/>
                <w:color w:val="333333"/>
                <w:sz w:val="22"/>
                <w:szCs w:val="22"/>
              </w:rPr>
              <w:t xml:space="preserve">Combined Year 1 Value</w:t>
            </w:r>
          </w:p>
        </w:tc>
        <w:tc>
          <w:tcPr>
            <w:tcW w:type="dxa" w:w="4680"/>
            <w:tcBorders>
              <w:top w:val="single" w:color="CCCCCC" w:sz="1"/>
              <w:left w:val="single" w:color="CCCCCC" w:sz="1"/>
              <w:bottom w:val="single" w:color="CCCCCC" w:sz="1"/>
              <w:right w:val="single" w:color="CCCCCC" w:sz="1"/>
            </w:tcBorders>
            <w:shd w:fill="E8F4E8" w:val="clear"/>
          </w:tcPr>
          <w:p>
            <w:pPr>
              <w:jc w:val="center"/>
            </w:pPr>
            <w:r>
              <w:rPr>
                <w:rFonts w:ascii="Arial" w:cs="Arial" w:eastAsia="Arial" w:hAnsi="Arial"/>
                <w:b/>
                <w:bCs/>
                <w:color w:val="333333"/>
                <w:sz w:val="22"/>
                <w:szCs w:val="22"/>
              </w:rPr>
              <w:t xml:space="preserve">$4,175 - $5,955</w:t>
            </w:r>
          </w:p>
        </w:tc>
      </w:tr>
    </w:tbl>
    <w:p>
      <w:pPr>
        <w:spacing w:before="100" w:after="100"/>
      </w:pPr>
    </w:p>
    <w:p>
      <w:pPr>
        <w:spacing w:before="100" w:after="100"/>
        <w:jc w:val="left"/>
      </w:pPr>
      <w:r>
        <w:rPr>
          <w:rFonts w:ascii="Arial" w:cs="Arial" w:eastAsia="Arial" w:hAnsi="Arial"/>
          <w:i/>
          <w:iCs/>
          <w:color w:val="333333"/>
          <w:sz w:val="22"/>
          <w:szCs w:val="22"/>
        </w:rPr>
        <w:t xml:space="preserve">In the Expected scenario, Founding Investors could recoup 83-119% of their investment in Year 1 alone through distributions plus trip savings—while retaining equity that appreciates as NYN Golf grows.</w:t>
      </w:r>
    </w:p>
    <w:p>
      <w:r>
        <w:br w:type="page"/>
      </w:r>
    </w:p>
    <w:p>
      <w:pPr>
        <w:pBdr>
          <w:bottom w:val="single" w:color="C9A227" w:sz="6"/>
        </w:pBdr>
        <w:spacing w:before="400" w:after="200"/>
      </w:pPr>
      <w:r>
        <w:rPr>
          <w:rFonts w:ascii="Georgia" w:cs="Georgia" w:eastAsia="Georgia" w:hAnsi="Georgia"/>
          <w:b/>
          <w:bCs/>
          <w:color w:val="1B2B4B"/>
          <w:sz w:val="36"/>
          <w:szCs w:val="36"/>
        </w:rPr>
        <w:t xml:space="preserve">USE OF FUNDS</w:t>
      </w:r>
    </w:p>
    <w:p>
      <w:pPr>
        <w:spacing w:before="100" w:after="100"/>
      </w:pPr>
    </w:p>
    <w:p>
      <w:pPr>
        <w:spacing w:before="100" w:after="100"/>
        <w:jc w:val="left"/>
      </w:pPr>
      <w:r>
        <w:rPr>
          <w:rFonts w:ascii="Arial" w:cs="Arial" w:eastAsia="Arial" w:hAnsi="Arial"/>
          <w:color w:val="333333"/>
          <w:sz w:val="22"/>
          <w:szCs w:val="22"/>
        </w:rPr>
        <w:t xml:space="preserve">Every dollar of this $50,000 seed round is allocated to activities that directly enable revenue generation. There is no executive compensation, office space, or unnecessary overhead.</w:t>
      </w:r>
    </w:p>
    <w:p>
      <w:pPr>
        <w:spacing w:before="100" w:after="1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00"/>
        <w:gridCol w:w="1560"/>
        <w:gridCol w:w="3900"/>
      </w:tblGrid>
      <w:tr>
        <w:tc>
          <w:tcPr>
            <w:tcW w:type="dxa" w:w="390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Category</w:t>
            </w:r>
          </w:p>
        </w:tc>
        <w:tc>
          <w:tcPr>
            <w:tcW w:type="dxa" w:w="156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Amount</w:t>
            </w:r>
          </w:p>
        </w:tc>
        <w:tc>
          <w:tcPr>
            <w:tcW w:type="dxa" w:w="390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Purpose</w:t>
            </w:r>
          </w:p>
        </w:tc>
      </w:tr>
      <w:tr>
        <w:tc>
          <w:tcPr>
            <w:tcW w:type="dxa" w:w="39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Legal &amp; Licensing</w:t>
            </w:r>
          </w:p>
        </w:tc>
        <w:tc>
          <w:tcPr>
            <w:tcW w:type="dxa" w:w="156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$25,000</w:t>
            </w:r>
          </w:p>
        </w:tc>
        <w:tc>
          <w:tcPr>
            <w:tcW w:type="dxa" w:w="39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Vietnam business registration, tourism operator license, legal structure with Vietnamese partner (5% equity allocation)</w:t>
            </w:r>
          </w:p>
        </w:tc>
      </w:tr>
      <w:tr>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2"/>
                <w:szCs w:val="22"/>
              </w:rPr>
              <w:t xml:space="preserve">Establishing Vietnam Operations</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333333"/>
                <w:sz w:val="22"/>
                <w:szCs w:val="22"/>
              </w:rPr>
              <w:t xml:space="preserve">$10,000</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On-the-ground relationship building with courses, hotels, restaurants, and cultural partners; initial supplier deposits</w:t>
            </w:r>
          </w:p>
        </w:tc>
      </w:tr>
      <w:tr>
        <w:tc>
          <w:tcPr>
            <w:tcW w:type="dxa" w:w="39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bCs/>
                <w:color w:val="333333"/>
                <w:sz w:val="22"/>
                <w:szCs w:val="22"/>
              </w:rPr>
              <w:t xml:space="preserve">Marketing &amp; Technology</w:t>
            </w:r>
          </w:p>
        </w:tc>
        <w:tc>
          <w:tcPr>
            <w:tcW w:type="dxa" w:w="156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$10,000</w:t>
            </w:r>
          </w:p>
        </w:tc>
        <w:tc>
          <w:tcPr>
            <w:tcW w:type="dxa" w:w="390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Website development, VR tour creation, initial ad campaigns, content production, CRM setup</w:t>
            </w:r>
          </w:p>
        </w:tc>
      </w:tr>
      <w:tr>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b/>
                <w:bCs/>
                <w:color w:val="333333"/>
                <w:sz w:val="22"/>
                <w:szCs w:val="22"/>
              </w:rPr>
              <w:t xml:space="preserve">Operating Reserve</w:t>
            </w:r>
          </w:p>
        </w:tc>
        <w:tc>
          <w:tcPr>
            <w:tcW w:type="dxa" w:w="156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333333"/>
                <w:sz w:val="22"/>
                <w:szCs w:val="22"/>
              </w:rPr>
              <w:t xml:space="preserve">$5,000</w:t>
            </w:r>
          </w:p>
        </w:tc>
        <w:tc>
          <w:tcPr>
            <w:tcW w:type="dxa" w:w="390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Buffer for unexpected costs, currency fluctuations, or opportunities</w:t>
            </w:r>
          </w:p>
        </w:tc>
      </w:tr>
      <w:tr>
        <w:tc>
          <w:tcPr>
            <w:tcW w:type="dxa" w:w="3900"/>
            <w:tcBorders>
              <w:top w:val="single" w:color="CCCCCC" w:sz="1"/>
              <w:left w:val="single" w:color="CCCCCC" w:sz="1"/>
              <w:bottom w:val="single" w:color="CCCCCC" w:sz="1"/>
              <w:right w:val="single" w:color="CCCCCC" w:sz="1"/>
            </w:tcBorders>
            <w:shd w:fill="1B2B4B" w:val="clear"/>
          </w:tcPr>
          <w:p>
            <w:pPr>
              <w:jc w:val="left"/>
            </w:pPr>
            <w:r>
              <w:rPr>
                <w:rFonts w:ascii="Arial" w:cs="Arial" w:eastAsia="Arial" w:hAnsi="Arial"/>
                <w:b/>
                <w:bCs/>
                <w:color w:val="333333"/>
                <w:sz w:val="22"/>
                <w:szCs w:val="22"/>
              </w:rPr>
              <w:t xml:space="preserve">TOTAL</w:t>
            </w:r>
          </w:p>
        </w:tc>
        <w:tc>
          <w:tcPr>
            <w:tcW w:type="dxa" w:w="156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333333"/>
                <w:sz w:val="22"/>
                <w:szCs w:val="22"/>
              </w:rPr>
              <w:t xml:space="preserve">$50,000</w:t>
            </w:r>
          </w:p>
        </w:tc>
        <w:tc>
          <w:tcPr>
            <w:tcW w:type="dxa" w:w="3900"/>
            <w:tcBorders>
              <w:top w:val="single" w:color="CCCCCC" w:sz="1"/>
              <w:left w:val="single" w:color="CCCCCC" w:sz="1"/>
              <w:bottom w:val="single" w:color="CCCCCC" w:sz="1"/>
              <w:right w:val="single" w:color="CCCCCC" w:sz="1"/>
            </w:tcBorders>
            <w:shd w:fill="1B2B4B" w:val="clear"/>
          </w:tcPr>
          <w:p>
            <w:pPr>
              <w:jc w:val="left"/>
            </w:pPr>
            <w:r>
              <w:rPr>
                <w:rFonts w:ascii="Arial" w:cs="Arial" w:eastAsia="Arial" w:hAnsi="Arial"/>
                <w:b w:val="false"/>
                <w:bCs w:val="false"/>
                <w:color w:val="333333"/>
                <w:sz w:val="22"/>
                <w:szCs w:val="22"/>
              </w:rPr>
              <w:t xml:space="preserve"/>
            </w:r>
          </w:p>
        </w:tc>
      </w:tr>
    </w:tbl>
    <w:p>
      <w:pPr>
        <w:spacing w:before="100" w:after="100"/>
      </w:pPr>
    </w:p>
    <w:p>
      <w:pPr>
        <w:spacing w:before="300" w:after="150"/>
      </w:pPr>
      <w:r>
        <w:rPr>
          <w:rFonts w:ascii="Georgia" w:cs="Georgia" w:eastAsia="Georgia" w:hAnsi="Georgia"/>
          <w:b/>
          <w:bCs/>
          <w:color w:val="1B2B4B"/>
          <w:sz w:val="28"/>
          <w:szCs w:val="28"/>
        </w:rPr>
        <w:t xml:space="preserve">Why $50,000 Is Enough</w:t>
      </w:r>
    </w:p>
    <w:p>
      <w:pPr>
        <w:spacing w:before="100" w:after="100"/>
        <w:jc w:val="left"/>
      </w:pPr>
      <w:r>
        <w:rPr>
          <w:rFonts w:ascii="Arial" w:cs="Arial" w:eastAsia="Arial" w:hAnsi="Arial"/>
          <w:color w:val="333333"/>
          <w:sz w:val="22"/>
          <w:szCs w:val="22"/>
        </w:rPr>
        <w:t xml:space="preserve">NYN Golf is designed as a capital-efficient, service-based business:</w:t>
      </w:r>
    </w:p>
    <w:p>
      <w:pPr>
        <w:spacing w:before="100" w:after="100"/>
      </w:pPr>
    </w:p>
    <w:p>
      <w:pPr>
        <w:pStyle w:val="ListParagraph"/>
        <w:numPr>
          <w:ilvl w:val="0"/>
          <w:numId w:val="2"/>
        </w:numPr>
        <w:spacing w:before="80" w:after="80"/>
      </w:pPr>
      <w:r>
        <w:rPr>
          <w:rFonts w:ascii="Arial" w:cs="Arial" w:eastAsia="Arial" w:hAnsi="Arial"/>
          <w:b/>
          <w:bCs/>
          <w:color w:val="333333"/>
          <w:sz w:val="22"/>
          <w:szCs w:val="22"/>
        </w:rPr>
        <w:t xml:space="preserve">No inventory risk </w:t>
      </w:r>
      <w:r>
        <w:rPr>
          <w:rFonts w:ascii="Arial" w:cs="Arial" w:eastAsia="Arial" w:hAnsi="Arial"/>
          <w:color w:val="333333"/>
          <w:sz w:val="22"/>
          <w:szCs w:val="22"/>
        </w:rPr>
        <w:t xml:space="preserve">—customers pay for courses, hotels, and experiences; NYN Golf curates and coordinates</w:t>
      </w:r>
    </w:p>
    <w:p>
      <w:pPr>
        <w:pStyle w:val="ListParagraph"/>
        <w:numPr>
          <w:ilvl w:val="0"/>
          <w:numId w:val="2"/>
        </w:numPr>
        <w:spacing w:before="80" w:after="80"/>
      </w:pPr>
      <w:r>
        <w:rPr>
          <w:rFonts w:ascii="Arial" w:cs="Arial" w:eastAsia="Arial" w:hAnsi="Arial"/>
          <w:b/>
          <w:bCs/>
          <w:color w:val="333333"/>
          <w:sz w:val="22"/>
          <w:szCs w:val="22"/>
        </w:rPr>
        <w:t xml:space="preserve">No payroll burden initially </w:t>
      </w:r>
      <w:r>
        <w:rPr>
          <w:rFonts w:ascii="Arial" w:cs="Arial" w:eastAsia="Arial" w:hAnsi="Arial"/>
          <w:color w:val="333333"/>
          <w:sz w:val="22"/>
          <w:szCs w:val="22"/>
        </w:rPr>
        <w:t xml:space="preserve">—founders work for equity until revenue supports salaries</w:t>
      </w:r>
    </w:p>
    <w:p>
      <w:pPr>
        <w:pStyle w:val="ListParagraph"/>
        <w:numPr>
          <w:ilvl w:val="0"/>
          <w:numId w:val="2"/>
        </w:numPr>
        <w:spacing w:before="80" w:after="80"/>
      </w:pPr>
      <w:r>
        <w:rPr>
          <w:rFonts w:ascii="Arial" w:cs="Arial" w:eastAsia="Arial" w:hAnsi="Arial"/>
          <w:b/>
          <w:bCs/>
          <w:color w:val="333333"/>
          <w:sz w:val="22"/>
          <w:szCs w:val="22"/>
        </w:rPr>
        <w:t xml:space="preserve">Low fixed costs </w:t>
      </w:r>
      <w:r>
        <w:rPr>
          <w:rFonts w:ascii="Arial" w:cs="Arial" w:eastAsia="Arial" w:hAnsi="Arial"/>
          <w:color w:val="333333"/>
          <w:sz w:val="22"/>
          <w:szCs w:val="22"/>
        </w:rPr>
        <w:t xml:space="preserve">—Vietnam's cost structure allows premium margins on Western pricing</w:t>
      </w:r>
    </w:p>
    <w:p>
      <w:pPr>
        <w:pStyle w:val="ListParagraph"/>
        <w:numPr>
          <w:ilvl w:val="0"/>
          <w:numId w:val="2"/>
        </w:numPr>
        <w:spacing w:before="80" w:after="80"/>
      </w:pPr>
      <w:r>
        <w:rPr>
          <w:rFonts w:ascii="Arial" w:cs="Arial" w:eastAsia="Arial" w:hAnsi="Arial"/>
          <w:b/>
          <w:bCs/>
          <w:color w:val="333333"/>
          <w:sz w:val="22"/>
          <w:szCs w:val="22"/>
        </w:rPr>
        <w:t xml:space="preserve">Customer deposits fund growth </w:t>
      </w:r>
      <w:r>
        <w:rPr>
          <w:rFonts w:ascii="Arial" w:cs="Arial" w:eastAsia="Arial" w:hAnsi="Arial"/>
          <w:color w:val="333333"/>
          <w:sz w:val="22"/>
          <w:szCs w:val="22"/>
        </w:rPr>
        <w:t xml:space="preserve">—25% deposits on $4,000-$10,000 packages fund operations before trips occur</w:t>
      </w:r>
    </w:p>
    <w:p>
      <w:r>
        <w:br w:type="page"/>
      </w:r>
    </w:p>
    <w:p>
      <w:pPr>
        <w:pBdr>
          <w:bottom w:val="single" w:color="C9A227" w:sz="6"/>
        </w:pBdr>
        <w:spacing w:before="400" w:after="200"/>
      </w:pPr>
      <w:r>
        <w:rPr>
          <w:rFonts w:ascii="Georgia" w:cs="Georgia" w:eastAsia="Georgia" w:hAnsi="Georgia"/>
          <w:b/>
          <w:bCs/>
          <w:color w:val="1B2B4B"/>
          <w:sz w:val="36"/>
          <w:szCs w:val="36"/>
        </w:rPr>
        <w:t xml:space="preserve">INVESTMENT STRUCTURE &amp; TERMS</w:t>
      </w:r>
    </w:p>
    <w:p>
      <w:pPr>
        <w:spacing w:before="100" w:after="100"/>
      </w:pPr>
    </w:p>
    <w:p>
      <w:pPr>
        <w:spacing w:before="300" w:after="150"/>
      </w:pPr>
      <w:r>
        <w:rPr>
          <w:rFonts w:ascii="Georgia" w:cs="Georgia" w:eastAsia="Georgia" w:hAnsi="Georgia"/>
          <w:b/>
          <w:bCs/>
          <w:color w:val="1B2B4B"/>
          <w:sz w:val="28"/>
          <w:szCs w:val="28"/>
        </w:rPr>
        <w:t xml:space="preserve">Ownership Structure Post-Investment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Stakeholder</w:t>
            </w:r>
          </w:p>
        </w:tc>
        <w:tc>
          <w:tcPr>
            <w:tcW w:type="dxa" w:w="4680"/>
            <w:tcBorders>
              <w:top w:val="single" w:color="CCCCCC" w:sz="1"/>
              <w:left w:val="single" w:color="CCCCCC" w:sz="1"/>
              <w:bottom w:val="single" w:color="CCCCCC" w:sz="1"/>
              <w:right w:val="single" w:color="CCCCCC" w:sz="1"/>
            </w:tcBorders>
            <w:shd w:fill="1B2B4B" w:val="clear"/>
          </w:tcPr>
          <w:p>
            <w:pPr>
              <w:jc w:val="center"/>
            </w:pPr>
            <w:r>
              <w:rPr>
                <w:rFonts w:ascii="Arial" w:cs="Arial" w:eastAsia="Arial" w:hAnsi="Arial"/>
                <w:b/>
                <w:bCs/>
                <w:color w:val="FFFFFF"/>
                <w:sz w:val="22"/>
                <w:szCs w:val="22"/>
              </w:rPr>
              <w:t xml:space="preserve">NYN Golf - Vietnam Equity</w:t>
            </w:r>
          </w:p>
        </w:tc>
      </w:tr>
      <w:tr>
        <w:tc>
          <w:tcPr>
            <w:tcW w:type="dxa" w:w="468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Steve Winfield (Founder)</w:t>
            </w:r>
          </w:p>
        </w:tc>
        <w:tc>
          <w:tcPr>
            <w:tcW w:type="dxa" w:w="468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80%</w:t>
            </w:r>
          </w:p>
        </w:tc>
      </w:tr>
      <w:tr>
        <w:tc>
          <w:tcPr>
            <w:tcW w:type="dxa" w:w="4680"/>
            <w:tcBorders>
              <w:top w:val="single" w:color="CCCCCC" w:sz="1"/>
              <w:left w:val="single" w:color="CCCCCC" w:sz="1"/>
              <w:bottom w:val="single" w:color="CCCCCC" w:sz="1"/>
              <w:right w:val="single" w:color="CCCCCC" w:sz="1"/>
            </w:tcBorders>
          </w:tcPr>
          <w:p>
            <w:pPr>
              <w:jc w:val="left"/>
            </w:pPr>
            <w:r>
              <w:rPr>
                <w:rFonts w:ascii="Arial" w:cs="Arial" w:eastAsia="Arial" w:hAnsi="Arial"/>
                <w:b w:val="false"/>
                <w:bCs w:val="false"/>
                <w:color w:val="333333"/>
                <w:sz w:val="22"/>
                <w:szCs w:val="22"/>
              </w:rPr>
              <w:t xml:space="preserve">Founding Investors (up to 10 slots)</w:t>
            </w:r>
          </w:p>
        </w:tc>
        <w:tc>
          <w:tcPr>
            <w:tcW w:type="dxa" w:w="4680"/>
            <w:tcBorders>
              <w:top w:val="single" w:color="CCCCCC" w:sz="1"/>
              <w:left w:val="single" w:color="CCCCCC" w:sz="1"/>
              <w:bottom w:val="single" w:color="CCCCCC" w:sz="1"/>
              <w:right w:val="single" w:color="CCCCCC" w:sz="1"/>
            </w:tcBorders>
          </w:tcPr>
          <w:p>
            <w:pPr>
              <w:jc w:val="center"/>
            </w:pPr>
            <w:r>
              <w:rPr>
                <w:rFonts w:ascii="Arial" w:cs="Arial" w:eastAsia="Arial" w:hAnsi="Arial"/>
                <w:b/>
                <w:bCs/>
                <w:color w:val="333333"/>
                <w:sz w:val="22"/>
                <w:szCs w:val="22"/>
              </w:rPr>
              <w:t xml:space="preserve">15% (1.5% per slot)</w:t>
            </w:r>
          </w:p>
        </w:tc>
      </w:tr>
      <w:tr>
        <w:tc>
          <w:tcPr>
            <w:tcW w:type="dxa" w:w="4680"/>
            <w:tcBorders>
              <w:top w:val="single" w:color="CCCCCC" w:sz="1"/>
              <w:left w:val="single" w:color="CCCCCC" w:sz="1"/>
              <w:bottom w:val="single" w:color="CCCCCC" w:sz="1"/>
              <w:right w:val="single" w:color="CCCCCC" w:sz="1"/>
            </w:tcBorders>
            <w:shd w:fill="F5F5F5" w:val="clear"/>
          </w:tcPr>
          <w:p>
            <w:pPr>
              <w:jc w:val="left"/>
            </w:pPr>
            <w:r>
              <w:rPr>
                <w:rFonts w:ascii="Arial" w:cs="Arial" w:eastAsia="Arial" w:hAnsi="Arial"/>
                <w:b w:val="false"/>
                <w:bCs w:val="false"/>
                <w:color w:val="333333"/>
                <w:sz w:val="22"/>
                <w:szCs w:val="22"/>
              </w:rPr>
              <w:t xml:space="preserve">Vietnamese Operating Partner</w:t>
            </w:r>
          </w:p>
        </w:tc>
        <w:tc>
          <w:tcPr>
            <w:tcW w:type="dxa" w:w="4680"/>
            <w:tcBorders>
              <w:top w:val="single" w:color="CCCCCC" w:sz="1"/>
              <w:left w:val="single" w:color="CCCCCC" w:sz="1"/>
              <w:bottom w:val="single" w:color="CCCCCC" w:sz="1"/>
              <w:right w:val="single" w:color="CCCCCC" w:sz="1"/>
            </w:tcBorders>
            <w:shd w:fill="F5F5F5" w:val="clear"/>
          </w:tcPr>
          <w:p>
            <w:pPr>
              <w:jc w:val="center"/>
            </w:pPr>
            <w:r>
              <w:rPr>
                <w:rFonts w:ascii="Arial" w:cs="Arial" w:eastAsia="Arial" w:hAnsi="Arial"/>
                <w:b/>
                <w:bCs/>
                <w:color w:val="333333"/>
                <w:sz w:val="22"/>
                <w:szCs w:val="22"/>
              </w:rPr>
              <w:t xml:space="preserve">5%</w:t>
            </w:r>
          </w:p>
        </w:tc>
      </w:tr>
    </w:tbl>
    <w:p>
      <w:pPr>
        <w:spacing w:before="100" w:after="100"/>
      </w:pPr>
    </w:p>
    <w:p>
      <w:pPr>
        <w:spacing w:before="100" w:after="100"/>
        <w:jc w:val="left"/>
      </w:pPr>
      <w:r>
        <w:rPr>
          <w:rFonts w:ascii="Arial" w:cs="Arial" w:eastAsia="Arial" w:hAnsi="Arial"/>
          <w:color w:val="333333"/>
          <w:sz w:val="22"/>
          <w:szCs w:val="22"/>
        </w:rPr>
        <w:t xml:space="preserve">Note: The Vietnamese partner equity is a legal requirement for tourism operator licensing in Vietnam and provides essential local expertise and relationships.</w:t>
      </w:r>
    </w:p>
    <w:p>
      <w:pPr>
        <w:spacing w:before="100" w:after="100"/>
      </w:pPr>
    </w:p>
    <w:p>
      <w:pPr>
        <w:spacing w:before="300" w:after="150"/>
      </w:pPr>
      <w:r>
        <w:rPr>
          <w:rFonts w:ascii="Georgia" w:cs="Georgia" w:eastAsia="Georgia" w:hAnsi="Georgia"/>
          <w:b/>
          <w:bCs/>
          <w:color w:val="1B2B4B"/>
          <w:sz w:val="28"/>
          <w:szCs w:val="28"/>
        </w:rPr>
        <w:t xml:space="preserve">Key Terms</w:t>
      </w:r>
    </w:p>
    <w:p>
      <w:pPr>
        <w:spacing w:before="100" w:after="100"/>
      </w:pPr>
    </w:p>
    <w:p>
      <w:pPr>
        <w:pStyle w:val="ListParagraph"/>
        <w:numPr>
          <w:ilvl w:val="0"/>
          <w:numId w:val="2"/>
        </w:numPr>
        <w:spacing w:before="80" w:after="80"/>
      </w:pPr>
      <w:r>
        <w:rPr>
          <w:rFonts w:ascii="Arial" w:cs="Arial" w:eastAsia="Arial" w:hAnsi="Arial"/>
          <w:b/>
          <w:bCs/>
          <w:color w:val="333333"/>
          <w:sz w:val="22"/>
          <w:szCs w:val="22"/>
        </w:rPr>
        <w:t xml:space="preserve">Minimum Investment: </w:t>
      </w:r>
      <w:r>
        <w:rPr>
          <w:rFonts w:ascii="Arial" w:cs="Arial" w:eastAsia="Arial" w:hAnsi="Arial"/>
          <w:color w:val="333333"/>
          <w:sz w:val="22"/>
          <w:szCs w:val="22"/>
        </w:rPr>
        <w:t xml:space="preserve">$5,000 per slot. Investors may purchase multiple slots.</w:t>
      </w:r>
    </w:p>
    <w:p>
      <w:pPr>
        <w:pStyle w:val="ListParagraph"/>
        <w:numPr>
          <w:ilvl w:val="0"/>
          <w:numId w:val="2"/>
        </w:numPr>
        <w:spacing w:before="80" w:after="80"/>
      </w:pPr>
      <w:r>
        <w:rPr>
          <w:rFonts w:ascii="Arial" w:cs="Arial" w:eastAsia="Arial" w:hAnsi="Arial"/>
          <w:b/>
          <w:bCs/>
          <w:color w:val="333333"/>
          <w:sz w:val="22"/>
          <w:szCs w:val="22"/>
        </w:rPr>
        <w:t xml:space="preserve">Equity: </w:t>
      </w:r>
      <w:r>
        <w:rPr>
          <w:rFonts w:ascii="Arial" w:cs="Arial" w:eastAsia="Arial" w:hAnsi="Arial"/>
          <w:color w:val="333333"/>
          <w:sz w:val="22"/>
          <w:szCs w:val="22"/>
        </w:rPr>
        <w:t xml:space="preserve">1.5% of NYN Golf - Vietnam per $5,000 slot</w:t>
      </w:r>
    </w:p>
    <w:p>
      <w:pPr>
        <w:pStyle w:val="ListParagraph"/>
        <w:numPr>
          <w:ilvl w:val="0"/>
          <w:numId w:val="2"/>
        </w:numPr>
        <w:spacing w:before="80" w:after="80"/>
      </w:pPr>
      <w:r>
        <w:rPr>
          <w:rFonts w:ascii="Arial" w:cs="Arial" w:eastAsia="Arial" w:hAnsi="Arial"/>
          <w:b/>
          <w:bCs/>
          <w:color w:val="333333"/>
          <w:sz w:val="22"/>
          <w:szCs w:val="22"/>
        </w:rPr>
        <w:t xml:space="preserve">Distributions: </w:t>
      </w:r>
      <w:r>
        <w:rPr>
          <w:rFonts w:ascii="Arial" w:cs="Arial" w:eastAsia="Arial" w:hAnsi="Arial"/>
          <w:color w:val="333333"/>
          <w:sz w:val="22"/>
          <w:szCs w:val="22"/>
        </w:rPr>
        <w:t xml:space="preserve">Annually on February 15th, based on prior calendar year performance</w:t>
      </w:r>
    </w:p>
    <w:p>
      <w:pPr>
        <w:pStyle w:val="ListParagraph"/>
        <w:numPr>
          <w:ilvl w:val="0"/>
          <w:numId w:val="2"/>
        </w:numPr>
        <w:spacing w:before="80" w:after="80"/>
      </w:pPr>
      <w:r>
        <w:rPr>
          <w:rFonts w:ascii="Arial" w:cs="Arial" w:eastAsia="Arial" w:hAnsi="Arial"/>
          <w:b/>
          <w:bCs/>
          <w:color w:val="333333"/>
          <w:sz w:val="22"/>
          <w:szCs w:val="22"/>
        </w:rPr>
        <w:t xml:space="preserve">Fiscal Year: </w:t>
      </w:r>
      <w:r>
        <w:rPr>
          <w:rFonts w:ascii="Arial" w:cs="Arial" w:eastAsia="Arial" w:hAnsi="Arial"/>
          <w:color w:val="333333"/>
          <w:sz w:val="22"/>
          <w:szCs w:val="22"/>
        </w:rPr>
        <w:t xml:space="preserve">January 1 - December 31</w:t>
      </w:r>
    </w:p>
    <w:p>
      <w:pPr>
        <w:pStyle w:val="ListParagraph"/>
        <w:numPr>
          <w:ilvl w:val="0"/>
          <w:numId w:val="2"/>
        </w:numPr>
        <w:spacing w:before="80" w:after="80"/>
      </w:pPr>
      <w:r>
        <w:rPr>
          <w:rFonts w:ascii="Arial" w:cs="Arial" w:eastAsia="Arial" w:hAnsi="Arial"/>
          <w:b/>
          <w:bCs/>
          <w:color w:val="333333"/>
          <w:sz w:val="22"/>
          <w:szCs w:val="22"/>
        </w:rPr>
        <w:t xml:space="preserve">Reporting: </w:t>
      </w:r>
      <w:r>
        <w:rPr>
          <w:rFonts w:ascii="Arial" w:cs="Arial" w:eastAsia="Arial" w:hAnsi="Arial"/>
          <w:color w:val="333333"/>
          <w:sz w:val="22"/>
          <w:szCs w:val="22"/>
        </w:rPr>
        <w:t xml:space="preserve">Quarterly financial summaries; annual detailed P&amp;L</w:t>
      </w:r>
    </w:p>
    <w:p>
      <w:pPr>
        <w:pStyle w:val="ListParagraph"/>
        <w:numPr>
          <w:ilvl w:val="0"/>
          <w:numId w:val="2"/>
        </w:numPr>
        <w:spacing w:before="80" w:after="80"/>
      </w:pPr>
      <w:r>
        <w:rPr>
          <w:rFonts w:ascii="Arial" w:cs="Arial" w:eastAsia="Arial" w:hAnsi="Arial"/>
          <w:b/>
          <w:bCs/>
          <w:color w:val="333333"/>
          <w:sz w:val="22"/>
          <w:szCs w:val="22"/>
        </w:rPr>
        <w:t xml:space="preserve">Anti-Dilution: </w:t>
      </w:r>
      <w:r>
        <w:rPr>
          <w:rFonts w:ascii="Arial" w:cs="Arial" w:eastAsia="Arial" w:hAnsi="Arial"/>
          <w:color w:val="333333"/>
          <w:sz w:val="22"/>
          <w:szCs w:val="22"/>
        </w:rPr>
        <w:t xml:space="preserve">Pro-rata rights on future NYN Golf - Vietnam rounds (if any)</w:t>
      </w:r>
    </w:p>
    <w:p>
      <w:pPr>
        <w:spacing w:before="100" w:after="100"/>
      </w:pPr>
    </w:p>
    <w:p>
      <w:pPr>
        <w:spacing w:before="300" w:after="150"/>
      </w:pPr>
      <w:r>
        <w:rPr>
          <w:rFonts w:ascii="Georgia" w:cs="Georgia" w:eastAsia="Georgia" w:hAnsi="Georgia"/>
          <w:b/>
          <w:bCs/>
          <w:color w:val="1B2B4B"/>
          <w:sz w:val="28"/>
          <w:szCs w:val="28"/>
        </w:rPr>
        <w:t xml:space="preserve">Founding Investor Perks</w:t>
      </w:r>
    </w:p>
    <w:p>
      <w:pPr>
        <w:spacing w:before="100" w:after="100"/>
        <w:jc w:val="left"/>
      </w:pPr>
      <w:r>
        <w:rPr>
          <w:rFonts w:ascii="Arial" w:cs="Arial" w:eastAsia="Arial" w:hAnsi="Arial"/>
          <w:color w:val="333333"/>
          <w:sz w:val="22"/>
          <w:szCs w:val="22"/>
        </w:rPr>
        <w:t xml:space="preserve">Beyond equity, Founding Investors receive experiential benefits unavailable to later investors:</w:t>
      </w:r>
    </w:p>
    <w:p>
      <w:pPr>
        <w:spacing w:before="100" w:after="100"/>
      </w:pPr>
    </w:p>
    <w:p>
      <w:pPr>
        <w:pStyle w:val="ListParagraph"/>
        <w:numPr>
          <w:ilvl w:val="0"/>
          <w:numId w:val="2"/>
        </w:numPr>
        <w:spacing w:before="80" w:after="80"/>
      </w:pPr>
      <w:r>
        <w:rPr>
          <w:rFonts w:ascii="Arial" w:cs="Arial" w:eastAsia="Arial" w:hAnsi="Arial"/>
          <w:b/>
          <w:bCs/>
          <w:color w:val="333333"/>
          <w:sz w:val="22"/>
          <w:szCs w:val="22"/>
        </w:rPr>
        <w:t xml:space="preserve">One trip </w:t>
      </w:r>
      <w:r>
        <w:rPr>
          <w:rFonts w:ascii="Arial" w:cs="Arial" w:eastAsia="Arial" w:hAnsi="Arial"/>
          <w:color w:val="333333"/>
          <w:sz w:val="22"/>
          <w:szCs w:val="22"/>
        </w:rPr>
        <w:t xml:space="preserve">per year at NYN Golf's cost (approximately 20-25% below retail, saving $800-$1,500 on a $4,000-$6,000 trip). Spouses/partners at full price unless investor holds 2+ slots.</w:t>
      </w:r>
    </w:p>
    <w:p>
      <w:pPr>
        <w:pStyle w:val="ListParagraph"/>
        <w:numPr>
          <w:ilvl w:val="0"/>
          <w:numId w:val="2"/>
        </w:numPr>
        <w:spacing w:before="80" w:after="80"/>
      </w:pPr>
      <w:r>
        <w:rPr>
          <w:rFonts w:ascii="Arial" w:cs="Arial" w:eastAsia="Arial" w:hAnsi="Arial"/>
          <w:b/>
          <w:bCs/>
          <w:color w:val="333333"/>
          <w:sz w:val="22"/>
          <w:szCs w:val="22"/>
        </w:rPr>
        <w:t xml:space="preserve">Priority booking access </w:t>
      </w:r>
      <w:r>
        <w:rPr>
          <w:rFonts w:ascii="Arial" w:cs="Arial" w:eastAsia="Arial" w:hAnsi="Arial"/>
          <w:color w:val="333333"/>
          <w:sz w:val="22"/>
          <w:szCs w:val="22"/>
        </w:rPr>
        <w:t xml:space="preserve">on new destinations and premium experiences</w:t>
      </w:r>
    </w:p>
    <w:p>
      <w:pPr>
        <w:pStyle w:val="ListParagraph"/>
        <w:numPr>
          <w:ilvl w:val="0"/>
          <w:numId w:val="2"/>
        </w:numPr>
        <w:spacing w:before="80" w:after="80"/>
      </w:pPr>
      <w:r>
        <w:rPr>
          <w:rFonts w:ascii="Arial" w:cs="Arial" w:eastAsia="Arial" w:hAnsi="Arial"/>
          <w:b/>
          <w:bCs/>
          <w:color w:val="333333"/>
          <w:sz w:val="22"/>
          <w:szCs w:val="22"/>
        </w:rPr>
        <w:t xml:space="preserve">"Friends &amp; Family" consideration </w:t>
      </w:r>
      <w:r>
        <w:rPr>
          <w:rFonts w:ascii="Arial" w:cs="Arial" w:eastAsia="Arial" w:hAnsi="Arial"/>
          <w:color w:val="333333"/>
          <w:sz w:val="22"/>
          <w:szCs w:val="22"/>
        </w:rPr>
        <w:t xml:space="preserve">for future NYN ventures (NYN Weddings, NYN Vacations, etc.) at founder's discretion</w:t>
      </w:r>
    </w:p>
    <w:p>
      <w:pPr>
        <w:pStyle w:val="ListParagraph"/>
        <w:numPr>
          <w:ilvl w:val="0"/>
          <w:numId w:val="2"/>
        </w:numPr>
        <w:spacing w:before="80" w:after="80"/>
      </w:pPr>
      <w:r>
        <w:rPr>
          <w:rFonts w:ascii="Arial" w:cs="Arial" w:eastAsia="Arial" w:hAnsi="Arial"/>
          <w:b/>
          <w:bCs/>
          <w:color w:val="333333"/>
          <w:sz w:val="22"/>
          <w:szCs w:val="22"/>
        </w:rPr>
        <w:t xml:space="preserve">Founding Investor recognition </w:t>
      </w:r>
      <w:r>
        <w:rPr>
          <w:rFonts w:ascii="Arial" w:cs="Arial" w:eastAsia="Arial" w:hAnsi="Arial"/>
          <w:color w:val="333333"/>
          <w:sz w:val="22"/>
          <w:szCs w:val="22"/>
        </w:rPr>
        <w:t xml:space="preserve">—your name recognized as someone who believed from Day 1</w:t>
      </w:r>
    </w:p>
    <w:p>
      <w:r>
        <w:br w:type="page"/>
      </w:r>
    </w:p>
    <w:p>
      <w:pPr>
        <w:pBdr>
          <w:bottom w:val="single" w:color="C9A227" w:sz="6"/>
        </w:pBdr>
        <w:spacing w:before="400" w:after="200"/>
      </w:pPr>
      <w:r>
        <w:rPr>
          <w:rFonts w:ascii="Georgia" w:cs="Georgia" w:eastAsia="Georgia" w:hAnsi="Georgia"/>
          <w:b/>
          <w:bCs/>
          <w:color w:val="1B2B4B"/>
          <w:sz w:val="36"/>
          <w:szCs w:val="36"/>
        </w:rPr>
        <w:t xml:space="preserve">PATHS TO LIQUIDITY</w:t>
      </w:r>
    </w:p>
    <w:p>
      <w:pPr>
        <w:spacing w:before="100" w:after="100"/>
      </w:pPr>
    </w:p>
    <w:p>
      <w:pPr>
        <w:spacing w:before="100" w:after="100"/>
        <w:jc w:val="left"/>
      </w:pPr>
      <w:r>
        <w:rPr>
          <w:rFonts w:ascii="Arial" w:cs="Arial" w:eastAsia="Arial" w:hAnsi="Arial"/>
          <w:color w:val="333333"/>
          <w:sz w:val="22"/>
          <w:szCs w:val="22"/>
        </w:rPr>
        <w:t xml:space="preserve">While this is an illiquid investment in a private company, there are realistic paths to returns:</w:t>
      </w:r>
    </w:p>
    <w:p>
      <w:pPr>
        <w:spacing w:before="100" w:after="100"/>
      </w:pPr>
    </w:p>
    <w:p>
      <w:pPr>
        <w:spacing w:before="300" w:after="150"/>
      </w:pPr>
      <w:r>
        <w:rPr>
          <w:rFonts w:ascii="Georgia" w:cs="Georgia" w:eastAsia="Georgia" w:hAnsi="Georgia"/>
          <w:b/>
          <w:bCs/>
          <w:color w:val="1B2B4B"/>
          <w:sz w:val="28"/>
          <w:szCs w:val="28"/>
        </w:rPr>
        <w:t xml:space="preserve">1. Annual Distributions (Primary Return Mechanism)</w:t>
      </w:r>
    </w:p>
    <w:p>
      <w:pPr>
        <w:spacing w:before="100" w:after="100"/>
        <w:jc w:val="left"/>
      </w:pPr>
      <w:r>
        <w:rPr>
          <w:rFonts w:ascii="Arial" w:cs="Arial" w:eastAsia="Arial" w:hAnsi="Arial"/>
          <w:color w:val="333333"/>
          <w:sz w:val="22"/>
          <w:szCs w:val="22"/>
        </w:rPr>
        <w:t xml:space="preserve">NYN Golf is structured to generate distributable profits, not to chase growth at all costs. Founding Investors participate in profits annually, creating ongoing returns even without an exit event.</w:t>
      </w:r>
    </w:p>
    <w:p>
      <w:pPr>
        <w:spacing w:before="100" w:after="100"/>
      </w:pPr>
    </w:p>
    <w:p>
      <w:pPr>
        <w:spacing w:before="300" w:after="150"/>
      </w:pPr>
      <w:r>
        <w:rPr>
          <w:rFonts w:ascii="Georgia" w:cs="Georgia" w:eastAsia="Georgia" w:hAnsi="Georgia"/>
          <w:b/>
          <w:bCs/>
          <w:color w:val="1B2B4B"/>
          <w:sz w:val="28"/>
          <w:szCs w:val="28"/>
        </w:rPr>
        <w:t xml:space="preserve">2. Founder Buyback</w:t>
      </w:r>
    </w:p>
    <w:p>
      <w:pPr>
        <w:spacing w:before="100" w:after="100"/>
        <w:jc w:val="left"/>
      </w:pPr>
      <w:r>
        <w:rPr>
          <w:rFonts w:ascii="Arial" w:cs="Arial" w:eastAsia="Arial" w:hAnsi="Arial"/>
          <w:color w:val="333333"/>
          <w:sz w:val="22"/>
          <w:szCs w:val="22"/>
        </w:rPr>
        <w:t xml:space="preserve">As NYN Golf matures and generates consistent cash flow, Steve Winfield may offer to repurchase Founding Investor shares at a negotiated multiple of invested capital or based on trailing revenue/profit metrics. This provides liquidity for investors who wish to exit while allowing the founder to consolidate ownership.</w:t>
      </w:r>
    </w:p>
    <w:p>
      <w:pPr>
        <w:spacing w:before="100" w:after="100"/>
      </w:pPr>
    </w:p>
    <w:p>
      <w:pPr>
        <w:spacing w:before="300" w:after="150"/>
      </w:pPr>
      <w:r>
        <w:rPr>
          <w:rFonts w:ascii="Georgia" w:cs="Georgia" w:eastAsia="Georgia" w:hAnsi="Georgia"/>
          <w:b/>
          <w:bCs/>
          <w:color w:val="1B2B4B"/>
          <w:sz w:val="28"/>
          <w:szCs w:val="28"/>
        </w:rPr>
        <w:t xml:space="preserve">3. Strategic Acquisition</w:t>
      </w:r>
    </w:p>
    <w:p>
      <w:pPr>
        <w:spacing w:before="100" w:after="100"/>
        <w:jc w:val="left"/>
      </w:pPr>
      <w:r>
        <w:rPr>
          <w:rFonts w:ascii="Arial" w:cs="Arial" w:eastAsia="Arial" w:hAnsi="Arial"/>
          <w:color w:val="333333"/>
          <w:sz w:val="22"/>
          <w:szCs w:val="22"/>
        </w:rPr>
        <w:t xml:space="preserve">The luxury travel industry regularly sees acquisitions by larger travel conglomerates, private equity firms, and hospitality groups seeking to add premium, niche brands. A profitable NYN Golf with established brand recognition and customer base becomes an attractive acquisition target. Potential acquirers could include:</w:t>
      </w:r>
    </w:p>
    <w:p>
      <w:pPr>
        <w:pStyle w:val="ListParagraph"/>
        <w:numPr>
          <w:ilvl w:val="0"/>
          <w:numId w:val="2"/>
        </w:numPr>
        <w:spacing w:before="80" w:after="80"/>
      </w:pPr>
      <w:r>
        <w:rPr>
          <w:rFonts w:ascii="Arial" w:cs="Arial" w:eastAsia="Arial" w:hAnsi="Arial"/>
          <w:color w:val="333333"/>
          <w:sz w:val="22"/>
          <w:szCs w:val="22"/>
        </w:rPr>
        <w:t xml:space="preserve">Major golf tour operators expanding into Asia (Golfbreaks, Golf Planner, etc.)</w:t>
      </w:r>
    </w:p>
    <w:p>
      <w:pPr>
        <w:pStyle w:val="ListParagraph"/>
        <w:numPr>
          <w:ilvl w:val="0"/>
          <w:numId w:val="2"/>
        </w:numPr>
        <w:spacing w:before="80" w:after="80"/>
      </w:pPr>
      <w:r>
        <w:rPr>
          <w:rFonts w:ascii="Arial" w:cs="Arial" w:eastAsia="Arial" w:hAnsi="Arial"/>
          <w:color w:val="333333"/>
          <w:sz w:val="22"/>
          <w:szCs w:val="22"/>
        </w:rPr>
        <w:t xml:space="preserve">Luxury travel conglomerates (Virtuoso member agencies, Abercrombie &amp; Kent)</w:t>
      </w:r>
    </w:p>
    <w:p>
      <w:pPr>
        <w:pStyle w:val="ListParagraph"/>
        <w:numPr>
          <w:ilvl w:val="0"/>
          <w:numId w:val="2"/>
        </w:numPr>
        <w:spacing w:before="80" w:after="80"/>
      </w:pPr>
      <w:r>
        <w:rPr>
          <w:rFonts w:ascii="Arial" w:cs="Arial" w:eastAsia="Arial" w:hAnsi="Arial"/>
          <w:color w:val="333333"/>
          <w:sz w:val="22"/>
          <w:szCs w:val="22"/>
        </w:rPr>
        <w:t xml:space="preserve">Asian hospitality groups seeking Western clientele</w:t>
      </w:r>
    </w:p>
    <w:p>
      <w:pPr>
        <w:pStyle w:val="ListParagraph"/>
        <w:numPr>
          <w:ilvl w:val="0"/>
          <w:numId w:val="2"/>
        </w:numPr>
        <w:spacing w:before="80" w:after="80"/>
      </w:pPr>
      <w:r>
        <w:rPr>
          <w:rFonts w:ascii="Arial" w:cs="Arial" w:eastAsia="Arial" w:hAnsi="Arial"/>
          <w:color w:val="333333"/>
          <w:sz w:val="22"/>
          <w:szCs w:val="22"/>
        </w:rPr>
        <w:t xml:space="preserve">Private equity firms rolling up boutique travel brands</w:t>
      </w:r>
    </w:p>
    <w:p>
      <w:pPr>
        <w:spacing w:before="100" w:after="100"/>
      </w:pPr>
    </w:p>
    <w:p>
      <w:pPr>
        <w:spacing w:before="300" w:after="150"/>
      </w:pPr>
      <w:r>
        <w:rPr>
          <w:rFonts w:ascii="Georgia" w:cs="Georgia" w:eastAsia="Georgia" w:hAnsi="Georgia"/>
          <w:b/>
          <w:bCs/>
          <w:color w:val="1B2B4B"/>
          <w:sz w:val="28"/>
          <w:szCs w:val="28"/>
        </w:rPr>
        <w:t xml:space="preserve">4. Geographic Expansion &amp; New Entity Formation</w:t>
      </w:r>
    </w:p>
    <w:p>
      <w:pPr>
        <w:spacing w:before="100" w:after="100"/>
        <w:jc w:val="left"/>
      </w:pPr>
      <w:r>
        <w:rPr>
          <w:rFonts w:ascii="Arial" w:cs="Arial" w:eastAsia="Arial" w:hAnsi="Arial"/>
          <w:color w:val="333333"/>
          <w:sz w:val="22"/>
          <w:szCs w:val="22"/>
        </w:rPr>
        <w:t xml:space="preserve">NYN Golf - Vietnam is designed as the first entity in a potential family of NYN Golf operations. As new countries are added (Thailand, Philippines, Portugal, etc.), Founding Investors maintain their equity in the Vietnam entity while the founder may offer participation rights in new entities. The Vietnam operation's proven model and customer base create value that transcends the single-country operation.</w:t>
      </w:r>
    </w:p>
    <w:p>
      <w:pPr>
        <w:spacing w:before="100" w:after="100"/>
      </w:pPr>
    </w:p>
    <w:p>
      <w:pPr>
        <w:spacing w:before="100" w:after="100"/>
        <w:jc w:val="left"/>
      </w:pPr>
      <w:r>
        <w:rPr>
          <w:rFonts w:ascii="Arial" w:cs="Arial" w:eastAsia="Arial" w:hAnsi="Arial"/>
          <w:i/>
          <w:iCs/>
          <w:color w:val="333333"/>
          <w:sz w:val="22"/>
          <w:szCs w:val="22"/>
        </w:rPr>
        <w:t xml:space="preserve">Exit timing and terms will be subject to negotiation and market conditions. Founding Investors should view this as a 5-7 year investment horizon minimum.</w:t>
      </w:r>
    </w:p>
    <w:p>
      <w:r>
        <w:br w:type="page"/>
      </w:r>
    </w:p>
    <w:p>
      <w:pPr>
        <w:pBdr>
          <w:bottom w:val="single" w:color="C9A227" w:sz="6"/>
        </w:pBdr>
        <w:spacing w:before="400" w:after="200"/>
      </w:pPr>
      <w:r>
        <w:rPr>
          <w:rFonts w:ascii="Georgia" w:cs="Georgia" w:eastAsia="Georgia" w:hAnsi="Georgia"/>
          <w:b/>
          <w:bCs/>
          <w:color w:val="1B2B4B"/>
          <w:sz w:val="36"/>
          <w:szCs w:val="36"/>
        </w:rPr>
        <w:t xml:space="preserve">RISK FACTORS</w:t>
      </w:r>
    </w:p>
    <w:p>
      <w:pPr>
        <w:spacing w:before="100" w:after="100"/>
      </w:pPr>
    </w:p>
    <w:p>
      <w:pPr>
        <w:spacing w:before="100" w:after="100"/>
        <w:jc w:val="left"/>
      </w:pPr>
      <w:r>
        <w:rPr>
          <w:rFonts w:ascii="Arial" w:cs="Arial" w:eastAsia="Arial" w:hAnsi="Arial"/>
          <w:color w:val="333333"/>
          <w:sz w:val="22"/>
          <w:szCs w:val="22"/>
        </w:rPr>
        <w:t xml:space="preserve">Investing in early-stage companies carries significant risk. Founding Investors should be prepared to lose their entire investment. Key risks include:</w:t>
      </w:r>
    </w:p>
    <w:p>
      <w:pPr>
        <w:spacing w:before="100" w:after="100"/>
      </w:pPr>
    </w:p>
    <w:p>
      <w:pPr>
        <w:pStyle w:val="ListParagraph"/>
        <w:numPr>
          <w:ilvl w:val="0"/>
          <w:numId w:val="3"/>
        </w:numPr>
        <w:spacing w:before="80" w:after="80"/>
      </w:pPr>
      <w:r>
        <w:rPr>
          <w:rFonts w:ascii="Arial" w:cs="Arial" w:eastAsia="Arial" w:hAnsi="Arial"/>
          <w:b/>
          <w:bCs/>
          <w:color w:val="333333"/>
          <w:sz w:val="22"/>
          <w:szCs w:val="22"/>
        </w:rPr>
        <w:t xml:space="preserve">Startup Risk: </w:t>
      </w:r>
      <w:r>
        <w:rPr>
          <w:rFonts w:ascii="Arial" w:cs="Arial" w:eastAsia="Arial" w:hAnsi="Arial"/>
          <w:color w:val="333333"/>
          <w:sz w:val="22"/>
          <w:szCs w:val="22"/>
        </w:rPr>
        <w:t xml:space="preserve">The company has no operating history or revenue. Projections are estimates based on market research, not proven performance.</w:t>
      </w:r>
    </w:p>
    <w:p>
      <w:pPr>
        <w:pStyle w:val="ListParagraph"/>
        <w:numPr>
          <w:ilvl w:val="0"/>
          <w:numId w:val="3"/>
        </w:numPr>
        <w:spacing w:before="80" w:after="80"/>
      </w:pPr>
      <w:r>
        <w:rPr>
          <w:rFonts w:ascii="Arial" w:cs="Arial" w:eastAsia="Arial" w:hAnsi="Arial"/>
          <w:b/>
          <w:bCs/>
          <w:color w:val="333333"/>
          <w:sz w:val="22"/>
          <w:szCs w:val="22"/>
        </w:rPr>
        <w:t xml:space="preserve">Key Person Risk: </w:t>
      </w:r>
      <w:r>
        <w:rPr>
          <w:rFonts w:ascii="Arial" w:cs="Arial" w:eastAsia="Arial" w:hAnsi="Arial"/>
          <w:color w:val="333333"/>
          <w:sz w:val="22"/>
          <w:szCs w:val="22"/>
        </w:rPr>
        <w:t xml:space="preserve">Success depends heavily on Steve Winfield's execution, health, and continued involvement.</w:t>
      </w:r>
    </w:p>
    <w:p>
      <w:pPr>
        <w:pStyle w:val="ListParagraph"/>
        <w:numPr>
          <w:ilvl w:val="0"/>
          <w:numId w:val="3"/>
        </w:numPr>
        <w:spacing w:before="80" w:after="80"/>
      </w:pPr>
      <w:r>
        <w:rPr>
          <w:rFonts w:ascii="Arial" w:cs="Arial" w:eastAsia="Arial" w:hAnsi="Arial"/>
          <w:b/>
          <w:bCs/>
          <w:color w:val="333333"/>
          <w:sz w:val="22"/>
          <w:szCs w:val="22"/>
        </w:rPr>
        <w:t xml:space="preserve">Geographic/Political Risk: </w:t>
      </w:r>
      <w:r>
        <w:rPr>
          <w:rFonts w:ascii="Arial" w:cs="Arial" w:eastAsia="Arial" w:hAnsi="Arial"/>
          <w:color w:val="333333"/>
          <w:sz w:val="22"/>
          <w:szCs w:val="22"/>
        </w:rPr>
        <w:t xml:space="preserve">Vietnam's regulatory environment, currency fluctuations, and political stability could impact operations.</w:t>
      </w:r>
    </w:p>
    <w:p>
      <w:pPr>
        <w:pStyle w:val="ListParagraph"/>
        <w:numPr>
          <w:ilvl w:val="0"/>
          <w:numId w:val="3"/>
        </w:numPr>
        <w:spacing w:before="80" w:after="80"/>
      </w:pPr>
      <w:r>
        <w:rPr>
          <w:rFonts w:ascii="Arial" w:cs="Arial" w:eastAsia="Arial" w:hAnsi="Arial"/>
          <w:b/>
          <w:bCs/>
          <w:color w:val="333333"/>
          <w:sz w:val="22"/>
          <w:szCs w:val="22"/>
        </w:rPr>
        <w:t xml:space="preserve">Competition Risk: </w:t>
      </w:r>
      <w:r>
        <w:rPr>
          <w:rFonts w:ascii="Arial" w:cs="Arial" w:eastAsia="Arial" w:hAnsi="Arial"/>
          <w:color w:val="333333"/>
          <w:sz w:val="22"/>
          <w:szCs w:val="22"/>
        </w:rPr>
        <w:t xml:space="preserve">While the ultra-premium segment is underserved, established operators could pivot to compete.</w:t>
      </w:r>
    </w:p>
    <w:p>
      <w:pPr>
        <w:pStyle w:val="ListParagraph"/>
        <w:numPr>
          <w:ilvl w:val="0"/>
          <w:numId w:val="3"/>
        </w:numPr>
        <w:spacing w:before="80" w:after="80"/>
      </w:pPr>
      <w:r>
        <w:rPr>
          <w:rFonts w:ascii="Arial" w:cs="Arial" w:eastAsia="Arial" w:hAnsi="Arial"/>
          <w:b/>
          <w:bCs/>
          <w:color w:val="333333"/>
          <w:sz w:val="22"/>
          <w:szCs w:val="22"/>
        </w:rPr>
        <w:t xml:space="preserve">Market Risk: </w:t>
      </w:r>
      <w:r>
        <w:rPr>
          <w:rFonts w:ascii="Arial" w:cs="Arial" w:eastAsia="Arial" w:hAnsi="Arial"/>
          <w:color w:val="333333"/>
          <w:sz w:val="22"/>
          <w:szCs w:val="22"/>
        </w:rPr>
        <w:t xml:space="preserve">Pandemics, economic downturns, or geopolitical events could dramatically reduce international golf tourism.</w:t>
      </w:r>
    </w:p>
    <w:p>
      <w:pPr>
        <w:pStyle w:val="ListParagraph"/>
        <w:numPr>
          <w:ilvl w:val="0"/>
          <w:numId w:val="3"/>
        </w:numPr>
        <w:spacing w:before="80" w:after="80"/>
      </w:pPr>
      <w:r>
        <w:rPr>
          <w:rFonts w:ascii="Arial" w:cs="Arial" w:eastAsia="Arial" w:hAnsi="Arial"/>
          <w:b/>
          <w:bCs/>
          <w:color w:val="333333"/>
          <w:sz w:val="22"/>
          <w:szCs w:val="22"/>
        </w:rPr>
        <w:t xml:space="preserve">Liquidity Risk: </w:t>
      </w:r>
      <w:r>
        <w:rPr>
          <w:rFonts w:ascii="Arial" w:cs="Arial" w:eastAsia="Arial" w:hAnsi="Arial"/>
          <w:color w:val="333333"/>
          <w:sz w:val="22"/>
          <w:szCs w:val="22"/>
        </w:rPr>
        <w:t xml:space="preserve">This is a private company investment with no public market. Exit opportunities are limited and uncertain.</w:t>
      </w:r>
    </w:p>
    <w:p>
      <w:pPr>
        <w:pStyle w:val="ListParagraph"/>
        <w:numPr>
          <w:ilvl w:val="0"/>
          <w:numId w:val="3"/>
        </w:numPr>
        <w:spacing w:before="80" w:after="80"/>
      </w:pPr>
      <w:r>
        <w:rPr>
          <w:rFonts w:ascii="Arial" w:cs="Arial" w:eastAsia="Arial" w:hAnsi="Arial"/>
          <w:b/>
          <w:bCs/>
          <w:color w:val="333333"/>
          <w:sz w:val="22"/>
          <w:szCs w:val="22"/>
        </w:rPr>
        <w:t xml:space="preserve">Dilution Risk: </w:t>
      </w:r>
      <w:r>
        <w:rPr>
          <w:rFonts w:ascii="Arial" w:cs="Arial" w:eastAsia="Arial" w:hAnsi="Arial"/>
          <w:color w:val="333333"/>
          <w:sz w:val="22"/>
          <w:szCs w:val="22"/>
        </w:rPr>
        <w:t xml:space="preserve">Founding Investors will be minority shareholders with limited control over company decisions.</w:t>
      </w:r>
    </w:p>
    <w:p>
      <w:pPr>
        <w:spacing w:before="100" w:after="100"/>
      </w:pPr>
    </w:p>
    <w:p>
      <w:pPr>
        <w:spacing w:before="300" w:after="150"/>
      </w:pPr>
      <w:r>
        <w:rPr>
          <w:rFonts w:ascii="Georgia" w:cs="Georgia" w:eastAsia="Georgia" w:hAnsi="Georgia"/>
          <w:b/>
          <w:bCs/>
          <w:color w:val="1B2B4B"/>
          <w:sz w:val="28"/>
          <w:szCs w:val="28"/>
        </w:rPr>
        <w:t xml:space="preserve">Risk Mitigants</w:t>
      </w:r>
    </w:p>
    <w:p>
      <w:pPr>
        <w:spacing w:before="100" w:after="100"/>
        <w:jc w:val="left"/>
      </w:pPr>
      <w:r>
        <w:rPr>
          <w:rFonts w:ascii="Arial" w:cs="Arial" w:eastAsia="Arial" w:hAnsi="Arial"/>
          <w:color w:val="333333"/>
          <w:sz w:val="22"/>
          <w:szCs w:val="22"/>
        </w:rPr>
        <w:t xml:space="preserve">While risks cannot be eliminated, NYN Golf's structure provides some protection:</w:t>
      </w:r>
    </w:p>
    <w:p>
      <w:pPr>
        <w:spacing w:before="100" w:after="100"/>
      </w:pPr>
    </w:p>
    <w:p>
      <w:pPr>
        <w:pStyle w:val="ListParagraph"/>
        <w:numPr>
          <w:ilvl w:val="0"/>
          <w:numId w:val="2"/>
        </w:numPr>
        <w:spacing w:before="80" w:after="80"/>
      </w:pPr>
      <w:r>
        <w:rPr>
          <w:rFonts w:ascii="Arial" w:cs="Arial" w:eastAsia="Arial" w:hAnsi="Arial"/>
          <w:b/>
          <w:bCs/>
          <w:color w:val="333333"/>
          <w:sz w:val="22"/>
          <w:szCs w:val="22"/>
        </w:rPr>
        <w:t xml:space="preserve">Cash-generating business model </w:t>
      </w:r>
      <w:r>
        <w:rPr>
          <w:rFonts w:ascii="Arial" w:cs="Arial" w:eastAsia="Arial" w:hAnsi="Arial"/>
          <w:color w:val="333333"/>
          <w:sz w:val="22"/>
          <w:szCs w:val="22"/>
        </w:rPr>
        <w:t xml:space="preserve">—annual distributions provide returns even without exit</w:t>
      </w:r>
    </w:p>
    <w:p>
      <w:pPr>
        <w:pStyle w:val="ListParagraph"/>
        <w:numPr>
          <w:ilvl w:val="0"/>
          <w:numId w:val="2"/>
        </w:numPr>
        <w:spacing w:before="80" w:after="80"/>
      </w:pPr>
      <w:r>
        <w:rPr>
          <w:rFonts w:ascii="Arial" w:cs="Arial" w:eastAsia="Arial" w:hAnsi="Arial"/>
          <w:b/>
          <w:bCs/>
          <w:color w:val="333333"/>
          <w:sz w:val="22"/>
          <w:szCs w:val="22"/>
        </w:rPr>
        <w:t xml:space="preserve">Low capital requirements </w:t>
      </w:r>
      <w:r>
        <w:rPr>
          <w:rFonts w:ascii="Arial" w:cs="Arial" w:eastAsia="Arial" w:hAnsi="Arial"/>
          <w:color w:val="333333"/>
          <w:sz w:val="22"/>
          <w:szCs w:val="22"/>
        </w:rPr>
        <w:t xml:space="preserve">—customers pay deposits before trips, reducing cash flow risk</w:t>
      </w:r>
    </w:p>
    <w:p>
      <w:pPr>
        <w:pStyle w:val="ListParagraph"/>
        <w:numPr>
          <w:ilvl w:val="0"/>
          <w:numId w:val="2"/>
        </w:numPr>
        <w:spacing w:before="80" w:after="80"/>
      </w:pPr>
      <w:r>
        <w:rPr>
          <w:rFonts w:ascii="Arial" w:cs="Arial" w:eastAsia="Arial" w:hAnsi="Arial"/>
          <w:b/>
          <w:bCs/>
          <w:color w:val="333333"/>
          <w:sz w:val="22"/>
          <w:szCs w:val="22"/>
        </w:rPr>
        <w:t xml:space="preserve">Established destination </w:t>
      </w:r>
      <w:r>
        <w:rPr>
          <w:rFonts w:ascii="Arial" w:cs="Arial" w:eastAsia="Arial" w:hAnsi="Arial"/>
          <w:color w:val="333333"/>
          <w:sz w:val="22"/>
          <w:szCs w:val="22"/>
        </w:rPr>
        <w:t xml:space="preserve">—proven market demand and government support for golf tourism</w:t>
      </w:r>
    </w:p>
    <w:p>
      <w:pPr>
        <w:pStyle w:val="ListParagraph"/>
        <w:numPr>
          <w:ilvl w:val="0"/>
          <w:numId w:val="2"/>
        </w:numPr>
        <w:spacing w:before="80" w:after="80"/>
      </w:pPr>
      <w:r>
        <w:rPr>
          <w:rFonts w:ascii="Arial" w:cs="Arial" w:eastAsia="Arial" w:hAnsi="Arial"/>
          <w:b/>
          <w:bCs/>
          <w:color w:val="333333"/>
          <w:sz w:val="22"/>
          <w:szCs w:val="22"/>
        </w:rPr>
        <w:t xml:space="preserve">Experienced founder </w:t>
      </w:r>
      <w:r>
        <w:rPr>
          <w:rFonts w:ascii="Arial" w:cs="Arial" w:eastAsia="Arial" w:hAnsi="Arial"/>
          <w:color w:val="333333"/>
          <w:sz w:val="22"/>
          <w:szCs w:val="22"/>
        </w:rPr>
        <w:t xml:space="preserve">—25+ years of relevant business experience and nearly 200 events planned</w:t>
      </w:r>
    </w:p>
    <w:p>
      <w:pPr>
        <w:pStyle w:val="ListParagraph"/>
        <w:numPr>
          <w:ilvl w:val="0"/>
          <w:numId w:val="2"/>
        </w:numPr>
        <w:spacing w:before="80" w:after="80"/>
      </w:pPr>
      <w:r>
        <w:rPr>
          <w:rFonts w:ascii="Arial" w:cs="Arial" w:eastAsia="Arial" w:hAnsi="Arial"/>
          <w:b/>
          <w:bCs/>
          <w:color w:val="333333"/>
          <w:sz w:val="22"/>
          <w:szCs w:val="22"/>
        </w:rPr>
        <w:t xml:space="preserve">Built-in value return </w:t>
      </w:r>
      <w:r>
        <w:rPr>
          <w:rFonts w:ascii="Arial" w:cs="Arial" w:eastAsia="Arial" w:hAnsi="Arial"/>
          <w:color w:val="333333"/>
          <w:sz w:val="22"/>
          <w:szCs w:val="22"/>
        </w:rPr>
        <w:t xml:space="preserve">—annual trip perk provides tangible value regardless of financial performance</w:t>
      </w:r>
    </w:p>
    <w:p>
      <w:r>
        <w:br w:type="page"/>
      </w:r>
    </w:p>
    <w:p>
      <w:pPr>
        <w:pBdr>
          <w:bottom w:val="single" w:color="C9A227" w:sz="6"/>
        </w:pBdr>
        <w:spacing w:before="400" w:after="200"/>
      </w:pPr>
      <w:r>
        <w:rPr>
          <w:rFonts w:ascii="Georgia" w:cs="Georgia" w:eastAsia="Georgia" w:hAnsi="Georgia"/>
          <w:b/>
          <w:bCs/>
          <w:color w:val="1B2B4B"/>
          <w:sz w:val="36"/>
          <w:szCs w:val="36"/>
        </w:rPr>
        <w:t xml:space="preserve">NEXT STEPS</w:t>
      </w:r>
    </w:p>
    <w:p>
      <w:pPr>
        <w:spacing w:before="100" w:after="100"/>
      </w:pPr>
    </w:p>
    <w:p>
      <w:pPr>
        <w:spacing w:before="200" w:after="300"/>
        <w:jc w:val="center"/>
      </w:pPr>
      <w:r>
        <w:rPr>
          <w:rFonts w:ascii="Georgia" w:cs="Georgia" w:eastAsia="Georgia" w:hAnsi="Georgia"/>
          <w:b/>
          <w:bCs/>
          <w:color w:val="1B2B4B"/>
          <w:sz w:val="32"/>
          <w:szCs w:val="32"/>
        </w:rPr>
        <w:t xml:space="preserve">10 Founding Investor slots available at $5,000 each</w:t>
      </w:r>
    </w:p>
    <w:p>
      <w:pPr>
        <w:spacing w:before="300" w:after="150"/>
      </w:pPr>
      <w:r>
        <w:rPr>
          <w:rFonts w:ascii="Georgia" w:cs="Georgia" w:eastAsia="Georgia" w:hAnsi="Georgia"/>
          <w:b/>
          <w:bCs/>
          <w:color w:val="1B2B4B"/>
          <w:sz w:val="28"/>
          <w:szCs w:val="28"/>
        </w:rPr>
        <w:t xml:space="preserve">To Secure Your Slot:</w:t>
      </w:r>
    </w:p>
    <w:p>
      <w:pPr>
        <w:spacing w:before="100" w:after="100"/>
      </w:pPr>
    </w:p>
    <w:p>
      <w:pPr>
        <w:pStyle w:val="ListParagraph"/>
        <w:numPr>
          <w:ilvl w:val="0"/>
          <w:numId w:val="4"/>
        </w:numPr>
        <w:spacing w:before="80" w:after="80"/>
      </w:pPr>
      <w:r>
        <w:rPr>
          <w:rFonts w:ascii="Arial" w:cs="Arial" w:eastAsia="Arial" w:hAnsi="Arial"/>
          <w:b/>
          <w:bCs/>
          <w:color w:val="333333"/>
          <w:sz w:val="22"/>
          <w:szCs w:val="22"/>
        </w:rPr>
        <w:t xml:space="preserve">Express Interest</w:t>
      </w:r>
      <w:r>
        <w:rPr>
          <w:rFonts w:ascii="Arial" w:cs="Arial" w:eastAsia="Arial" w:hAnsi="Arial"/>
          <w:color w:val="333333"/>
          <w:sz w:val="22"/>
          <w:szCs w:val="22"/>
        </w:rPr>
        <w:t xml:space="preserve"> — Let Steve know you're interested and which slot(s) you'd like to reserve</w:t>
      </w:r>
    </w:p>
    <w:p>
      <w:pPr>
        <w:pStyle w:val="ListParagraph"/>
        <w:numPr>
          <w:ilvl w:val="0"/>
          <w:numId w:val="4"/>
        </w:numPr>
        <w:spacing w:before="80" w:after="80"/>
      </w:pPr>
      <w:r>
        <w:rPr>
          <w:rFonts w:ascii="Arial" w:cs="Arial" w:eastAsia="Arial" w:hAnsi="Arial"/>
          <w:b/>
          <w:bCs/>
          <w:color w:val="333333"/>
          <w:sz w:val="22"/>
          <w:szCs w:val="22"/>
        </w:rPr>
        <w:t xml:space="preserve">Review Documents</w:t>
      </w:r>
      <w:r>
        <w:rPr>
          <w:rFonts w:ascii="Arial" w:cs="Arial" w:eastAsia="Arial" w:hAnsi="Arial"/>
          <w:color w:val="333333"/>
          <w:sz w:val="22"/>
          <w:szCs w:val="22"/>
        </w:rPr>
        <w:t xml:space="preserve"> — Review and sign the Founding Investor Agreement (to be provided)</w:t>
      </w:r>
    </w:p>
    <w:p>
      <w:pPr>
        <w:pStyle w:val="ListParagraph"/>
        <w:numPr>
          <w:ilvl w:val="0"/>
          <w:numId w:val="4"/>
        </w:numPr>
        <w:spacing w:before="80" w:after="80"/>
      </w:pPr>
      <w:r>
        <w:rPr>
          <w:rFonts w:ascii="Arial" w:cs="Arial" w:eastAsia="Arial" w:hAnsi="Arial"/>
          <w:b/>
          <w:bCs/>
          <w:color w:val="333333"/>
          <w:sz w:val="22"/>
          <w:szCs w:val="22"/>
        </w:rPr>
        <w:t xml:space="preserve">Fund Investment</w:t>
      </w:r>
      <w:r>
        <w:rPr>
          <w:rFonts w:ascii="Arial" w:cs="Arial" w:eastAsia="Arial" w:hAnsi="Arial"/>
          <w:color w:val="333333"/>
          <w:sz w:val="22"/>
          <w:szCs w:val="22"/>
        </w:rPr>
        <w:t xml:space="preserve"> — Wire or transfer $5,000 per slot to the designated account</w:t>
      </w:r>
    </w:p>
    <w:p>
      <w:pPr>
        <w:pStyle w:val="ListParagraph"/>
        <w:numPr>
          <w:ilvl w:val="0"/>
          <w:numId w:val="4"/>
        </w:numPr>
        <w:spacing w:before="80" w:after="80"/>
      </w:pPr>
      <w:r>
        <w:rPr>
          <w:rFonts w:ascii="Arial" w:cs="Arial" w:eastAsia="Arial" w:hAnsi="Arial"/>
          <w:b/>
          <w:bCs/>
          <w:color w:val="333333"/>
          <w:sz w:val="22"/>
          <w:szCs w:val="22"/>
        </w:rPr>
        <w:t xml:space="preserve">Welcome Aboard</w:t>
      </w:r>
      <w:r>
        <w:rPr>
          <w:rFonts w:ascii="Arial" w:cs="Arial" w:eastAsia="Arial" w:hAnsi="Arial"/>
          <w:color w:val="333333"/>
          <w:sz w:val="22"/>
          <w:szCs w:val="22"/>
        </w:rPr>
        <w:t xml:space="preserve"> — You're officially a Founding Investor in NYN Golf</w:t>
      </w:r>
    </w:p>
    <w:p>
      <w:pPr>
        <w:spacing w:before="100" w:after="100"/>
      </w:pPr>
    </w:p>
    <w:p>
      <w:pPr>
        <w:spacing w:before="100" w:after="100"/>
      </w:pPr>
    </w:p>
    <w:p>
      <w:pPr>
        <w:pBdr>
          <w:top w:val="single" w:color="C9A227" w:sz="2"/>
          <w:bottom w:val="single" w:color="C9A227" w:sz="2"/>
        </w:pBdr>
        <w:spacing w:before="200" w:after="200"/>
        <w:jc w:val="center"/>
      </w:pPr>
      <w:r>
        <w:rPr>
          <w:rFonts w:ascii="Georgia" w:cs="Georgia" w:eastAsia="Georgia" w:hAnsi="Georgia"/>
          <w:b/>
          <w:bCs/>
          <w:color w:val="1B2B4B"/>
          <w:sz w:val="28"/>
          <w:szCs w:val="28"/>
        </w:rPr>
        <w:t xml:space="preserve">Questions? Ready to invest?</w:t>
      </w:r>
    </w:p>
    <w:p>
      <w:pPr>
        <w:spacing w:before="100" w:after="100"/>
      </w:pPr>
    </w:p>
    <w:p>
      <w:pPr>
        <w:spacing w:before="100" w:after="100"/>
        <w:jc w:val="center"/>
      </w:pPr>
      <w:r>
        <w:rPr>
          <w:rFonts w:ascii="Arial" w:cs="Arial" w:eastAsia="Arial" w:hAnsi="Arial"/>
          <w:b/>
          <w:bCs/>
          <w:color w:val="333333"/>
          <w:sz w:val="28"/>
          <w:szCs w:val="28"/>
        </w:rPr>
        <w:t xml:space="preserve">Steve Winfield</w:t>
      </w:r>
    </w:p>
    <w:p>
      <w:pPr>
        <w:spacing w:before="100" w:after="100"/>
        <w:jc w:val="center"/>
      </w:pPr>
      <w:r>
        <w:rPr>
          <w:rFonts w:ascii="Arial" w:cs="Arial" w:eastAsia="Arial" w:hAnsi="Arial"/>
          <w:color w:val="666666"/>
          <w:sz w:val="22"/>
          <w:szCs w:val="22"/>
        </w:rPr>
        <w:t xml:space="preserve">Founder, NYN Golf</w:t>
      </w:r>
    </w:p>
    <w:p>
      <w:pPr>
        <w:spacing w:before="100" w:after="100"/>
      </w:pPr>
    </w:p>
    <w:p>
      <w:pPr>
        <w:spacing w:before="100" w:after="100"/>
        <w:jc w:val="center"/>
      </w:pPr>
      <w:r>
        <w:rPr>
          <w:rFonts w:ascii="Arial" w:cs="Arial" w:eastAsia="Arial" w:hAnsi="Arial"/>
          <w:color w:val="333333"/>
          <w:sz w:val="22"/>
          <w:szCs w:val="22"/>
        </w:rPr>
        <w:t xml:space="preserve">Steve.Winfield@nyntrip.com</w:t>
      </w:r>
    </w:p>
    <w:p>
      <w:pPr>
        <w:spacing w:before="100" w:after="100"/>
        <w:jc w:val="center"/>
      </w:pPr>
      <w:r>
        <w:rPr>
          <w:rFonts w:ascii="Arial" w:cs="Arial" w:eastAsia="Arial" w:hAnsi="Arial"/>
          <w:color w:val="333333"/>
          <w:sz w:val="22"/>
          <w:szCs w:val="22"/>
        </w:rPr>
        <w:t xml:space="preserve">+1 425 696-8747 (NYN-TRIP)</w:t>
      </w:r>
    </w:p>
    <w:p>
      <w:pPr>
        <w:spacing w:before="100" w:after="100"/>
      </w:pPr>
    </w:p>
    <w:p>
      <w:pPr>
        <w:spacing w:before="100" w:after="100"/>
      </w:pPr>
    </w:p>
    <w:p>
      <w:pPr>
        <w:spacing w:before="100" w:after="100"/>
      </w:pPr>
    </w:p>
    <w:p>
      <w:pPr>
        <w:jc w:val="center"/>
      </w:pPr>
      <w:r>
        <w:drawing>
          <wp:inline distT="0" distB="0" distL="0" distR="0">
            <wp:extent cx="1428750" cy="714375"/>
            <wp:effectExtent t="0" r="0" b="0" l="0"/>
            <wp:docPr id="1" name="logo" descr="NYN Golf company logo" title="NYN Gol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14375"/>
                    </a:xfrm>
                    <a:prstGeom prst="rect">
                      <a:avLst/>
                    </a:prstGeom>
                  </pic:spPr>
                </pic:pic>
              </a:graphicData>
            </a:graphic>
          </wp:inline>
        </w:drawing>
      </w:r>
    </w:p>
    <w:p>
      <w:pPr>
        <w:spacing w:before="100" w:after="100"/>
      </w:pPr>
    </w:p>
    <w:p>
      <w:pPr>
        <w:spacing w:before="100" w:after="100"/>
        <w:jc w:val="center"/>
      </w:pPr>
      <w:r>
        <w:rPr>
          <w:rFonts w:ascii="Arial" w:cs="Arial" w:eastAsia="Arial" w:hAnsi="Arial"/>
          <w:i/>
          <w:iCs/>
          <w:color w:val="666666"/>
          <w:sz w:val="22"/>
          <w:szCs w:val="22"/>
        </w:rPr>
        <w:t xml:space="preserve">World-Class Golf. Authentic Culture. Unforgettable Life Experiences.</w:t>
      </w:r>
    </w:p>
    <w:p>
      <w:pPr>
        <w:spacing w:before="100" w:after="100"/>
      </w:pPr>
    </w:p>
    <w:p>
      <w:pPr>
        <w:spacing w:before="100" w:after="100"/>
      </w:pPr>
    </w:p>
    <w:p>
      <w:pPr>
        <w:pBdr>
          <w:top w:val="single" w:color="666666" w:sz="1"/>
        </w:pBdr>
        <w:spacing w:before="200"/>
      </w:pPr>
      <w:r>
        <w:rPr>
          <w:rFonts w:ascii="Arial" w:cs="Arial" w:eastAsia="Arial" w:hAnsi="Arial"/>
          <w:color w:val="666666"/>
          <w:sz w:val="16"/>
          <w:szCs w:val="16"/>
        </w:rPr>
        <w:t xml:space="preserve">DISCLAIMER: This memorandum is for informational purposes only and does not constitute an offer to sell or solicitation of an offer to buy securities. Investment involves substantial risk including complete loss of capital. Past performance does not guarantee future results. Projections are estimates only. Prospective investors should conduct their own due diligence and consult with legal, tax, and financial advisors before investing.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NYN Golf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CONFIDENTIAL INVESTMENT MEMORANDUM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b52cba82e46c696bde4c866bfc5f7b985dc59df.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2026-01-01T12:40:50.840Z</dcterms:created>
  <dcterms:modified xsi:type="dcterms:W3CDTF">2026-01-01T12:40:50.841Z</dcterms:modified>
</cp:coreProperties>
</file>

<file path=docProps/custom.xml><?xml version="1.0" encoding="utf-8"?>
<Properties xmlns="http://schemas.openxmlformats.org/officeDocument/2006/custom-properties" xmlns:vt="http://schemas.openxmlformats.org/officeDocument/2006/docPropsVTypes"/>
</file>