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B8F"/>
          <w:sz w:val="48"/>
          <w:szCs w:val="48"/>
        </w:rPr>
        <w:t xml:space="preserve">NYN GOLF</w:t>
      </w:r>
    </w:p>
    <w:p>
      <w:pPr>
        <w:spacing w:before="100"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Risk Analysis &amp; Mitigation Strategy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This document identifies key risks facing NYN Golf and outlines specific mitigation strategies. Acknowledging and planning for risks demonstrates operational maturity and protects investor capital.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1. Risk Assessment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Market/Demand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- Requires active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Operational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- Manageable with planning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- Capital buffer in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Competitive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- Differentiation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Regulatory/Political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LOW-MEDIUM - Vietnam stable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Person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- Single founder dependency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2. Detailed Risk Analysis &amp; Mitigation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Market/Demand Risk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Insufficient demand from target market; slower-than-projected bookings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 Strategies: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Extensive pre-launch validation: Build email waitlist of 500+ qualified prospects before first trip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Founding member pricing: $500 discount creates urgency and early adopters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Corporate market diversification: Pursue President's Club and incentive trip contracts as secondary revenue stream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Flexible capacity: No fixed costs for trip delivery—scale up/down with demand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Geographic expansion option: Thailand, Cambodia, Philippines if Vietnam demand lags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Operational Risk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Service delivery failures; vendor reliability issues; quality control problems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 Strategies: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Founder on-ground: Steve living in Vietnam enables direct oversight and relationship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Vendor redundancy: 2-3 backup options for each critical service (hotels, transport, restaurants)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Pre-trip site visits: Personal inspection of all venues before client arrival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Event expertise: 200 corporate events experience informs contingency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Real-time communication: Group WhatsApp and 24/7 founder availability during trips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Financial Risk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Cash flow challenges; cost overruns; currency fluctuation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 Strategies: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Deposit structure: 25% deposit at booking covers customer acquisition cost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Full payment 60 days prior: All vendor costs secured before trip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Working capital reserve: $12,000 buffer included in use of funds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Low fixed costs: No office lease, no full-time staff initially—variable cost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Currency hedging: Price packages in USD, negotiate VND-fixed vendor contracts where possible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Competitive Risk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Established operators copy model; price competition; new entrants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 Strategies: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Differentiation: "Life experience" positioning—golf + culture, not just golf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On-ground advantage: American founder living in Vietnam is hard to replicate quickly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Brand building: Content marketing establishes thought leadership before competitors 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Relationship moat: Personal client relationships and referral network compound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First-mover advantage: Early brand recognition in emerging market segment</w:t>
      </w: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Regulatory/Political Risk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Vietnam policy changes; visa restrictions; business registration challenges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 Strategies: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Pro-tourism government: Vietnam actively promoting golf tourism with $1B 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Greg Norman ambassadorship: Government partnership signals long-term commitment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Legal counsel: Local attorney on retainer for business registration and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 entity structure: Primary business entity in US provides stability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E-visa expansion: Vietnam continuing to ease tourist entry requirements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Key Person Risk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Business dependent on single founder; illness, burnout, or departure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Mitigation Strategies: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Documentation: All processes, vendor relationships, and playbooks documented from day 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Local team development: Hire and train Vietnamese operations manager by Month 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Advisory network: Golf industry contacts who could step in for client-facing roles if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Insurance: Key person insurance policy once revenue supports premium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Founder commitment: Relocation to Vietnam demonstrates long-term dedication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3. External Risk Factors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B8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 recession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Low-Medium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Shift to corporate incentive market; offer payment plans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Pandemic/travel restrictions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Pivot to domestic Vietnam tourism; pause &amp; preserve capital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Natural disaster (typhoon)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 rescheduling policy; travel insurance 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US-Vietnam relations deterioration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Very 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 to Thailand/Cambodia; monitor State Dept advisories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Fuel price spike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Fuel surcharge clause in contracts; renegotiate transport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4B8F"/>
          <w:sz w:val="32"/>
          <w:szCs w:val="32"/>
        </w:rPr>
        <w:t xml:space="preserve">4. Risk Management Summary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NYN Golf's risk profile is manageable for several reasons: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 cost model: </w:t>
      </w:r>
      <w:r>
        <w:rPr>
          <w:rFonts w:ascii="Arial" w:cs="Arial" w:eastAsia="Arial" w:hAnsi="Arial"/>
          <w:sz w:val="22"/>
          <w:szCs w:val="22"/>
        </w:rPr>
        <w:t xml:space="preserve">No fixed costs for trip delivery means break-even is achievable with 8-10 trips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Cash-positive structure: </w:t>
      </w:r>
      <w:r>
        <w:rPr>
          <w:rFonts w:ascii="Arial" w:cs="Arial" w:eastAsia="Arial" w:hAnsi="Arial"/>
          <w:sz w:val="22"/>
          <w:szCs w:val="22"/>
        </w:rPr>
        <w:t xml:space="preserve">Deposits and advance payments eliminate cash flow risk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Favorable market timing: </w:t>
      </w:r>
      <w:r>
        <w:rPr>
          <w:rFonts w:ascii="Arial" w:cs="Arial" w:eastAsia="Arial" w:hAnsi="Arial"/>
          <w:sz w:val="22"/>
          <w:szCs w:val="22"/>
        </w:rPr>
        <w:t xml:space="preserve">Government-backed tourism growth creates tailwinds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Experienced operator: </w:t>
      </w:r>
      <w:r>
        <w:rPr>
          <w:rFonts w:ascii="Arial" w:cs="Arial" w:eastAsia="Arial" w:hAnsi="Arial"/>
          <w:sz w:val="22"/>
          <w:szCs w:val="22"/>
        </w:rPr>
        <w:t xml:space="preserve">Founder's event expertise reduces operational risk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Capital preservation: </w:t>
      </w:r>
      <w:r>
        <w:rPr>
          <w:rFonts w:ascii="Arial" w:cs="Arial" w:eastAsia="Arial" w:hAnsi="Arial"/>
          <w:sz w:val="22"/>
          <w:szCs w:val="22"/>
        </w:rPr>
        <w:t xml:space="preserve">Working capital reserve and low burn rate protect investment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CONFIDENTIAL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NYN GOLF | RISK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2026-01-01T14:38:23.658Z</dcterms:created>
  <dcterms:modified xsi:type="dcterms:W3CDTF">2026-01-01T14:38:23.658Z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