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b/>
          <w:color w:val="243746"/>
          <w:sz w:val="46"/>
        </w:rPr>
        <w:t>CLIENT NEEDS</w:t>
      </w:r>
    </w:p>
    <w:p>
      <w:pPr>
        <w:spacing w:after="320"/>
      </w:pPr>
      <w:r>
        <w:rPr>
          <w:rFonts w:ascii="Calibri" w:hAnsi="Calibri"/>
          <w:color w:val="667580"/>
          <w:sz w:val="28"/>
        </w:rPr>
        <w:t>Latest brief, solution rationale and release gaps for the National Transition Event</w:t>
      </w:r>
    </w:p>
    <w:p>
      <w:pPr>
        <w:spacing w:after="40"/>
      </w:pPr>
      <w:r>
        <w:rPr>
          <w:rFonts w:ascii="Calibri" w:hAnsi="Calibri"/>
          <w:b/>
          <w:color w:val="243746"/>
          <w:sz w:val="22"/>
        </w:rPr>
        <w:t xml:space="preserve">Prepared for: </w:t>
      </w:r>
      <w:r>
        <w:rPr>
          <w:rFonts w:ascii="Calibri" w:hAnsi="Calibri"/>
          <w:color w:val="243746"/>
          <w:sz w:val="22"/>
        </w:rPr>
        <w:t>Mission Community and Mission Motorsport</w:t>
      </w:r>
    </w:p>
    <w:p>
      <w:pPr>
        <w:spacing w:after="40"/>
      </w:pPr>
      <w:r>
        <w:rPr>
          <w:rFonts w:ascii="Calibri" w:hAnsi="Calibri"/>
          <w:b/>
          <w:color w:val="243746"/>
          <w:sz w:val="22"/>
        </w:rPr>
        <w:t xml:space="preserve">Project: </w:t>
      </w:r>
      <w:r>
        <w:rPr>
          <w:rFonts w:ascii="Calibri" w:hAnsi="Calibri"/>
          <w:color w:val="243746"/>
          <w:sz w:val="22"/>
        </w:rPr>
        <w:t>NTE27 Salesforce intake, event management and communications</w:t>
      </w:r>
    </w:p>
    <w:p>
      <w:pPr>
        <w:spacing w:after="40"/>
      </w:pPr>
      <w:r>
        <w:rPr>
          <w:rFonts w:ascii="Calibri" w:hAnsi="Calibri"/>
          <w:b/>
          <w:color w:val="243746"/>
          <w:sz w:val="22"/>
        </w:rPr>
        <w:t xml:space="preserve">Evidence window: </w:t>
      </w:r>
      <w:r>
        <w:rPr>
          <w:rFonts w:ascii="Calibri" w:hAnsi="Calibri"/>
          <w:color w:val="243746"/>
          <w:sz w:val="22"/>
        </w:rPr>
        <w:t>29 July to 1 September 2026</w:t>
      </w:r>
    </w:p>
    <w:p>
      <w:pPr>
        <w:spacing w:after="40"/>
      </w:pPr>
      <w:r>
        <w:rPr>
          <w:rFonts w:ascii="Calibri" w:hAnsi="Calibri"/>
          <w:b/>
          <w:color w:val="243746"/>
          <w:sz w:val="22"/>
        </w:rPr>
        <w:t xml:space="preserve">Solution baseline: </w:t>
      </w:r>
      <w:r>
        <w:rPr>
          <w:rFonts w:ascii="Calibri" w:hAnsi="Calibri"/>
          <w:color w:val="243746"/>
          <w:sz w:val="22"/>
        </w:rPr>
        <w:t>Repository working tree reviewed 1 September 2026; HEAD a4651c6</w:t>
      </w:r>
    </w:p>
    <w:p>
      <w:pPr>
        <w:spacing w:after="240"/>
        <w:pBdr>
          <w:bottom w:val="single" w:sz="14" w:space="10" w:color="2E74B5"/>
        </w:pBdr>
      </w:pPr>
      <w:r>
        <w:rPr>
          <w:rFonts w:ascii="Calibri" w:hAnsi="Calibri"/>
          <w:b/>
          <w:color w:val="243746"/>
          <w:sz w:val="22"/>
        </w:rPr>
        <w:t xml:space="preserve">Status: </w:t>
      </w:r>
      <w:r>
        <w:rPr>
          <w:rFonts w:ascii="Calibri" w:hAnsi="Calibri"/>
          <w:color w:val="243746"/>
          <w:sz w:val="22"/>
        </w:rPr>
        <w:t>Working traceability document for review and amendment</w:t>
      </w:r>
    </w:p>
    <w:tbl>
      <w:tblPr>
        <w:tblW w:type="dxa" w:w="9360"/>
        <w:jc w:val="left"/>
        <w:tblLayout w:type="fixed"/>
        <w:tblLook w:firstColumn="1" w:firstRow="1" w:lastColumn="0" w:lastRow="0" w:noHBand="0" w:noVBand="1" w:val="04A0"/>
        <w:tblInd w:w="120"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Pr>
      <w:tblGrid>
        <w:gridCol w:w="9360"/>
      </w:tblGrid>
      <w:tr>
        <w:tc>
          <w:tcPr>
            <w:tcW w:type="dxa" w:w="9360"/>
            <w:tcMar>
              <w:top w:w="80" w:type="dxa"/>
              <w:start w:w="120" w:type="dxa"/>
              <w:bottom w:w="80" w:type="dxa"/>
              <w:end w:w="120" w:type="dxa"/>
            </w:tcMar>
            <w:shd w:fill="F4F6F9"/>
          </w:tcPr>
          <w:p>
            <w:pPr>
              <w:spacing w:after="60"/>
            </w:pPr>
            <w:r>
              <w:rPr>
                <w:rFonts w:ascii="Calibri" w:hAnsi="Calibri"/>
                <w:b/>
                <w:color w:val="2E74B5"/>
                <w:sz w:val="22"/>
              </w:rPr>
              <w:t>Reading rule</w:t>
            </w:r>
          </w:p>
          <w:p>
            <w:pPr>
              <w:spacing w:after="0"/>
            </w:pPr>
            <w:r>
              <w:rPr>
                <w:rFonts w:ascii="Calibri" w:hAnsi="Calibri"/>
                <w:color w:val="243746"/>
                <w:sz w:val="21"/>
              </w:rPr>
              <w:t>This document deliberately treats the newest client evidence as authoritative. Earlier ideas are retained only in the supersession register so they cannot accidentally be carried into delivery. Quotes from Gemini transcripts are short excerpts from machine-generated records and should be checked against the recording if wording becomes contractually important.</w:t>
            </w:r>
          </w:p>
        </w:tc>
      </w:tr>
    </w:tbl>
    <w:p>
      <w:pPr>
        <w:spacing w:after="0"/>
      </w:pPr>
    </w:p>
    <w:p>
      <w:pPr>
        <w:pStyle w:val="Heading1"/>
        <w:keepNext/>
      </w:pPr>
      <w:r>
        <w:t>1. Outcome of the review</w:t>
      </w:r>
    </w:p>
    <w:p>
      <w:pPr>
        <w:spacing w:after="100"/>
      </w:pPr>
      <w:r>
        <w:rPr>
          <w:rFonts w:ascii="Calibri" w:hAnsi="Calibri"/>
          <w:b/>
          <w:color w:val="1F4D78"/>
          <w:sz w:val="22"/>
        </w:rPr>
        <w:t xml:space="preserve">Latest project outcome. </w:t>
      </w:r>
      <w:r>
        <w:rPr>
          <w:rFonts w:ascii="Calibri" w:hAnsi="Calibri"/>
          <w:color w:val="243746"/>
          <w:sz w:val="22"/>
        </w:rPr>
        <w:t>Mission Community needs a simple Salesforce-based operating system for NTE27 that preserves relationship history, stages invite-only applications, coordinates finance and later operational updates, and gives staff clear reports and communication queues. Eventbrite remains the general attendee ticketing system.</w:t>
      </w:r>
    </w:p>
    <w:p>
      <w:pPr>
        <w:spacing w:after="100"/>
      </w:pPr>
      <w:r>
        <w:rPr>
          <w:rFonts w:ascii="Calibri" w:hAnsi="Calibri"/>
          <w:b/>
          <w:color w:val="1F4D78"/>
          <w:sz w:val="22"/>
        </w:rPr>
        <w:t xml:space="preserve">Overall fit. </w:t>
      </w:r>
      <w:r>
        <w:rPr>
          <w:rFonts w:ascii="Calibri" w:hAnsi="Calibri"/>
          <w:color w:val="243746"/>
          <w:sz w:val="22"/>
        </w:rPr>
        <w:t>The current solution is strongly aligned with the evolved brief at the data-model and workflow level. The annual Opportunity model, separate application journeys, controlled pricing, manual Xero stages, later staff/heavy updates and simplified management app all have defensible client or downstream reasons.</w:t>
      </w:r>
    </w:p>
    <w:p>
      <w:pPr>
        <w:spacing w:after="100"/>
      </w:pPr>
      <w:r>
        <w:rPr>
          <w:rFonts w:ascii="Calibri" w:hAnsi="Calibri"/>
          <w:b/>
          <w:color w:val="1F4D78"/>
          <w:sz w:val="22"/>
        </w:rPr>
        <w:t xml:space="preserve">Release position. </w:t>
      </w:r>
      <w:r>
        <w:rPr>
          <w:rFonts w:ascii="Calibri" w:hAnsi="Calibri"/>
          <w:color w:val="243746"/>
          <w:sz w:val="22"/>
        </w:rPr>
        <w:t>The solution is not ready to be represented as production-complete. The payment/confirmation email sequence conflicts with the latest brief, and production depends on migration/list completion, Stripe and launch decisions, final terms/brochure, a working external logo-upload link, production configuration and full Salesforce/UAT/security testing.</w:t>
      </w:r>
    </w:p>
    <w:p>
      <w:pPr>
        <w:spacing w:after="100"/>
      </w:pPr>
      <w:r>
        <w:rPr>
          <w:rFonts w:ascii="Calibri" w:hAnsi="Calibri"/>
          <w:b/>
          <w:color w:val="1F4D78"/>
          <w:sz w:val="22"/>
        </w:rPr>
        <w:t xml:space="preserve">Evidence reviewed. </w:t>
      </w:r>
      <w:r>
        <w:rPr>
          <w:rFonts w:ascii="Calibri" w:hAnsi="Calibri"/>
          <w:color w:val="243746"/>
          <w:sz w:val="22"/>
        </w:rPr>
        <w:t>Twenty-eight relevant email threads (68 messages after thread expansion), four client-facing Gemini meeting-note documents, Calendar records, supplied attachments and the repository working tree were reviewed. A 6 August internal knowledge-transfer note was used only as background, not as client authority.</w:t>
      </w:r>
    </w:p>
    <w:p>
      <w:pPr>
        <w:pStyle w:val="Heading2"/>
        <w:keepNext/>
      </w:pPr>
      <w:r>
        <w:t>1.1 Method and confidence</w:t>
      </w:r>
    </w:p>
    <w:p>
      <w:pPr>
        <w:pStyle w:val="ListBullet"/>
        <w:spacing w:after="80"/>
      </w:pPr>
      <w:r>
        <w:rPr>
          <w:rFonts w:ascii="Calibri" w:hAnsi="Calibri"/>
          <w:color w:val="243746"/>
          <w:sz w:val="21"/>
        </w:rPr>
        <w:t>Later dated client evidence overrides earlier evidence when the subjects conflict.</w:t>
      </w:r>
    </w:p>
    <w:p>
      <w:pPr>
        <w:pStyle w:val="ListBullet"/>
        <w:spacing w:after="80"/>
      </w:pPr>
      <w:r>
        <w:rPr>
          <w:rFonts w:ascii="Calibri" w:hAnsi="Calibri"/>
          <w:color w:val="243746"/>
          <w:sz w:val="21"/>
        </w:rPr>
        <w:t>Direct Kate/Finance emails are treated as the strongest evidence for detailed wording and process changes; meeting transcripts/notes provide acceptance and rationale; repository documentation is evidence of implementation, not evidence of client approval.</w:t>
      </w:r>
    </w:p>
    <w:p>
      <w:pPr>
        <w:pStyle w:val="ListBullet"/>
        <w:spacing w:after="80"/>
      </w:pPr>
      <w:r>
        <w:rPr>
          <w:rFonts w:ascii="Calibri" w:hAnsi="Calibri"/>
          <w:color w:val="243746"/>
          <w:sz w:val="21"/>
        </w:rPr>
        <w:t>‘Explicit’ means the client directly requested or accepted it. ‘Implicit’ means the decision is a necessary downstream consequence of carrying out an explicit need safely or coherently.</w:t>
      </w:r>
    </w:p>
    <w:p>
      <w:pPr>
        <w:pStyle w:val="ListBullet"/>
        <w:spacing w:after="80"/>
      </w:pPr>
      <w:r>
        <w:rPr>
          <w:rFonts w:ascii="Calibri" w:hAnsi="Calibri"/>
          <w:color w:val="243746"/>
          <w:sz w:val="21"/>
        </w:rPr>
        <w:t>‘Aligned’ does not mean deployed. It means the current repository behaviour matches the latest brief. ‘Pending’ and ‘Partial’ identify release work or missing client input.</w:t>
      </w:r>
    </w:p>
    <w:p>
      <w:pPr>
        <w:pStyle w:val="ListBullet"/>
        <w:spacing w:after="80"/>
      </w:pPr>
      <w:r>
        <w:rPr>
          <w:rFonts w:ascii="Calibri" w:hAnsi="Calibri"/>
          <w:color w:val="243746"/>
          <w:sz w:val="21"/>
        </w:rPr>
        <w:t>Conversations outside the reviewed sources are intentionally not invented. The final section isolates decisions that need the user’s additional context.</w:t>
      </w:r>
    </w:p>
    <w:p>
      <w:r>
        <w:br w:type="page"/>
      </w:r>
    </w:p>
    <w:p>
      <w:pPr>
        <w:pStyle w:val="Heading1"/>
        <w:keepNext/>
      </w:pPr>
      <w:r>
        <w:t>2. Latest brief at a glance</w:t>
      </w:r>
    </w:p>
    <w:tbl>
      <w:tblPr>
        <w:tblW w:type="dxa" w:w="9360"/>
        <w:jc w:val="left"/>
        <w:tblLayout w:type="fixed"/>
        <w:tblLook w:firstColumn="1" w:firstRow="1" w:lastColumn="0" w:lastRow="0" w:noHBand="0" w:noVBand="1" w:val="04A0"/>
        <w:tblInd w:w="120" w:type="dxa"/>
        <w:tblBorders>
          <w:top w:val="single" w:sz="6" w:space="0" w:color="1F4D78"/>
          <w:left w:val="single" w:sz="6" w:space="0" w:color="1F4D78"/>
          <w:bottom w:val="single" w:sz="6" w:space="0" w:color="1F4D78"/>
          <w:right w:val="single" w:sz="6" w:space="0" w:color="1F4D78"/>
          <w:insideH w:val="single" w:sz="6" w:space="0" w:color="1F4D78"/>
          <w:insideV w:val="single" w:sz="6" w:space="0" w:color="1F4D78"/>
        </w:tblBorders>
      </w:tblPr>
      <w:tblGrid>
        <w:gridCol w:w="9360"/>
      </w:tblGrid>
      <w:tr>
        <w:tc>
          <w:tcPr>
            <w:tcW w:type="dxa" w:w="9360"/>
            <w:tcMar>
              <w:top w:w="80" w:type="dxa"/>
              <w:start w:w="120" w:type="dxa"/>
              <w:bottom w:w="80" w:type="dxa"/>
              <w:end w:w="120" w:type="dxa"/>
            </w:tcMar>
            <w:shd w:fill="EAF3F8"/>
          </w:tcPr>
          <w:p>
            <w:pPr>
              <w:spacing w:after="60"/>
            </w:pPr>
            <w:r>
              <w:rPr>
                <w:rFonts w:ascii="Calibri" w:hAnsi="Calibri"/>
                <w:b/>
                <w:color w:val="1F4D78"/>
                <w:sz w:val="22"/>
              </w:rPr>
              <w:t>Current target state</w:t>
            </w:r>
          </w:p>
          <w:p>
            <w:pPr>
              <w:spacing w:after="0"/>
            </w:pPr>
            <w:r>
              <w:rPr>
                <w:rFonts w:ascii="Calibri" w:hAnsi="Calibri"/>
                <w:color w:val="243746"/>
                <w:sz w:val="21"/>
              </w:rPr>
              <w:t>One joint launch webinar; cleaned Salesforce database and invitation lists; separate hidden Partner/Sponsor and Exhibitor applications; manual approval and Xero finance; provisional allocation/payment before final confirmation; later staff and vehicle forms; working SharePoint File Request; simple NTE operating dashboard.</w:t>
            </w:r>
          </w:p>
        </w:tc>
      </w:tr>
    </w:tbl>
    <w:p>
      <w:pPr>
        <w:spacing w:after="0"/>
      </w:pPr>
    </w:p>
    <w:p>
      <w:pPr>
        <w:pStyle w:val="ListBullet"/>
        <w:spacing w:after="80"/>
      </w:pPr>
      <w:r>
        <w:rPr>
          <w:rFonts w:ascii="Calibri" w:hAnsi="Calibri"/>
          <w:color w:val="243746"/>
          <w:sz w:val="21"/>
        </w:rPr>
        <w:t>One launch webinar for Partners/Sponsors and Exhibitors. The latest date is unresolved: 15 September was provisional, with 5 or 6 October suggested to allow trustee approval and testing.</w:t>
      </w:r>
    </w:p>
    <w:p>
      <w:pPr>
        <w:pStyle w:val="ListBullet"/>
        <w:spacing w:after="80"/>
      </w:pPr>
      <w:r>
        <w:rPr>
          <w:rFonts w:ascii="Calibri" w:hAnsi="Calibri"/>
          <w:color w:val="243746"/>
          <w:sz w:val="21"/>
        </w:rPr>
        <w:t>Partner/Sponsor and Exhibitor use separate application forms. The Partner/Sponsor form combines the two former forms and is sent only after acceptance; the EOI is separate.</w:t>
      </w:r>
    </w:p>
    <w:p>
      <w:pPr>
        <w:pStyle w:val="ListBullet"/>
        <w:spacing w:after="80"/>
      </w:pPr>
      <w:r>
        <w:rPr>
          <w:rFonts w:ascii="Calibri" w:hAnsi="Calibri"/>
          <w:color w:val="243746"/>
          <w:sz w:val="21"/>
        </w:rPr>
        <w:t>Paid bookings follow application → review/provisional allocation → quote/invoice or Stripe route → payment → final confirmation. Complimentary bookings bypass paid finance stages.</w:t>
      </w:r>
    </w:p>
    <w:p>
      <w:pPr>
        <w:pStyle w:val="ListBullet"/>
        <w:spacing w:after="80"/>
      </w:pPr>
      <w:r>
        <w:rPr>
          <w:rFonts w:ascii="Calibri" w:hAnsi="Calibri"/>
          <w:color w:val="243746"/>
          <w:sz w:val="21"/>
        </w:rPr>
        <w:t>At application, collect the information needed to price and approve the booking, including planned staff count. Request final staff names and heavy-vehicle details later through booking-reference forms.</w:t>
      </w:r>
    </w:p>
    <w:p>
      <w:pPr>
        <w:pStyle w:val="ListBullet"/>
        <w:spacing w:after="80"/>
      </w:pPr>
      <w:r>
        <w:rPr>
          <w:rFonts w:ascii="Calibri" w:hAnsi="Calibri"/>
          <w:color w:val="243746"/>
          <w:sz w:val="21"/>
        </w:rPr>
        <w:t>Salesforce preserves the organisation and contacts, while each year’s NTE participation is a separate Opportunity. The dedicated app makes this usable without changing the standard underlying model.</w:t>
      </w:r>
    </w:p>
    <w:p>
      <w:pPr>
        <w:pStyle w:val="ListBullet"/>
        <w:spacing w:after="80"/>
      </w:pPr>
      <w:r>
        <w:rPr>
          <w:rFonts w:ascii="Calibri" w:hAnsi="Calibri"/>
          <w:color w:val="243746"/>
          <w:sz w:val="21"/>
        </w:rPr>
        <w:t>Xero remains the quote/invoice system. Salesforce supplies Finance’s report and records quote, invoice and payment milestones, numbers and dates manually.</w:t>
      </w:r>
    </w:p>
    <w:p>
      <w:pPr>
        <w:pStyle w:val="ListBullet"/>
        <w:spacing w:after="80"/>
      </w:pPr>
      <w:r>
        <w:rPr>
          <w:rFonts w:ascii="Calibri" w:hAnsi="Calibri"/>
          <w:color w:val="243746"/>
          <w:sz w:val="21"/>
        </w:rPr>
        <w:t>Logos/artwork remain in SharePoint. Salesforce records receipt/date; it does not need a direct file integration.</w:t>
      </w:r>
    </w:p>
    <w:p>
      <w:pPr>
        <w:pStyle w:val="ListBullet"/>
        <w:spacing w:after="80"/>
      </w:pPr>
      <w:r>
        <w:rPr>
          <w:rFonts w:ascii="Calibri" w:hAnsi="Calibri"/>
          <w:color w:val="243746"/>
          <w:sz w:val="21"/>
        </w:rPr>
        <w:t>Final terms, the Partner/Sponsor brochure, external File Request link, production migration/configuration and complete test evidence are mandatory before release.</w:t>
      </w:r>
    </w:p>
    <w:p>
      <w:pPr>
        <w:pStyle w:val="Heading2"/>
        <w:keepNext/>
      </w:pPr>
      <w:r>
        <w:t>2.1 Current solution baseline</w:t>
      </w:r>
    </w:p>
    <w:p>
      <w:pPr>
        <w:spacing w:after="100"/>
      </w:pPr>
      <w:r>
        <w:rPr>
          <w:rFonts w:ascii="Calibri" w:hAnsi="Calibri"/>
          <w:b/>
          <w:color w:val="1F4D78"/>
          <w:sz w:val="21"/>
        </w:rPr>
        <w:t xml:space="preserve">Repository state. </w:t>
      </w:r>
      <w:r>
        <w:rPr>
          <w:rFonts w:ascii="Calibri" w:hAnsi="Calibri"/>
          <w:color w:val="243746"/>
          <w:sz w:val="21"/>
        </w:rPr>
        <w:t>Reviewed at HEAD a4651c6 (‘Implement split staff updates and staff pricing’, 1 September 2026), including visible uncommitted changes to approval-email batching, live refresh and list filters. Those uncommitted changes are considered in this assessment but are not assumed deployed.</w:t>
      </w:r>
    </w:p>
    <w:p>
      <w:pPr>
        <w:spacing w:after="100"/>
      </w:pPr>
      <w:r>
        <w:rPr>
          <w:rFonts w:ascii="Calibri" w:hAnsi="Calibri"/>
          <w:b/>
          <w:color w:val="1F4D78"/>
          <w:sz w:val="21"/>
        </w:rPr>
        <w:t xml:space="preserve">Implemented surfaces. </w:t>
      </w:r>
      <w:r>
        <w:rPr>
          <w:rFonts w:ascii="Calibri" w:hAnsi="Calibri"/>
          <w:color w:val="243746"/>
          <w:sz w:val="21"/>
        </w:rPr>
        <w:t>Static NTE forms and configuration; Salesforce custom fields, flows, Apex services/tests, Lightning management panel, app/permissions, reports/dashboards, list views and email templates; migration/deployment documentation.</w:t>
      </w:r>
    </w:p>
    <w:p>
      <w:pPr>
        <w:spacing w:after="100"/>
      </w:pPr>
      <w:r>
        <w:rPr>
          <w:rFonts w:ascii="Calibri" w:hAnsi="Calibri"/>
          <w:b/>
          <w:color w:val="1F4D78"/>
          <w:sz w:val="21"/>
        </w:rPr>
        <w:t xml:space="preserve">Verification completed for this document. </w:t>
      </w:r>
      <w:r>
        <w:rPr>
          <w:rFonts w:ascii="Calibri" w:hAnsi="Calibri"/>
          <w:color w:val="243746"/>
          <w:sz w:val="21"/>
        </w:rPr>
        <w:t>The local form test suite passed on 1 September 2026. No connected production deployment, full Salesforce Apex run, email deliverability result or client UAT sign-off was available as part of this review.</w:t>
      </w:r>
    </w:p>
    <w:p>
      <w:r>
        <w:br w:type="page"/>
      </w:r>
    </w:p>
    <w:p>
      <w:pPr>
        <w:pStyle w:val="Heading1"/>
        <w:keepNext/>
      </w:pPr>
      <w:r>
        <w:t>3. Latest-only decision matrix</w:t>
      </w:r>
    </w:p>
    <w:p>
      <w:pPr>
        <w:spacing w:after="100"/>
      </w:pPr>
      <w:r>
        <w:rPr>
          <w:rFonts w:ascii="Calibri" w:hAnsi="Calibri"/>
          <w:b/>
          <w:color w:val="1F4D78"/>
          <w:sz w:val="19"/>
        </w:rPr>
        <w:t xml:space="preserve">Status key. </w:t>
      </w:r>
      <w:r>
        <w:rPr>
          <w:rFonts w:ascii="Calibri" w:hAnsi="Calibri"/>
          <w:color w:val="667580"/>
          <w:sz w:val="19"/>
        </w:rPr>
        <w:t>Aligned = matches latest evidence; Partial = direction is right but implementation or client input is incomplete; Pending = blocked/not yet implemented; Not aligned = current behaviour conflicts with the newest evidence.</w:t>
      </w:r>
    </w:p>
    <w:tbl>
      <w:tblPr>
        <w:tblW w:type="dxa" w:w="9360"/>
        <w:jc w:val="left"/>
        <w:tblLayout w:type="fixed"/>
        <w:tblLook w:firstColumn="1" w:firstRow="1" w:lastColumn="0" w:lastRow="0" w:noHBand="0" w:noVBand="1" w:val="04A0"/>
        <w:tblInd w:w="120" w:type="dxa"/>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Pr>
      <w:tblGrid>
        <w:gridCol w:w="2700"/>
        <w:gridCol w:w="3900"/>
        <w:gridCol w:w="1080"/>
        <w:gridCol w:w="1680"/>
      </w:tblGrid>
      <w:tr>
        <w:trPr>
          <w:tblHeader w:val="true"/>
          <w:cantSplit/>
        </w:trPr>
        <w:tc>
          <w:tcPr>
            <w:tcW w:type="dxa" w:w="2700"/>
            <w:tcMar>
              <w:top w:w="80" w:type="dxa"/>
              <w:start w:w="120" w:type="dxa"/>
              <w:bottom w:w="80" w:type="dxa"/>
              <w:end w:w="120" w:type="dxa"/>
            </w:tcMar>
            <w:shd w:fill="F2F4F7"/>
            <w:vAlign w:val="center"/>
          </w:tcPr>
          <w:p>
            <w:pPr>
              <w:spacing w:after="0"/>
            </w:pPr>
            <w:r>
              <w:rPr>
                <w:rFonts w:ascii="Calibri" w:hAnsi="Calibri"/>
                <w:b/>
                <w:color w:val="243746"/>
                <w:sz w:val="18"/>
              </w:rPr>
              <w:t>Latest client need</w:t>
            </w:r>
          </w:p>
        </w:tc>
        <w:tc>
          <w:tcPr>
            <w:tcW w:type="dxa" w:w="3900"/>
            <w:tcMar>
              <w:top w:w="80" w:type="dxa"/>
              <w:start w:w="120" w:type="dxa"/>
              <w:bottom w:w="80" w:type="dxa"/>
              <w:end w:w="120" w:type="dxa"/>
            </w:tcMar>
            <w:shd w:fill="F2F4F7"/>
            <w:vAlign w:val="center"/>
          </w:tcPr>
          <w:p>
            <w:pPr>
              <w:spacing w:after="0"/>
            </w:pPr>
            <w:r>
              <w:rPr>
                <w:rFonts w:ascii="Calibri" w:hAnsi="Calibri"/>
                <w:b/>
                <w:color w:val="243746"/>
                <w:sz w:val="18"/>
              </w:rPr>
              <w:t>Current solution response</w:t>
            </w:r>
          </w:p>
        </w:tc>
        <w:tc>
          <w:tcPr>
            <w:tcW w:type="dxa" w:w="1080"/>
            <w:tcMar>
              <w:top w:w="80" w:type="dxa"/>
              <w:start w:w="120" w:type="dxa"/>
              <w:bottom w:w="80" w:type="dxa"/>
              <w:end w:w="120" w:type="dxa"/>
            </w:tcMar>
            <w:shd w:fill="F2F4F7"/>
            <w:vAlign w:val="center"/>
          </w:tcPr>
          <w:p>
            <w:pPr>
              <w:spacing w:after="0"/>
            </w:pPr>
            <w:r>
              <w:rPr>
                <w:rFonts w:ascii="Calibri" w:hAnsi="Calibri"/>
                <w:b/>
                <w:color w:val="243746"/>
                <w:sz w:val="18"/>
              </w:rPr>
              <w:t>State</w:t>
            </w:r>
          </w:p>
        </w:tc>
        <w:tc>
          <w:tcPr>
            <w:tcW w:type="dxa" w:w="1680"/>
            <w:tcMar>
              <w:top w:w="80" w:type="dxa"/>
              <w:start w:w="120" w:type="dxa"/>
              <w:bottom w:w="80" w:type="dxa"/>
              <w:end w:w="120" w:type="dxa"/>
            </w:tcMar>
            <w:shd w:fill="F2F4F7"/>
            <w:vAlign w:val="center"/>
          </w:tcPr>
          <w:p>
            <w:pPr>
              <w:spacing w:after="0"/>
            </w:pPr>
            <w:r>
              <w:rPr>
                <w:rFonts w:ascii="Calibri" w:hAnsi="Calibri"/>
                <w:b/>
                <w:color w:val="243746"/>
                <w:sz w:val="18"/>
              </w:rPr>
              <w:t>Freshest evidence</w:t>
            </w:r>
          </w:p>
        </w:tc>
      </w:tr>
      <w:tr>
        <w:trPr>
          <w:cantSplit/>
        </w:trPr>
        <w:tc>
          <w:tcPr>
            <w:tcW w:type="dxa" w:w="2700"/>
            <w:vAlign w:val="top"/>
          </w:tcPr>
          <w:p>
            <w:pPr>
              <w:spacing w:after="0" w:line="240" w:lineRule="auto"/>
            </w:pPr>
            <w:r>
              <w:rPr>
                <w:rFonts w:ascii="Calibri" w:hAnsi="Calibri"/>
                <w:b w:val="0"/>
                <w:color w:val="243746"/>
                <w:sz w:val="17"/>
              </w:rPr>
              <w:t>One reliable operating record for NTE relationships, applications, status and outreach.</w:t>
            </w:r>
          </w:p>
        </w:tc>
        <w:tc>
          <w:tcPr>
            <w:tcW w:type="dxa" w:w="3900"/>
            <w:vAlign w:val="top"/>
          </w:tcPr>
          <w:p>
            <w:pPr>
              <w:spacing w:after="0" w:line="240" w:lineRule="auto"/>
            </w:pPr>
            <w:r>
              <w:rPr>
                <w:rFonts w:ascii="Calibri" w:hAnsi="Calibri"/>
                <w:b w:val="0"/>
                <w:color w:val="243746"/>
                <w:sz w:val="17"/>
              </w:rPr>
              <w:t>Salesforce Leads, Accounts, Contacts and annual NTE Opportunities, surfaced in a dedicated NTE Management app.</w:t>
            </w:r>
          </w:p>
        </w:tc>
        <w:tc>
          <w:tcPr>
            <w:tcW w:type="dxa" w:w="1080"/>
            <w:vAlign w:val="top"/>
          </w:tcPr>
          <w:p>
            <w:pPr>
              <w:spacing w:after="0" w:line="240" w:lineRule="auto"/>
            </w:pPr>
            <w:r>
              <w:rPr>
                <w:rFonts w:ascii="Calibri" w:hAnsi="Calibri"/>
                <w:b/>
                <w:color w:val="2F6B4F"/>
                <w:sz w:val="17"/>
              </w:rPr>
              <w:t>Aligned</w:t>
            </w:r>
          </w:p>
        </w:tc>
        <w:tc>
          <w:tcPr>
            <w:tcW w:type="dxa" w:w="1680"/>
            <w:vAlign w:val="top"/>
          </w:tcPr>
          <w:p>
            <w:pPr>
              <w:spacing w:after="0" w:line="240" w:lineRule="auto"/>
            </w:pPr>
            <w:r>
              <w:rPr>
                <w:rFonts w:ascii="Calibri" w:hAnsi="Calibri"/>
                <w:b w:val="0"/>
                <w:color w:val="243746"/>
                <w:sz w:val="17"/>
              </w:rPr>
              <w:t>M1; M4</w:t>
            </w:r>
          </w:p>
        </w:tc>
      </w:tr>
      <w:tr>
        <w:trPr>
          <w:cantSplit/>
        </w:trPr>
        <w:tc>
          <w:tcPr>
            <w:tcW w:type="dxa" w:w="2700"/>
            <w:vAlign w:val="top"/>
          </w:tcPr>
          <w:p>
            <w:pPr>
              <w:spacing w:after="0" w:line="240" w:lineRule="auto"/>
            </w:pPr>
            <w:r>
              <w:rPr>
                <w:rFonts w:ascii="Calibri" w:hAnsi="Calibri"/>
                <w:b w:val="0"/>
                <w:color w:val="243746"/>
                <w:sz w:val="17"/>
              </w:rPr>
              <w:t>Keep general attendee ticketing separate; manage partners, sponsors, exhibitors and invited guests in the CRM. Volunteers were later added.</w:t>
            </w:r>
          </w:p>
        </w:tc>
        <w:tc>
          <w:tcPr>
            <w:tcW w:type="dxa" w:w="3900"/>
            <w:vAlign w:val="top"/>
          </w:tcPr>
          <w:p>
            <w:pPr>
              <w:spacing w:after="0" w:line="240" w:lineRule="auto"/>
            </w:pPr>
            <w:r>
              <w:rPr>
                <w:rFonts w:ascii="Calibri" w:hAnsi="Calibri"/>
                <w:b w:val="0"/>
                <w:color w:val="243746"/>
                <w:sz w:val="17"/>
              </w:rPr>
              <w:t>Eventbrite remains outside scope; separate EOI, guest, volunteer and commercial application forms feed Salesforce.</w:t>
            </w:r>
          </w:p>
        </w:tc>
        <w:tc>
          <w:tcPr>
            <w:tcW w:type="dxa" w:w="1080"/>
            <w:vAlign w:val="top"/>
          </w:tcPr>
          <w:p>
            <w:pPr>
              <w:spacing w:after="0" w:line="240" w:lineRule="auto"/>
            </w:pPr>
            <w:r>
              <w:rPr>
                <w:rFonts w:ascii="Calibri" w:hAnsi="Calibri"/>
                <w:b/>
                <w:color w:val="7A5A00"/>
                <w:sz w:val="17"/>
              </w:rPr>
              <w:t>Partial</w:t>
            </w:r>
          </w:p>
        </w:tc>
        <w:tc>
          <w:tcPr>
            <w:tcW w:type="dxa" w:w="1680"/>
            <w:vAlign w:val="top"/>
          </w:tcPr>
          <w:p>
            <w:pPr>
              <w:spacing w:after="0" w:line="240" w:lineRule="auto"/>
            </w:pPr>
            <w:r>
              <w:rPr>
                <w:rFonts w:ascii="Calibri" w:hAnsi="Calibri"/>
                <w:b w:val="0"/>
                <w:color w:val="243746"/>
                <w:sz w:val="17"/>
              </w:rPr>
              <w:t>M1; E3; M4</w:t>
            </w:r>
          </w:p>
        </w:tc>
      </w:tr>
      <w:tr>
        <w:trPr>
          <w:cantSplit/>
        </w:trPr>
        <w:tc>
          <w:tcPr>
            <w:tcW w:type="dxa" w:w="2700"/>
            <w:vAlign w:val="top"/>
          </w:tcPr>
          <w:p>
            <w:pPr>
              <w:spacing w:after="0" w:line="240" w:lineRule="auto"/>
            </w:pPr>
            <w:r>
              <w:rPr>
                <w:rFonts w:ascii="Calibri" w:hAnsi="Calibri"/>
                <w:b w:val="0"/>
                <w:color w:val="243746"/>
                <w:sz w:val="17"/>
              </w:rPr>
              <w:t>Use a low-commitment Expression of Interest before approved applicants receive booking links.</w:t>
            </w:r>
          </w:p>
        </w:tc>
        <w:tc>
          <w:tcPr>
            <w:tcW w:type="dxa" w:w="3900"/>
            <w:vAlign w:val="top"/>
          </w:tcPr>
          <w:p>
            <w:pPr>
              <w:spacing w:after="0" w:line="240" w:lineRule="auto"/>
            </w:pPr>
            <w:r>
              <w:rPr>
                <w:rFonts w:ascii="Calibri" w:hAnsi="Calibri"/>
                <w:b w:val="0"/>
                <w:color w:val="243746"/>
                <w:sz w:val="17"/>
              </w:rPr>
              <w:t>EOIs remain Leads and can be filtered and invited into the application stage.</w:t>
            </w:r>
          </w:p>
        </w:tc>
        <w:tc>
          <w:tcPr>
            <w:tcW w:type="dxa" w:w="1080"/>
            <w:vAlign w:val="top"/>
          </w:tcPr>
          <w:p>
            <w:pPr>
              <w:spacing w:after="0" w:line="240" w:lineRule="auto"/>
            </w:pPr>
            <w:r>
              <w:rPr>
                <w:rFonts w:ascii="Calibri" w:hAnsi="Calibri"/>
                <w:b/>
                <w:color w:val="2F6B4F"/>
                <w:sz w:val="17"/>
              </w:rPr>
              <w:t>Aligned</w:t>
            </w:r>
          </w:p>
        </w:tc>
        <w:tc>
          <w:tcPr>
            <w:tcW w:type="dxa" w:w="1680"/>
            <w:vAlign w:val="top"/>
          </w:tcPr>
          <w:p>
            <w:pPr>
              <w:spacing w:after="0" w:line="240" w:lineRule="auto"/>
            </w:pPr>
            <w:r>
              <w:rPr>
                <w:rFonts w:ascii="Calibri" w:hAnsi="Calibri"/>
                <w:b w:val="0"/>
                <w:color w:val="243746"/>
                <w:sz w:val="17"/>
              </w:rPr>
              <w:t>M4; E11</w:t>
            </w:r>
          </w:p>
        </w:tc>
      </w:tr>
      <w:tr>
        <w:trPr>
          <w:cantSplit/>
        </w:trPr>
        <w:tc>
          <w:tcPr>
            <w:tcW w:type="dxa" w:w="2700"/>
            <w:vAlign w:val="top"/>
          </w:tcPr>
          <w:p>
            <w:pPr>
              <w:spacing w:after="0" w:line="240" w:lineRule="auto"/>
            </w:pPr>
            <w:r>
              <w:rPr>
                <w:rFonts w:ascii="Calibri" w:hAnsi="Calibri"/>
                <w:b w:val="0"/>
                <w:color w:val="243746"/>
                <w:sz w:val="17"/>
              </w:rPr>
              <w:t>Separate Partner/Sponsor and Exhibitor applications; combine the two older Partner/Sponsor forms.</w:t>
            </w:r>
          </w:p>
        </w:tc>
        <w:tc>
          <w:tcPr>
            <w:tcW w:type="dxa" w:w="3900"/>
            <w:vAlign w:val="top"/>
          </w:tcPr>
          <w:p>
            <w:pPr>
              <w:spacing w:after="0" w:line="240" w:lineRule="auto"/>
            </w:pPr>
            <w:r>
              <w:rPr>
                <w:rFonts w:ascii="Calibri" w:hAnsi="Calibri"/>
                <w:b w:val="0"/>
                <w:color w:val="243746"/>
                <w:sz w:val="17"/>
              </w:rPr>
              <w:t>Two distinct commercial application forms with shared finance structure.</w:t>
            </w:r>
          </w:p>
        </w:tc>
        <w:tc>
          <w:tcPr>
            <w:tcW w:type="dxa" w:w="1080"/>
            <w:vAlign w:val="top"/>
          </w:tcPr>
          <w:p>
            <w:pPr>
              <w:spacing w:after="0" w:line="240" w:lineRule="auto"/>
            </w:pPr>
            <w:r>
              <w:rPr>
                <w:rFonts w:ascii="Calibri" w:hAnsi="Calibri"/>
                <w:b/>
                <w:color w:val="2F6B4F"/>
                <w:sz w:val="17"/>
              </w:rPr>
              <w:t>Aligned</w:t>
            </w:r>
          </w:p>
        </w:tc>
        <w:tc>
          <w:tcPr>
            <w:tcW w:type="dxa" w:w="1680"/>
            <w:vAlign w:val="top"/>
          </w:tcPr>
          <w:p>
            <w:pPr>
              <w:spacing w:after="0" w:line="240" w:lineRule="auto"/>
            </w:pPr>
            <w:r>
              <w:rPr>
                <w:rFonts w:ascii="Calibri" w:hAnsi="Calibri"/>
                <w:b w:val="0"/>
                <w:color w:val="243746"/>
                <w:sz w:val="17"/>
              </w:rPr>
              <w:t>E2; E6</w:t>
            </w:r>
          </w:p>
        </w:tc>
      </w:tr>
      <w:tr>
        <w:trPr>
          <w:cantSplit/>
        </w:trPr>
        <w:tc>
          <w:tcPr>
            <w:tcW w:type="dxa" w:w="2700"/>
            <w:vAlign w:val="top"/>
          </w:tcPr>
          <w:p>
            <w:pPr>
              <w:spacing w:after="0" w:line="240" w:lineRule="auto"/>
            </w:pPr>
            <w:r>
              <w:rPr>
                <w:rFonts w:ascii="Calibri" w:hAnsi="Calibri"/>
                <w:b w:val="0"/>
                <w:color w:val="243746"/>
                <w:sz w:val="17"/>
              </w:rPr>
              <w:t>Applications are invite-only/hidden and shared after due diligence or acceptance.</w:t>
            </w:r>
          </w:p>
        </w:tc>
        <w:tc>
          <w:tcPr>
            <w:tcW w:type="dxa" w:w="3900"/>
            <w:vAlign w:val="top"/>
          </w:tcPr>
          <w:p>
            <w:pPr>
              <w:spacing w:after="0" w:line="240" w:lineRule="auto"/>
            </w:pPr>
            <w:r>
              <w:rPr>
                <w:rFonts w:ascii="Calibri" w:hAnsi="Calibri"/>
                <w:b w:val="0"/>
                <w:color w:val="243746"/>
                <w:sz w:val="17"/>
              </w:rPr>
              <w:t>The forms are separate URLs, but the sandbox hub currently links to them and there is no signed access control.</w:t>
            </w:r>
          </w:p>
        </w:tc>
        <w:tc>
          <w:tcPr>
            <w:tcW w:type="dxa" w:w="1080"/>
            <w:vAlign w:val="top"/>
          </w:tcPr>
          <w:p>
            <w:pPr>
              <w:spacing w:after="0" w:line="240" w:lineRule="auto"/>
            </w:pPr>
            <w:r>
              <w:rPr>
                <w:rFonts w:ascii="Calibri" w:hAnsi="Calibri"/>
                <w:b/>
                <w:color w:val="7A5A00"/>
                <w:sz w:val="17"/>
              </w:rPr>
              <w:t>Partial</w:t>
            </w:r>
          </w:p>
        </w:tc>
        <w:tc>
          <w:tcPr>
            <w:tcW w:type="dxa" w:w="1680"/>
            <w:vAlign w:val="top"/>
          </w:tcPr>
          <w:p>
            <w:pPr>
              <w:spacing w:after="0" w:line="240" w:lineRule="auto"/>
            </w:pPr>
            <w:r>
              <w:rPr>
                <w:rFonts w:ascii="Calibri" w:hAnsi="Calibri"/>
                <w:b w:val="0"/>
                <w:color w:val="243746"/>
                <w:sz w:val="17"/>
              </w:rPr>
              <w:t>M1; E2; E6</w:t>
            </w:r>
          </w:p>
        </w:tc>
      </w:tr>
      <w:tr>
        <w:trPr>
          <w:cantSplit/>
        </w:trPr>
        <w:tc>
          <w:tcPr>
            <w:tcW w:type="dxa" w:w="2700"/>
            <w:vAlign w:val="top"/>
          </w:tcPr>
          <w:p>
            <w:pPr>
              <w:spacing w:after="0" w:line="240" w:lineRule="auto"/>
            </w:pPr>
            <w:r>
              <w:rPr>
                <w:rFonts w:ascii="Calibri" w:hAnsi="Calibri"/>
                <w:b w:val="0"/>
                <w:color w:val="243746"/>
                <w:sz w:val="17"/>
              </w:rPr>
              <w:t>Capture named contacts, organisation category, participation history and the details needed for personalised messages.</w:t>
            </w:r>
          </w:p>
        </w:tc>
        <w:tc>
          <w:tcPr>
            <w:tcW w:type="dxa" w:w="3900"/>
            <w:vAlign w:val="top"/>
          </w:tcPr>
          <w:p>
            <w:pPr>
              <w:spacing w:after="0" w:line="240" w:lineRule="auto"/>
            </w:pPr>
            <w:r>
              <w:rPr>
                <w:rFonts w:ascii="Calibri" w:hAnsi="Calibri"/>
                <w:b w:val="0"/>
                <w:color w:val="243746"/>
                <w:sz w:val="17"/>
              </w:rPr>
              <w:t>Structured contact and organisation fields, including separate first/surname, history and classification.</w:t>
            </w:r>
          </w:p>
        </w:tc>
        <w:tc>
          <w:tcPr>
            <w:tcW w:type="dxa" w:w="1080"/>
            <w:vAlign w:val="top"/>
          </w:tcPr>
          <w:p>
            <w:pPr>
              <w:spacing w:after="0" w:line="240" w:lineRule="auto"/>
            </w:pPr>
            <w:r>
              <w:rPr>
                <w:rFonts w:ascii="Calibri" w:hAnsi="Calibri"/>
                <w:b/>
                <w:color w:val="2F6B4F"/>
                <w:sz w:val="17"/>
              </w:rPr>
              <w:t>Aligned</w:t>
            </w:r>
          </w:p>
        </w:tc>
        <w:tc>
          <w:tcPr>
            <w:tcW w:type="dxa" w:w="1680"/>
            <w:vAlign w:val="top"/>
          </w:tcPr>
          <w:p>
            <w:pPr>
              <w:spacing w:after="0" w:line="240" w:lineRule="auto"/>
            </w:pPr>
            <w:r>
              <w:rPr>
                <w:rFonts w:ascii="Calibri" w:hAnsi="Calibri"/>
                <w:b w:val="0"/>
                <w:color w:val="243746"/>
                <w:sz w:val="17"/>
              </w:rPr>
              <w:t>E2; E6; A1</w:t>
            </w:r>
          </w:p>
        </w:tc>
      </w:tr>
      <w:tr>
        <w:trPr>
          <w:cantSplit/>
        </w:trPr>
        <w:tc>
          <w:tcPr>
            <w:tcW w:type="dxa" w:w="2700"/>
            <w:vAlign w:val="top"/>
          </w:tcPr>
          <w:p>
            <w:pPr>
              <w:spacing w:after="0" w:line="240" w:lineRule="auto"/>
            </w:pPr>
            <w:r>
              <w:rPr>
                <w:rFonts w:ascii="Calibri" w:hAnsi="Calibri"/>
                <w:b w:val="0"/>
                <w:color w:val="243746"/>
                <w:sz w:val="17"/>
              </w:rPr>
              <w:t>Show packages/spaces and prices; allow multiple Partner/Sponsor packages; retain Price on Request routes.</w:t>
            </w:r>
          </w:p>
        </w:tc>
        <w:tc>
          <w:tcPr>
            <w:tcW w:type="dxa" w:w="3900"/>
            <w:vAlign w:val="top"/>
          </w:tcPr>
          <w:p>
            <w:pPr>
              <w:spacing w:after="0" w:line="240" w:lineRule="auto"/>
            </w:pPr>
            <w:r>
              <w:rPr>
                <w:rFonts w:ascii="Calibri" w:hAnsi="Calibri"/>
                <w:b w:val="0"/>
                <w:color w:val="243746"/>
                <w:sz w:val="17"/>
              </w:rPr>
              <w:t>Allowlisted package/space selections, calculated totals and a manual agreed-price path for POA options.</w:t>
            </w:r>
          </w:p>
        </w:tc>
        <w:tc>
          <w:tcPr>
            <w:tcW w:type="dxa" w:w="1080"/>
            <w:vAlign w:val="top"/>
          </w:tcPr>
          <w:p>
            <w:pPr>
              <w:spacing w:after="0" w:line="240" w:lineRule="auto"/>
            </w:pPr>
            <w:r>
              <w:rPr>
                <w:rFonts w:ascii="Calibri" w:hAnsi="Calibri"/>
                <w:b/>
                <w:color w:val="2F6B4F"/>
                <w:sz w:val="17"/>
              </w:rPr>
              <w:t>Aligned</w:t>
            </w:r>
          </w:p>
        </w:tc>
        <w:tc>
          <w:tcPr>
            <w:tcW w:type="dxa" w:w="1680"/>
            <w:vAlign w:val="top"/>
          </w:tcPr>
          <w:p>
            <w:pPr>
              <w:spacing w:after="0" w:line="240" w:lineRule="auto"/>
            </w:pPr>
            <w:r>
              <w:rPr>
                <w:rFonts w:ascii="Calibri" w:hAnsi="Calibri"/>
                <w:b w:val="0"/>
                <w:color w:val="243746"/>
                <w:sz w:val="17"/>
              </w:rPr>
              <w:t>E2; M4</w:t>
            </w:r>
          </w:p>
        </w:tc>
      </w:tr>
      <w:tr>
        <w:trPr>
          <w:cantSplit/>
        </w:trPr>
        <w:tc>
          <w:tcPr>
            <w:tcW w:type="dxa" w:w="2700"/>
            <w:vAlign w:val="top"/>
          </w:tcPr>
          <w:p>
            <w:pPr>
              <w:spacing w:after="0" w:line="240" w:lineRule="auto"/>
            </w:pPr>
            <w:r>
              <w:rPr>
                <w:rFonts w:ascii="Calibri" w:hAnsi="Calibri"/>
                <w:b w:val="0"/>
                <w:color w:val="243746"/>
                <w:sz w:val="17"/>
              </w:rPr>
              <w:t>Capture power, accessibility, equipment and operational requirements without losing searchable yes/no indicators.</w:t>
            </w:r>
          </w:p>
        </w:tc>
        <w:tc>
          <w:tcPr>
            <w:tcW w:type="dxa" w:w="3900"/>
            <w:vAlign w:val="top"/>
          </w:tcPr>
          <w:p>
            <w:pPr>
              <w:spacing w:after="0" w:line="240" w:lineRule="auto"/>
            </w:pPr>
            <w:r>
              <w:rPr>
                <w:rFonts w:ascii="Calibri" w:hAnsi="Calibri"/>
                <w:b w:val="0"/>
                <w:color w:val="243746"/>
                <w:sz w:val="17"/>
              </w:rPr>
              <w:t>Structured yes/no fields plus explanatory text; power price and eligible 50% discount are calculated.</w:t>
            </w:r>
          </w:p>
        </w:tc>
        <w:tc>
          <w:tcPr>
            <w:tcW w:type="dxa" w:w="1080"/>
            <w:vAlign w:val="top"/>
          </w:tcPr>
          <w:p>
            <w:pPr>
              <w:spacing w:after="0" w:line="240" w:lineRule="auto"/>
            </w:pPr>
            <w:r>
              <w:rPr>
                <w:rFonts w:ascii="Calibri" w:hAnsi="Calibri"/>
                <w:b/>
                <w:color w:val="2F6B4F"/>
                <w:sz w:val="17"/>
              </w:rPr>
              <w:t>Aligned</w:t>
            </w:r>
          </w:p>
        </w:tc>
        <w:tc>
          <w:tcPr>
            <w:tcW w:type="dxa" w:w="1680"/>
            <w:vAlign w:val="top"/>
          </w:tcPr>
          <w:p>
            <w:pPr>
              <w:spacing w:after="0" w:line="240" w:lineRule="auto"/>
            </w:pPr>
            <w:r>
              <w:rPr>
                <w:rFonts w:ascii="Calibri" w:hAnsi="Calibri"/>
                <w:b w:val="0"/>
                <w:color w:val="243746"/>
                <w:sz w:val="17"/>
              </w:rPr>
              <w:t>E2; A1</w:t>
            </w:r>
          </w:p>
        </w:tc>
      </w:tr>
      <w:tr>
        <w:trPr>
          <w:cantSplit/>
        </w:trPr>
        <w:tc>
          <w:tcPr>
            <w:tcW w:type="dxa" w:w="2700"/>
            <w:vAlign w:val="top"/>
          </w:tcPr>
          <w:p>
            <w:pPr>
              <w:spacing w:after="0" w:line="240" w:lineRule="auto"/>
            </w:pPr>
            <w:r>
              <w:rPr>
                <w:rFonts w:ascii="Calibri" w:hAnsi="Calibri"/>
                <w:b w:val="0"/>
                <w:color w:val="243746"/>
                <w:sz w:val="17"/>
              </w:rPr>
              <w:t>Collect the expected staff count at application, but request final names nearer the event; invoice chargeable top-ups.</w:t>
            </w:r>
          </w:p>
        </w:tc>
        <w:tc>
          <w:tcPr>
            <w:tcW w:type="dxa" w:w="3900"/>
            <w:vAlign w:val="top"/>
          </w:tcPr>
          <w:p>
            <w:pPr>
              <w:spacing w:after="0" w:line="240" w:lineRule="auto"/>
            </w:pPr>
            <w:r>
              <w:rPr>
                <w:rFonts w:ascii="Calibri" w:hAnsi="Calibri"/>
                <w:b w:val="0"/>
                <w:color w:val="243746"/>
                <w:sz w:val="17"/>
              </w:rPr>
              <w:t>Initial counts plus separate Partner/Sponsor and Exhibitor staff-update forms; exhibitor top-ups are priced at £50 + VAT.</w:t>
            </w:r>
          </w:p>
        </w:tc>
        <w:tc>
          <w:tcPr>
            <w:tcW w:type="dxa" w:w="1080"/>
            <w:vAlign w:val="top"/>
          </w:tcPr>
          <w:p>
            <w:pPr>
              <w:spacing w:after="0" w:line="240" w:lineRule="auto"/>
            </w:pPr>
            <w:r>
              <w:rPr>
                <w:rFonts w:ascii="Calibri" w:hAnsi="Calibri"/>
                <w:b/>
                <w:color w:val="7A5A00"/>
                <w:sz w:val="17"/>
              </w:rPr>
              <w:t>Partial</w:t>
            </w:r>
          </w:p>
        </w:tc>
        <w:tc>
          <w:tcPr>
            <w:tcW w:type="dxa" w:w="1680"/>
            <w:vAlign w:val="top"/>
          </w:tcPr>
          <w:p>
            <w:pPr>
              <w:spacing w:after="0" w:line="240" w:lineRule="auto"/>
            </w:pPr>
            <w:r>
              <w:rPr>
                <w:rFonts w:ascii="Calibri" w:hAnsi="Calibri"/>
                <w:b w:val="0"/>
                <w:color w:val="243746"/>
                <w:sz w:val="17"/>
              </w:rPr>
              <w:t>E12; E13</w:t>
            </w:r>
          </w:p>
        </w:tc>
      </w:tr>
      <w:tr>
        <w:trPr>
          <w:cantSplit/>
        </w:trPr>
        <w:tc>
          <w:tcPr>
            <w:tcW w:type="dxa" w:w="2700"/>
            <w:vAlign w:val="top"/>
          </w:tcPr>
          <w:p>
            <w:pPr>
              <w:spacing w:after="0" w:line="240" w:lineRule="auto"/>
            </w:pPr>
            <w:r>
              <w:rPr>
                <w:rFonts w:ascii="Calibri" w:hAnsi="Calibri"/>
                <w:b w:val="0"/>
                <w:color w:val="243746"/>
                <w:sz w:val="17"/>
              </w:rPr>
              <w:t>Collect heavy vehicle details later because applicants will not know them initially.</w:t>
            </w:r>
          </w:p>
        </w:tc>
        <w:tc>
          <w:tcPr>
            <w:tcW w:type="dxa" w:w="3900"/>
            <w:vAlign w:val="top"/>
          </w:tcPr>
          <w:p>
            <w:pPr>
              <w:spacing w:after="0" w:line="240" w:lineRule="auto"/>
            </w:pPr>
            <w:r>
              <w:rPr>
                <w:rFonts w:ascii="Calibri" w:hAnsi="Calibri"/>
                <w:b w:val="0"/>
                <w:color w:val="243746"/>
                <w:sz w:val="17"/>
              </w:rPr>
              <w:t>A separate booking-reference update form records up to three items and haulier details.</w:t>
            </w:r>
          </w:p>
        </w:tc>
        <w:tc>
          <w:tcPr>
            <w:tcW w:type="dxa" w:w="1080"/>
            <w:vAlign w:val="top"/>
          </w:tcPr>
          <w:p>
            <w:pPr>
              <w:spacing w:after="0" w:line="240" w:lineRule="auto"/>
            </w:pPr>
            <w:r>
              <w:rPr>
                <w:rFonts w:ascii="Calibri" w:hAnsi="Calibri"/>
                <w:b/>
                <w:color w:val="2F6B4F"/>
                <w:sz w:val="17"/>
              </w:rPr>
              <w:t>Aligned</w:t>
            </w:r>
          </w:p>
        </w:tc>
        <w:tc>
          <w:tcPr>
            <w:tcW w:type="dxa" w:w="1680"/>
            <w:vAlign w:val="top"/>
          </w:tcPr>
          <w:p>
            <w:pPr>
              <w:spacing w:after="0" w:line="240" w:lineRule="auto"/>
            </w:pPr>
            <w:r>
              <w:rPr>
                <w:rFonts w:ascii="Calibri" w:hAnsi="Calibri"/>
                <w:b w:val="0"/>
                <w:color w:val="243746"/>
                <w:sz w:val="17"/>
              </w:rPr>
              <w:t>E2; M3</w:t>
            </w:r>
          </w:p>
        </w:tc>
      </w:tr>
      <w:tr>
        <w:trPr>
          <w:cantSplit/>
        </w:trPr>
        <w:tc>
          <w:tcPr>
            <w:tcW w:type="dxa" w:w="2700"/>
            <w:vAlign w:val="top"/>
          </w:tcPr>
          <w:p>
            <w:pPr>
              <w:spacing w:after="0" w:line="240" w:lineRule="auto"/>
            </w:pPr>
            <w:r>
              <w:rPr>
                <w:rFonts w:ascii="Calibri" w:hAnsi="Calibri"/>
                <w:b w:val="0"/>
                <w:color w:val="243746"/>
                <w:sz w:val="17"/>
              </w:rPr>
              <w:t>Register guests and companions for check-in and accessibility planning.</w:t>
            </w:r>
          </w:p>
        </w:tc>
        <w:tc>
          <w:tcPr>
            <w:tcW w:type="dxa" w:w="3900"/>
            <w:vAlign w:val="top"/>
          </w:tcPr>
          <w:p>
            <w:pPr>
              <w:spacing w:after="0" w:line="240" w:lineRule="auto"/>
            </w:pPr>
            <w:r>
              <w:rPr>
                <w:rFonts w:ascii="Calibri" w:hAnsi="Calibri"/>
                <w:b w:val="0"/>
                <w:color w:val="243746"/>
                <w:sz w:val="17"/>
              </w:rPr>
              <w:t>A guest form stores main guest, companion and accessibility details and feeds a guest check-in report.</w:t>
            </w:r>
          </w:p>
        </w:tc>
        <w:tc>
          <w:tcPr>
            <w:tcW w:type="dxa" w:w="1080"/>
            <w:vAlign w:val="top"/>
          </w:tcPr>
          <w:p>
            <w:pPr>
              <w:spacing w:after="0" w:line="240" w:lineRule="auto"/>
            </w:pPr>
            <w:r>
              <w:rPr>
                <w:rFonts w:ascii="Calibri" w:hAnsi="Calibri"/>
                <w:b/>
                <w:color w:val="2F6B4F"/>
                <w:sz w:val="17"/>
              </w:rPr>
              <w:t>Aligned</w:t>
            </w:r>
          </w:p>
        </w:tc>
        <w:tc>
          <w:tcPr>
            <w:tcW w:type="dxa" w:w="1680"/>
            <w:vAlign w:val="top"/>
          </w:tcPr>
          <w:p>
            <w:pPr>
              <w:spacing w:after="0" w:line="240" w:lineRule="auto"/>
            </w:pPr>
            <w:r>
              <w:rPr>
                <w:rFonts w:ascii="Calibri" w:hAnsi="Calibri"/>
                <w:b w:val="0"/>
                <w:color w:val="243746"/>
                <w:sz w:val="17"/>
              </w:rPr>
              <w:t>E3; M4</w:t>
            </w:r>
          </w:p>
        </w:tc>
      </w:tr>
      <w:tr>
        <w:trPr>
          <w:cantSplit/>
        </w:trPr>
        <w:tc>
          <w:tcPr>
            <w:tcW w:type="dxa" w:w="2700"/>
            <w:vAlign w:val="top"/>
          </w:tcPr>
          <w:p>
            <w:pPr>
              <w:spacing w:after="0" w:line="240" w:lineRule="auto"/>
            </w:pPr>
            <w:r>
              <w:rPr>
                <w:rFonts w:ascii="Calibri" w:hAnsi="Calibri"/>
                <w:b w:val="0"/>
                <w:color w:val="243746"/>
                <w:sz w:val="17"/>
              </w:rPr>
              <w:t>Upload current logos to SharePoint and track receipt in Salesforce.</w:t>
            </w:r>
          </w:p>
        </w:tc>
        <w:tc>
          <w:tcPr>
            <w:tcW w:type="dxa" w:w="3900"/>
            <w:vAlign w:val="top"/>
          </w:tcPr>
          <w:p>
            <w:pPr>
              <w:spacing w:after="0" w:line="240" w:lineRule="auto"/>
            </w:pPr>
            <w:r>
              <w:rPr>
                <w:rFonts w:ascii="Calibri" w:hAnsi="Calibri"/>
                <w:b w:val="0"/>
                <w:color w:val="243746"/>
                <w:sz w:val="17"/>
              </w:rPr>
              <w:t>A separate logo step and manual receipt status exist, but the external File Request URL is blank and completion can be falsely recorded.</w:t>
            </w:r>
          </w:p>
        </w:tc>
        <w:tc>
          <w:tcPr>
            <w:tcW w:type="dxa" w:w="1080"/>
            <w:vAlign w:val="top"/>
          </w:tcPr>
          <w:p>
            <w:pPr>
              <w:spacing w:after="0" w:line="240" w:lineRule="auto"/>
            </w:pPr>
            <w:r>
              <w:rPr>
                <w:rFonts w:ascii="Calibri" w:hAnsi="Calibri"/>
                <w:b/>
                <w:color w:val="9B1C1C"/>
                <w:sz w:val="17"/>
              </w:rPr>
              <w:t>Pending</w:t>
            </w:r>
          </w:p>
        </w:tc>
        <w:tc>
          <w:tcPr>
            <w:tcW w:type="dxa" w:w="1680"/>
            <w:vAlign w:val="top"/>
          </w:tcPr>
          <w:p>
            <w:pPr>
              <w:spacing w:after="0" w:line="240" w:lineRule="auto"/>
            </w:pPr>
            <w:r>
              <w:rPr>
                <w:rFonts w:ascii="Calibri" w:hAnsi="Calibri"/>
                <w:b w:val="0"/>
                <w:color w:val="243746"/>
                <w:sz w:val="17"/>
              </w:rPr>
              <w:t>M4; E17</w:t>
            </w:r>
          </w:p>
        </w:tc>
      </w:tr>
      <w:tr>
        <w:trPr>
          <w:cantSplit/>
        </w:trPr>
        <w:tc>
          <w:tcPr>
            <w:tcW w:type="dxa" w:w="2700"/>
            <w:vAlign w:val="top"/>
          </w:tcPr>
          <w:p>
            <w:pPr>
              <w:spacing w:after="0" w:line="240" w:lineRule="auto"/>
            </w:pPr>
            <w:r>
              <w:rPr>
                <w:rFonts w:ascii="Calibri" w:hAnsi="Calibri"/>
                <w:b w:val="0"/>
                <w:color w:val="243746"/>
                <w:sz w:val="17"/>
              </w:rPr>
              <w:t>Preserve organisation/contact history while storing each event edition separately.</w:t>
            </w:r>
          </w:p>
        </w:tc>
        <w:tc>
          <w:tcPr>
            <w:tcW w:type="dxa" w:w="3900"/>
            <w:vAlign w:val="top"/>
          </w:tcPr>
          <w:p>
            <w:pPr>
              <w:spacing w:after="0" w:line="240" w:lineRule="auto"/>
            </w:pPr>
            <w:r>
              <w:rPr>
                <w:rFonts w:ascii="Calibri" w:hAnsi="Calibri"/>
                <w:b w:val="0"/>
                <w:color w:val="243746"/>
                <w:sz w:val="17"/>
              </w:rPr>
              <w:t>Account = organisation, Contact = person, annual NTE Opportunity = event participation.</w:t>
            </w:r>
          </w:p>
        </w:tc>
        <w:tc>
          <w:tcPr>
            <w:tcW w:type="dxa" w:w="1080"/>
            <w:vAlign w:val="top"/>
          </w:tcPr>
          <w:p>
            <w:pPr>
              <w:spacing w:after="0" w:line="240" w:lineRule="auto"/>
            </w:pPr>
            <w:r>
              <w:rPr>
                <w:rFonts w:ascii="Calibri" w:hAnsi="Calibri"/>
                <w:b/>
                <w:color w:val="2F6B4F"/>
                <w:sz w:val="17"/>
              </w:rPr>
              <w:t>Aligned</w:t>
            </w:r>
          </w:p>
        </w:tc>
        <w:tc>
          <w:tcPr>
            <w:tcW w:type="dxa" w:w="1680"/>
            <w:vAlign w:val="top"/>
          </w:tcPr>
          <w:p>
            <w:pPr>
              <w:spacing w:after="0" w:line="240" w:lineRule="auto"/>
            </w:pPr>
            <w:r>
              <w:rPr>
                <w:rFonts w:ascii="Calibri" w:hAnsi="Calibri"/>
                <w:b w:val="0"/>
                <w:color w:val="243746"/>
                <w:sz w:val="17"/>
              </w:rPr>
              <w:t>M4</w:t>
            </w:r>
          </w:p>
        </w:tc>
      </w:tr>
      <w:tr>
        <w:trPr>
          <w:cantSplit/>
        </w:trPr>
        <w:tc>
          <w:tcPr>
            <w:tcW w:type="dxa" w:w="2700"/>
            <w:vAlign w:val="top"/>
          </w:tcPr>
          <w:p>
            <w:pPr>
              <w:spacing w:after="0" w:line="240" w:lineRule="auto"/>
            </w:pPr>
            <w:r>
              <w:rPr>
                <w:rFonts w:ascii="Calibri" w:hAnsi="Calibri"/>
                <w:b w:val="0"/>
                <w:color w:val="243746"/>
                <w:sz w:val="17"/>
              </w:rPr>
              <w:t>Retain manual due diligence and approval, then connect approved applications to existing records where possible.</w:t>
            </w:r>
          </w:p>
        </w:tc>
        <w:tc>
          <w:tcPr>
            <w:tcW w:type="dxa" w:w="3900"/>
            <w:vAlign w:val="top"/>
          </w:tcPr>
          <w:p>
            <w:pPr>
              <w:spacing w:after="0" w:line="240" w:lineRule="auto"/>
            </w:pPr>
            <w:r>
              <w:rPr>
                <w:rFonts w:ascii="Calibri" w:hAnsi="Calibri"/>
                <w:b w:val="0"/>
                <w:color w:val="243746"/>
                <w:sz w:val="17"/>
              </w:rPr>
              <w:t>Applications arrive as Leads and staff convert them to matching Accounts/Contacts and an annual Opportunity.</w:t>
            </w:r>
          </w:p>
        </w:tc>
        <w:tc>
          <w:tcPr>
            <w:tcW w:type="dxa" w:w="1080"/>
            <w:vAlign w:val="top"/>
          </w:tcPr>
          <w:p>
            <w:pPr>
              <w:spacing w:after="0" w:line="240" w:lineRule="auto"/>
            </w:pPr>
            <w:r>
              <w:rPr>
                <w:rFonts w:ascii="Calibri" w:hAnsi="Calibri"/>
                <w:b/>
                <w:color w:val="7A5A00"/>
                <w:sz w:val="17"/>
              </w:rPr>
              <w:t>Partial</w:t>
            </w:r>
          </w:p>
        </w:tc>
        <w:tc>
          <w:tcPr>
            <w:tcW w:type="dxa" w:w="1680"/>
            <w:vAlign w:val="top"/>
          </w:tcPr>
          <w:p>
            <w:pPr>
              <w:spacing w:after="0" w:line="240" w:lineRule="auto"/>
            </w:pPr>
            <w:r>
              <w:rPr>
                <w:rFonts w:ascii="Calibri" w:hAnsi="Calibri"/>
                <w:b w:val="0"/>
                <w:color w:val="243746"/>
                <w:sz w:val="17"/>
              </w:rPr>
              <w:t>M1; M4</w:t>
            </w:r>
          </w:p>
        </w:tc>
      </w:tr>
      <w:tr>
        <w:trPr>
          <w:cantSplit/>
        </w:trPr>
        <w:tc>
          <w:tcPr>
            <w:tcW w:type="dxa" w:w="2700"/>
            <w:vAlign w:val="top"/>
          </w:tcPr>
          <w:p>
            <w:pPr>
              <w:spacing w:after="0" w:line="240" w:lineRule="auto"/>
            </w:pPr>
            <w:r>
              <w:rPr>
                <w:rFonts w:ascii="Calibri" w:hAnsi="Calibri"/>
                <w:b w:val="0"/>
                <w:color w:val="243746"/>
                <w:sz w:val="17"/>
              </w:rPr>
              <w:t>Use a unique reference for payment identification and later staff/logistics updates.</w:t>
            </w:r>
          </w:p>
        </w:tc>
        <w:tc>
          <w:tcPr>
            <w:tcW w:type="dxa" w:w="3900"/>
            <w:vAlign w:val="top"/>
          </w:tcPr>
          <w:p>
            <w:pPr>
              <w:spacing w:after="0" w:line="240" w:lineRule="auto"/>
            </w:pPr>
            <w:r>
              <w:rPr>
                <w:rFonts w:ascii="Calibri" w:hAnsi="Calibri"/>
                <w:b w:val="0"/>
                <w:color w:val="243746"/>
                <w:sz w:val="17"/>
              </w:rPr>
              <w:t>A booking reference is generated and required by supplementary forms.</w:t>
            </w:r>
          </w:p>
        </w:tc>
        <w:tc>
          <w:tcPr>
            <w:tcW w:type="dxa" w:w="1080"/>
            <w:vAlign w:val="top"/>
          </w:tcPr>
          <w:p>
            <w:pPr>
              <w:spacing w:after="0" w:line="240" w:lineRule="auto"/>
            </w:pPr>
            <w:r>
              <w:rPr>
                <w:rFonts w:ascii="Calibri" w:hAnsi="Calibri"/>
                <w:b/>
                <w:color w:val="2F6B4F"/>
                <w:sz w:val="17"/>
              </w:rPr>
              <w:t>Aligned</w:t>
            </w:r>
          </w:p>
        </w:tc>
        <w:tc>
          <w:tcPr>
            <w:tcW w:type="dxa" w:w="1680"/>
            <w:vAlign w:val="top"/>
          </w:tcPr>
          <w:p>
            <w:pPr>
              <w:spacing w:after="0" w:line="240" w:lineRule="auto"/>
            </w:pPr>
            <w:r>
              <w:rPr>
                <w:rFonts w:ascii="Calibri" w:hAnsi="Calibri"/>
                <w:b w:val="0"/>
                <w:color w:val="243746"/>
                <w:sz w:val="17"/>
              </w:rPr>
              <w:t>M4; E6</w:t>
            </w:r>
          </w:p>
        </w:tc>
      </w:tr>
      <w:tr>
        <w:trPr>
          <w:cantSplit/>
        </w:trPr>
        <w:tc>
          <w:tcPr>
            <w:tcW w:type="dxa" w:w="2700"/>
            <w:vAlign w:val="top"/>
          </w:tcPr>
          <w:p>
            <w:pPr>
              <w:spacing w:after="0" w:line="240" w:lineRule="auto"/>
            </w:pPr>
            <w:r>
              <w:rPr>
                <w:rFonts w:ascii="Calibri" w:hAnsi="Calibri"/>
                <w:b w:val="0"/>
                <w:color w:val="243746"/>
                <w:sz w:val="17"/>
              </w:rPr>
              <w:t>Migrate the consolidated historical database, clean duplicates and retain exclusions.</w:t>
            </w:r>
          </w:p>
        </w:tc>
        <w:tc>
          <w:tcPr>
            <w:tcW w:type="dxa" w:w="3900"/>
            <w:vAlign w:val="top"/>
          </w:tcPr>
          <w:p>
            <w:pPr>
              <w:spacing w:after="0" w:line="240" w:lineRule="auto"/>
            </w:pPr>
            <w:r>
              <w:rPr>
                <w:rFonts w:ascii="Calibri" w:hAnsi="Calibri"/>
                <w:b w:val="0"/>
                <w:color w:val="243746"/>
                <w:sz w:val="17"/>
              </w:rPr>
              <w:t>Migration metadata, list views and do-not-invite fields exist; production migration/list readiness is not evidenced as complete.</w:t>
            </w:r>
          </w:p>
        </w:tc>
        <w:tc>
          <w:tcPr>
            <w:tcW w:type="dxa" w:w="1080"/>
            <w:vAlign w:val="top"/>
          </w:tcPr>
          <w:p>
            <w:pPr>
              <w:spacing w:after="0" w:line="240" w:lineRule="auto"/>
            </w:pPr>
            <w:r>
              <w:rPr>
                <w:rFonts w:ascii="Calibri" w:hAnsi="Calibri"/>
                <w:b/>
                <w:color w:val="7A5A00"/>
                <w:sz w:val="17"/>
              </w:rPr>
              <w:t>Partial</w:t>
            </w:r>
          </w:p>
        </w:tc>
        <w:tc>
          <w:tcPr>
            <w:tcW w:type="dxa" w:w="1680"/>
            <w:vAlign w:val="top"/>
          </w:tcPr>
          <w:p>
            <w:pPr>
              <w:spacing w:after="0" w:line="240" w:lineRule="auto"/>
            </w:pPr>
            <w:r>
              <w:rPr>
                <w:rFonts w:ascii="Calibri" w:hAnsi="Calibri"/>
                <w:b w:val="0"/>
                <w:color w:val="243746"/>
                <w:sz w:val="17"/>
              </w:rPr>
              <w:t>E4; E14; E15; E18</w:t>
            </w:r>
          </w:p>
        </w:tc>
      </w:tr>
      <w:tr>
        <w:trPr>
          <w:cantSplit/>
        </w:trPr>
        <w:tc>
          <w:tcPr>
            <w:tcW w:type="dxa" w:w="2700"/>
            <w:vAlign w:val="top"/>
          </w:tcPr>
          <w:p>
            <w:pPr>
              <w:spacing w:after="0" w:line="240" w:lineRule="auto"/>
            </w:pPr>
            <w:r>
              <w:rPr>
                <w:rFonts w:ascii="Calibri" w:hAnsi="Calibri"/>
                <w:b w:val="0"/>
                <w:color w:val="243746"/>
                <w:sz w:val="17"/>
              </w:rPr>
              <w:t>Build invitation lists while excluding do-not-invite records and segmenting by relationship/category.</w:t>
            </w:r>
          </w:p>
        </w:tc>
        <w:tc>
          <w:tcPr>
            <w:tcW w:type="dxa" w:w="3900"/>
            <w:vAlign w:val="top"/>
          </w:tcPr>
          <w:p>
            <w:pPr>
              <w:spacing w:after="0" w:line="240" w:lineRule="auto"/>
            </w:pPr>
            <w:r>
              <w:rPr>
                <w:rFonts w:ascii="Calibri" w:hAnsi="Calibri"/>
                <w:b w:val="0"/>
                <w:color w:val="243746"/>
                <w:sz w:val="17"/>
              </w:rPr>
              <w:t>Filters and list views support this, but the 1 September single-webinar decision changes the final campaign segmentation.</w:t>
            </w:r>
          </w:p>
        </w:tc>
        <w:tc>
          <w:tcPr>
            <w:tcW w:type="dxa" w:w="1080"/>
            <w:vAlign w:val="top"/>
          </w:tcPr>
          <w:p>
            <w:pPr>
              <w:spacing w:after="0" w:line="240" w:lineRule="auto"/>
            </w:pPr>
            <w:r>
              <w:rPr>
                <w:rFonts w:ascii="Calibri" w:hAnsi="Calibri"/>
                <w:b/>
                <w:color w:val="7A5A00"/>
                <w:sz w:val="17"/>
              </w:rPr>
              <w:t>Partial</w:t>
            </w:r>
          </w:p>
        </w:tc>
        <w:tc>
          <w:tcPr>
            <w:tcW w:type="dxa" w:w="1680"/>
            <w:vAlign w:val="top"/>
          </w:tcPr>
          <w:p>
            <w:pPr>
              <w:spacing w:after="0" w:line="240" w:lineRule="auto"/>
            </w:pPr>
            <w:r>
              <w:rPr>
                <w:rFonts w:ascii="Calibri" w:hAnsi="Calibri"/>
                <w:b w:val="0"/>
                <w:color w:val="243746"/>
                <w:sz w:val="17"/>
              </w:rPr>
              <w:t>E14; E15; E18</w:t>
            </w:r>
          </w:p>
        </w:tc>
      </w:tr>
      <w:tr>
        <w:trPr>
          <w:cantSplit/>
        </w:trPr>
        <w:tc>
          <w:tcPr>
            <w:tcW w:type="dxa" w:w="2700"/>
            <w:vAlign w:val="top"/>
          </w:tcPr>
          <w:p>
            <w:pPr>
              <w:spacing w:after="0" w:line="240" w:lineRule="auto"/>
            </w:pPr>
            <w:r>
              <w:rPr>
                <w:rFonts w:ascii="Calibri" w:hAnsi="Calibri"/>
                <w:b w:val="0"/>
                <w:color w:val="243746"/>
                <w:sz w:val="17"/>
              </w:rPr>
              <w:t>Integrate finance questions into both applications and maintain a distinct finance contact.</w:t>
            </w:r>
          </w:p>
        </w:tc>
        <w:tc>
          <w:tcPr>
            <w:tcW w:type="dxa" w:w="3900"/>
            <w:vAlign w:val="top"/>
          </w:tcPr>
          <w:p>
            <w:pPr>
              <w:spacing w:after="0" w:line="240" w:lineRule="auto"/>
            </w:pPr>
            <w:r>
              <w:rPr>
                <w:rFonts w:ascii="Calibri" w:hAnsi="Calibri"/>
                <w:b w:val="0"/>
                <w:color w:val="243746"/>
                <w:sz w:val="17"/>
              </w:rPr>
              <w:t>Legal billing name, finance contact, PO/reference, supplier agreement and related fields are captured.</w:t>
            </w:r>
          </w:p>
        </w:tc>
        <w:tc>
          <w:tcPr>
            <w:tcW w:type="dxa" w:w="1080"/>
            <w:vAlign w:val="top"/>
          </w:tcPr>
          <w:p>
            <w:pPr>
              <w:spacing w:after="0" w:line="240" w:lineRule="auto"/>
            </w:pPr>
            <w:r>
              <w:rPr>
                <w:rFonts w:ascii="Calibri" w:hAnsi="Calibri"/>
                <w:b/>
                <w:color w:val="2F6B4F"/>
                <w:sz w:val="17"/>
              </w:rPr>
              <w:t>Aligned</w:t>
            </w:r>
          </w:p>
        </w:tc>
        <w:tc>
          <w:tcPr>
            <w:tcW w:type="dxa" w:w="1680"/>
            <w:vAlign w:val="top"/>
          </w:tcPr>
          <w:p>
            <w:pPr>
              <w:spacing w:after="0" w:line="240" w:lineRule="auto"/>
            </w:pPr>
            <w:r>
              <w:rPr>
                <w:rFonts w:ascii="Calibri" w:hAnsi="Calibri"/>
                <w:b w:val="0"/>
                <w:color w:val="243746"/>
                <w:sz w:val="17"/>
              </w:rPr>
              <w:t>E6; E16</w:t>
            </w:r>
          </w:p>
        </w:tc>
      </w:tr>
      <w:tr>
        <w:trPr>
          <w:cantSplit/>
        </w:trPr>
        <w:tc>
          <w:tcPr>
            <w:tcW w:type="dxa" w:w="2700"/>
            <w:vAlign w:val="top"/>
          </w:tcPr>
          <w:p>
            <w:pPr>
              <w:spacing w:after="0" w:line="240" w:lineRule="auto"/>
            </w:pPr>
            <w:r>
              <w:rPr>
                <w:rFonts w:ascii="Calibri" w:hAnsi="Calibri"/>
                <w:b w:val="0"/>
                <w:color w:val="243746"/>
                <w:sz w:val="17"/>
              </w:rPr>
              <w:t>Keep quote/invoice generation in Xero and record milestones, numbers and dates in Salesforce.</w:t>
            </w:r>
          </w:p>
        </w:tc>
        <w:tc>
          <w:tcPr>
            <w:tcW w:type="dxa" w:w="3900"/>
            <w:vAlign w:val="top"/>
          </w:tcPr>
          <w:p>
            <w:pPr>
              <w:spacing w:after="0" w:line="240" w:lineRule="auto"/>
            </w:pPr>
            <w:r>
              <w:rPr>
                <w:rFonts w:ascii="Calibri" w:hAnsi="Calibri"/>
                <w:b w:val="0"/>
                <w:color w:val="243746"/>
                <w:sz w:val="17"/>
              </w:rPr>
              <w:t>Manual quote, invoice and payment stages, reports and buttons are implemented; external numbers remain manually copied.</w:t>
            </w:r>
          </w:p>
        </w:tc>
        <w:tc>
          <w:tcPr>
            <w:tcW w:type="dxa" w:w="1080"/>
            <w:vAlign w:val="top"/>
          </w:tcPr>
          <w:p>
            <w:pPr>
              <w:spacing w:after="0" w:line="240" w:lineRule="auto"/>
            </w:pPr>
            <w:r>
              <w:rPr>
                <w:rFonts w:ascii="Calibri" w:hAnsi="Calibri"/>
                <w:b/>
                <w:color w:val="2F6B4F"/>
                <w:sz w:val="17"/>
              </w:rPr>
              <w:t>Aligned</w:t>
            </w:r>
          </w:p>
        </w:tc>
        <w:tc>
          <w:tcPr>
            <w:tcW w:type="dxa" w:w="1680"/>
            <w:vAlign w:val="top"/>
          </w:tcPr>
          <w:p>
            <w:pPr>
              <w:spacing w:after="0" w:line="240" w:lineRule="auto"/>
            </w:pPr>
            <w:r>
              <w:rPr>
                <w:rFonts w:ascii="Calibri" w:hAnsi="Calibri"/>
                <w:b w:val="0"/>
                <w:color w:val="243746"/>
                <w:sz w:val="17"/>
              </w:rPr>
              <w:t>M1; M4; E16</w:t>
            </w:r>
          </w:p>
        </w:tc>
      </w:tr>
      <w:tr>
        <w:trPr>
          <w:cantSplit/>
        </w:trPr>
        <w:tc>
          <w:tcPr>
            <w:tcW w:type="dxa" w:w="2700"/>
            <w:vAlign w:val="top"/>
          </w:tcPr>
          <w:p>
            <w:pPr>
              <w:spacing w:after="0" w:line="240" w:lineRule="auto"/>
            </w:pPr>
            <w:r>
              <w:rPr>
                <w:rFonts w:ascii="Calibri" w:hAnsi="Calibri"/>
                <w:b w:val="0"/>
                <w:color w:val="243746"/>
                <w:sz w:val="17"/>
              </w:rPr>
              <w:t>Treat quotation requirement separately from payment route; allow bank transfer or Stripe if approved.</w:t>
            </w:r>
          </w:p>
        </w:tc>
        <w:tc>
          <w:tcPr>
            <w:tcW w:type="dxa" w:w="3900"/>
            <w:vAlign w:val="top"/>
          </w:tcPr>
          <w:p>
            <w:pPr>
              <w:spacing w:after="0" w:line="240" w:lineRule="auto"/>
            </w:pPr>
            <w:r>
              <w:rPr>
                <w:rFonts w:ascii="Calibri" w:hAnsi="Calibri"/>
                <w:b w:val="0"/>
                <w:color w:val="243746"/>
                <w:sz w:val="17"/>
              </w:rPr>
              <w:t>Separate quote-required, invoice-required and payment-method fields are implemented.</w:t>
            </w:r>
          </w:p>
        </w:tc>
        <w:tc>
          <w:tcPr>
            <w:tcW w:type="dxa" w:w="1080"/>
            <w:vAlign w:val="top"/>
          </w:tcPr>
          <w:p>
            <w:pPr>
              <w:spacing w:after="0" w:line="240" w:lineRule="auto"/>
            </w:pPr>
            <w:r>
              <w:rPr>
                <w:rFonts w:ascii="Calibri" w:hAnsi="Calibri"/>
                <w:b/>
                <w:color w:val="2F6B4F"/>
                <w:sz w:val="17"/>
              </w:rPr>
              <w:t>Aligned</w:t>
            </w:r>
          </w:p>
        </w:tc>
        <w:tc>
          <w:tcPr>
            <w:tcW w:type="dxa" w:w="1680"/>
            <w:vAlign w:val="top"/>
          </w:tcPr>
          <w:p>
            <w:pPr>
              <w:spacing w:after="0" w:line="240" w:lineRule="auto"/>
            </w:pPr>
            <w:r>
              <w:rPr>
                <w:rFonts w:ascii="Calibri" w:hAnsi="Calibri"/>
                <w:b w:val="0"/>
                <w:color w:val="243746"/>
                <w:sz w:val="17"/>
              </w:rPr>
              <w:t>E16</w:t>
            </w:r>
          </w:p>
        </w:tc>
      </w:tr>
      <w:tr>
        <w:trPr>
          <w:cantSplit/>
        </w:trPr>
        <w:tc>
          <w:tcPr>
            <w:tcW w:type="dxa" w:w="2700"/>
            <w:vAlign w:val="top"/>
          </w:tcPr>
          <w:p>
            <w:pPr>
              <w:spacing w:after="0" w:line="240" w:lineRule="auto"/>
            </w:pPr>
            <w:r>
              <w:rPr>
                <w:rFonts w:ascii="Calibri" w:hAnsi="Calibri"/>
                <w:b w:val="0"/>
                <w:color w:val="243746"/>
                <w:sz w:val="17"/>
              </w:rPr>
              <w:t>Do not finally confirm a paid place until payment is received; use a provisional-space message first.</w:t>
            </w:r>
          </w:p>
        </w:tc>
        <w:tc>
          <w:tcPr>
            <w:tcW w:type="dxa" w:w="3900"/>
            <w:vAlign w:val="top"/>
          </w:tcPr>
          <w:p>
            <w:pPr>
              <w:spacing w:after="0" w:line="240" w:lineRule="auto"/>
            </w:pPr>
            <w:r>
              <w:rPr>
                <w:rFonts w:ascii="Calibri" w:hAnsi="Calibri"/>
                <w:b w:val="0"/>
                <w:color w:val="243746"/>
                <w:sz w:val="17"/>
              </w:rPr>
              <w:t>Finance stages exist, but current automated emails can say ‘confirmed’ on form submission or Lead conversion before payment.</w:t>
            </w:r>
          </w:p>
        </w:tc>
        <w:tc>
          <w:tcPr>
            <w:tcW w:type="dxa" w:w="1080"/>
            <w:vAlign w:val="top"/>
          </w:tcPr>
          <w:p>
            <w:pPr>
              <w:spacing w:after="0" w:line="240" w:lineRule="auto"/>
            </w:pPr>
            <w:r>
              <w:rPr>
                <w:rFonts w:ascii="Calibri" w:hAnsi="Calibri"/>
                <w:b/>
                <w:color w:val="9B1C1C"/>
                <w:sz w:val="17"/>
              </w:rPr>
              <w:t>Not aligned</w:t>
            </w:r>
          </w:p>
        </w:tc>
        <w:tc>
          <w:tcPr>
            <w:tcW w:type="dxa" w:w="1680"/>
            <w:vAlign w:val="top"/>
          </w:tcPr>
          <w:p>
            <w:pPr>
              <w:spacing w:after="0" w:line="240" w:lineRule="auto"/>
            </w:pPr>
            <w:r>
              <w:rPr>
                <w:rFonts w:ascii="Calibri" w:hAnsi="Calibri"/>
                <w:b w:val="0"/>
                <w:color w:val="243746"/>
                <w:sz w:val="17"/>
              </w:rPr>
              <w:t>E10; E13; E18</w:t>
            </w:r>
          </w:p>
        </w:tc>
      </w:tr>
      <w:tr>
        <w:trPr>
          <w:cantSplit/>
        </w:trPr>
        <w:tc>
          <w:tcPr>
            <w:tcW w:type="dxa" w:w="2700"/>
            <w:vAlign w:val="top"/>
          </w:tcPr>
          <w:p>
            <w:pPr>
              <w:spacing w:after="0" w:line="240" w:lineRule="auto"/>
            </w:pPr>
            <w:r>
              <w:rPr>
                <w:rFonts w:ascii="Calibri" w:hAnsi="Calibri"/>
                <w:b w:val="0"/>
                <w:color w:val="243746"/>
                <w:sz w:val="17"/>
              </w:rPr>
              <w:t>Consider Stripe, subject to trustee/finance approval and sufficient testing time.</w:t>
            </w:r>
          </w:p>
        </w:tc>
        <w:tc>
          <w:tcPr>
            <w:tcW w:type="dxa" w:w="3900"/>
            <w:vAlign w:val="top"/>
          </w:tcPr>
          <w:p>
            <w:pPr>
              <w:spacing w:after="0" w:line="240" w:lineRule="auto"/>
            </w:pPr>
            <w:r>
              <w:rPr>
                <w:rFonts w:ascii="Calibri" w:hAnsi="Calibri"/>
                <w:b w:val="0"/>
                <w:color w:val="243746"/>
                <w:sz w:val="17"/>
              </w:rPr>
              <w:t>Stripe is represented as a route in the forms and data model; the payment-link/webhook integration is not built and approval is pending.</w:t>
            </w:r>
          </w:p>
        </w:tc>
        <w:tc>
          <w:tcPr>
            <w:tcW w:type="dxa" w:w="1080"/>
            <w:vAlign w:val="top"/>
          </w:tcPr>
          <w:p>
            <w:pPr>
              <w:spacing w:after="0" w:line="240" w:lineRule="auto"/>
            </w:pPr>
            <w:r>
              <w:rPr>
                <w:rFonts w:ascii="Calibri" w:hAnsi="Calibri"/>
                <w:b/>
                <w:color w:val="9B1C1C"/>
                <w:sz w:val="17"/>
              </w:rPr>
              <w:t>Pending</w:t>
            </w:r>
          </w:p>
        </w:tc>
        <w:tc>
          <w:tcPr>
            <w:tcW w:type="dxa" w:w="1680"/>
            <w:vAlign w:val="top"/>
          </w:tcPr>
          <w:p>
            <w:pPr>
              <w:spacing w:after="0" w:line="240" w:lineRule="auto"/>
            </w:pPr>
            <w:r>
              <w:rPr>
                <w:rFonts w:ascii="Calibri" w:hAnsi="Calibri"/>
                <w:b w:val="0"/>
                <w:color w:val="243746"/>
                <w:sz w:val="17"/>
              </w:rPr>
              <w:t>E10; E16; E18</w:t>
            </w:r>
          </w:p>
        </w:tc>
      </w:tr>
      <w:tr>
        <w:trPr>
          <w:cantSplit/>
        </w:trPr>
        <w:tc>
          <w:tcPr>
            <w:tcW w:type="dxa" w:w="2700"/>
            <w:vAlign w:val="top"/>
          </w:tcPr>
          <w:p>
            <w:pPr>
              <w:spacing w:after="0" w:line="240" w:lineRule="auto"/>
            </w:pPr>
            <w:r>
              <w:rPr>
                <w:rFonts w:ascii="Calibri" w:hAnsi="Calibri"/>
                <w:b w:val="0"/>
                <w:color w:val="243746"/>
                <w:sz w:val="17"/>
              </w:rPr>
              <w:t>Use clear acknowledgements, internal notifications and personalised confirmations.</w:t>
            </w:r>
          </w:p>
        </w:tc>
        <w:tc>
          <w:tcPr>
            <w:tcW w:type="dxa" w:w="3900"/>
            <w:vAlign w:val="top"/>
          </w:tcPr>
          <w:p>
            <w:pPr>
              <w:spacing w:after="0" w:line="240" w:lineRule="auto"/>
            </w:pPr>
            <w:r>
              <w:rPr>
                <w:rFonts w:ascii="Calibri" w:hAnsi="Calibri"/>
                <w:b w:val="0"/>
                <w:color w:val="243746"/>
                <w:sz w:val="17"/>
              </w:rPr>
              <w:t>Salesforce email templates cover applications and operational updates, but the timing/copy of final confirmation needs correction.</w:t>
            </w:r>
          </w:p>
        </w:tc>
        <w:tc>
          <w:tcPr>
            <w:tcW w:type="dxa" w:w="1080"/>
            <w:vAlign w:val="top"/>
          </w:tcPr>
          <w:p>
            <w:pPr>
              <w:spacing w:after="0" w:line="240" w:lineRule="auto"/>
            </w:pPr>
            <w:r>
              <w:rPr>
                <w:rFonts w:ascii="Calibri" w:hAnsi="Calibri"/>
                <w:b/>
                <w:color w:val="7A5A00"/>
                <w:sz w:val="17"/>
              </w:rPr>
              <w:t>Partial</w:t>
            </w:r>
          </w:p>
        </w:tc>
        <w:tc>
          <w:tcPr>
            <w:tcW w:type="dxa" w:w="1680"/>
            <w:vAlign w:val="top"/>
          </w:tcPr>
          <w:p>
            <w:pPr>
              <w:spacing w:after="0" w:line="240" w:lineRule="auto"/>
            </w:pPr>
            <w:r>
              <w:rPr>
                <w:rFonts w:ascii="Calibri" w:hAnsi="Calibri"/>
                <w:b w:val="0"/>
                <w:color w:val="243746"/>
                <w:sz w:val="17"/>
              </w:rPr>
              <w:t>E3; E6; E18</w:t>
            </w:r>
          </w:p>
        </w:tc>
      </w:tr>
      <w:tr>
        <w:trPr>
          <w:cantSplit/>
        </w:trPr>
        <w:tc>
          <w:tcPr>
            <w:tcW w:type="dxa" w:w="2700"/>
            <w:vAlign w:val="top"/>
          </w:tcPr>
          <w:p>
            <w:pPr>
              <w:spacing w:after="0" w:line="240" w:lineRule="auto"/>
            </w:pPr>
            <w:r>
              <w:rPr>
                <w:rFonts w:ascii="Calibri" w:hAnsi="Calibri"/>
                <w:b w:val="0"/>
                <w:color w:val="243746"/>
                <w:sz w:val="17"/>
              </w:rPr>
              <w:t>Give non-technical users a simple, visual pipeline, reports and dashboards.</w:t>
            </w:r>
          </w:p>
        </w:tc>
        <w:tc>
          <w:tcPr>
            <w:tcW w:type="dxa" w:w="3900"/>
            <w:vAlign w:val="top"/>
          </w:tcPr>
          <w:p>
            <w:pPr>
              <w:spacing w:after="0" w:line="240" w:lineRule="auto"/>
            </w:pPr>
            <w:r>
              <w:rPr>
                <w:rFonts w:ascii="Calibri" w:hAnsi="Calibri"/>
                <w:b w:val="0"/>
                <w:color w:val="243746"/>
                <w:sz w:val="17"/>
              </w:rPr>
              <w:t>A custom Lightning management panel sits over standard Salesforce records with filters, milestone actions and reports.</w:t>
            </w:r>
          </w:p>
        </w:tc>
        <w:tc>
          <w:tcPr>
            <w:tcW w:type="dxa" w:w="1080"/>
            <w:vAlign w:val="top"/>
          </w:tcPr>
          <w:p>
            <w:pPr>
              <w:spacing w:after="0" w:line="240" w:lineRule="auto"/>
            </w:pPr>
            <w:r>
              <w:rPr>
                <w:rFonts w:ascii="Calibri" w:hAnsi="Calibri"/>
                <w:b/>
                <w:color w:val="2F6B4F"/>
                <w:sz w:val="17"/>
              </w:rPr>
              <w:t>Aligned</w:t>
            </w:r>
          </w:p>
        </w:tc>
        <w:tc>
          <w:tcPr>
            <w:tcW w:type="dxa" w:w="1680"/>
            <w:vAlign w:val="top"/>
          </w:tcPr>
          <w:p>
            <w:pPr>
              <w:spacing w:after="0" w:line="240" w:lineRule="auto"/>
            </w:pPr>
            <w:r>
              <w:rPr>
                <w:rFonts w:ascii="Calibri" w:hAnsi="Calibri"/>
                <w:b w:val="0"/>
                <w:color w:val="243746"/>
                <w:sz w:val="17"/>
              </w:rPr>
              <w:t>M4; E16</w:t>
            </w:r>
          </w:p>
        </w:tc>
      </w:tr>
      <w:tr>
        <w:trPr>
          <w:cantSplit/>
        </w:trPr>
        <w:tc>
          <w:tcPr>
            <w:tcW w:type="dxa" w:w="2700"/>
            <w:vAlign w:val="top"/>
          </w:tcPr>
          <w:p>
            <w:pPr>
              <w:spacing w:after="0" w:line="240" w:lineRule="auto"/>
            </w:pPr>
            <w:r>
              <w:rPr>
                <w:rFonts w:ascii="Calibri" w:hAnsi="Calibri"/>
                <w:b w:val="0"/>
                <w:color w:val="243746"/>
                <w:sz w:val="17"/>
              </w:rPr>
              <w:t>Develop and test without disrupting live Mission Community processes.</w:t>
            </w:r>
          </w:p>
        </w:tc>
        <w:tc>
          <w:tcPr>
            <w:tcW w:type="dxa" w:w="3900"/>
            <w:vAlign w:val="top"/>
          </w:tcPr>
          <w:p>
            <w:pPr>
              <w:spacing w:after="0" w:line="240" w:lineRule="auto"/>
            </w:pPr>
            <w:r>
              <w:rPr>
                <w:rFonts w:ascii="Calibri" w:hAnsi="Calibri"/>
                <w:b w:val="0"/>
                <w:color w:val="243746"/>
                <w:sz w:val="17"/>
              </w:rPr>
              <w:t>The package and forms use a sandbox/testing configuration and additive NTE metadata.</w:t>
            </w:r>
          </w:p>
        </w:tc>
        <w:tc>
          <w:tcPr>
            <w:tcW w:type="dxa" w:w="1080"/>
            <w:vAlign w:val="top"/>
          </w:tcPr>
          <w:p>
            <w:pPr>
              <w:spacing w:after="0" w:line="240" w:lineRule="auto"/>
            </w:pPr>
            <w:r>
              <w:rPr>
                <w:rFonts w:ascii="Calibri" w:hAnsi="Calibri"/>
                <w:b/>
                <w:color w:val="2F6B4F"/>
                <w:sz w:val="17"/>
              </w:rPr>
              <w:t>Aligned</w:t>
            </w:r>
          </w:p>
        </w:tc>
        <w:tc>
          <w:tcPr>
            <w:tcW w:type="dxa" w:w="1680"/>
            <w:vAlign w:val="top"/>
          </w:tcPr>
          <w:p>
            <w:pPr>
              <w:spacing w:after="0" w:line="240" w:lineRule="auto"/>
            </w:pPr>
            <w:r>
              <w:rPr>
                <w:rFonts w:ascii="Calibri" w:hAnsi="Calibri"/>
                <w:b w:val="0"/>
                <w:color w:val="243746"/>
                <w:sz w:val="17"/>
              </w:rPr>
              <w:t>M1</w:t>
            </w:r>
          </w:p>
        </w:tc>
      </w:tr>
      <w:tr>
        <w:trPr>
          <w:cantSplit/>
        </w:trPr>
        <w:tc>
          <w:tcPr>
            <w:tcW w:type="dxa" w:w="2700"/>
            <w:vAlign w:val="top"/>
          </w:tcPr>
          <w:p>
            <w:pPr>
              <w:spacing w:after="0" w:line="240" w:lineRule="auto"/>
            </w:pPr>
            <w:r>
              <w:rPr>
                <w:rFonts w:ascii="Calibri" w:hAnsi="Calibri"/>
                <w:b w:val="0"/>
                <w:color w:val="243746"/>
                <w:sz w:val="17"/>
              </w:rPr>
              <w:t>Manage Partner/Sponsor agreements separately from the automated form.</w:t>
            </w:r>
          </w:p>
        </w:tc>
        <w:tc>
          <w:tcPr>
            <w:tcW w:type="dxa" w:w="3900"/>
            <w:vAlign w:val="top"/>
          </w:tcPr>
          <w:p>
            <w:pPr>
              <w:spacing w:after="0" w:line="240" w:lineRule="auto"/>
            </w:pPr>
            <w:r>
              <w:rPr>
                <w:rFonts w:ascii="Calibri" w:hAnsi="Calibri"/>
                <w:b w:val="0"/>
                <w:color w:val="243746"/>
                <w:sz w:val="17"/>
              </w:rPr>
              <w:t>No automatic agreement document generation is included; Salesforce can track the operational status.</w:t>
            </w:r>
          </w:p>
        </w:tc>
        <w:tc>
          <w:tcPr>
            <w:tcW w:type="dxa" w:w="1080"/>
            <w:vAlign w:val="top"/>
          </w:tcPr>
          <w:p>
            <w:pPr>
              <w:spacing w:after="0" w:line="240" w:lineRule="auto"/>
            </w:pPr>
            <w:r>
              <w:rPr>
                <w:rFonts w:ascii="Calibri" w:hAnsi="Calibri"/>
                <w:b/>
                <w:color w:val="2F6B4F"/>
                <w:sz w:val="17"/>
              </w:rPr>
              <w:t>Aligned</w:t>
            </w:r>
          </w:p>
        </w:tc>
        <w:tc>
          <w:tcPr>
            <w:tcW w:type="dxa" w:w="1680"/>
            <w:vAlign w:val="top"/>
          </w:tcPr>
          <w:p>
            <w:pPr>
              <w:spacing w:after="0" w:line="240" w:lineRule="auto"/>
            </w:pPr>
            <w:r>
              <w:rPr>
                <w:rFonts w:ascii="Calibri" w:hAnsi="Calibri"/>
                <w:b w:val="0"/>
                <w:color w:val="243746"/>
                <w:sz w:val="17"/>
              </w:rPr>
              <w:t>M4</w:t>
            </w:r>
          </w:p>
        </w:tc>
      </w:tr>
      <w:tr>
        <w:trPr>
          <w:cantSplit/>
        </w:trPr>
        <w:tc>
          <w:tcPr>
            <w:tcW w:type="dxa" w:w="2700"/>
            <w:vAlign w:val="top"/>
          </w:tcPr>
          <w:p>
            <w:pPr>
              <w:spacing w:after="0" w:line="240" w:lineRule="auto"/>
            </w:pPr>
            <w:r>
              <w:rPr>
                <w:rFonts w:ascii="Calibri" w:hAnsi="Calibri"/>
                <w:b w:val="0"/>
                <w:color w:val="243746"/>
                <w:sz w:val="17"/>
              </w:rPr>
              <w:t>Use final, journey-specific terms; provide the brochure and privacy notice; artwork link must work externally.</w:t>
            </w:r>
          </w:p>
        </w:tc>
        <w:tc>
          <w:tcPr>
            <w:tcW w:type="dxa" w:w="3900"/>
            <w:vAlign w:val="top"/>
          </w:tcPr>
          <w:p>
            <w:pPr>
              <w:spacing w:after="0" w:line="240" w:lineRule="auto"/>
            </w:pPr>
            <w:r>
              <w:rPr>
                <w:rFonts w:ascii="Calibri" w:hAnsi="Calibri"/>
                <w:b w:val="0"/>
                <w:color w:val="243746"/>
                <w:sz w:val="17"/>
              </w:rPr>
              <w:t>Placeholders/configuration exist, but the sandbox terms, blank logo URL and missing brochure/final terms block release.</w:t>
            </w:r>
          </w:p>
        </w:tc>
        <w:tc>
          <w:tcPr>
            <w:tcW w:type="dxa" w:w="1080"/>
            <w:vAlign w:val="top"/>
          </w:tcPr>
          <w:p>
            <w:pPr>
              <w:spacing w:after="0" w:line="240" w:lineRule="auto"/>
            </w:pPr>
            <w:r>
              <w:rPr>
                <w:rFonts w:ascii="Calibri" w:hAnsi="Calibri"/>
                <w:b/>
                <w:color w:val="9B1C1C"/>
                <w:sz w:val="17"/>
              </w:rPr>
              <w:t>Pending</w:t>
            </w:r>
          </w:p>
        </w:tc>
        <w:tc>
          <w:tcPr>
            <w:tcW w:type="dxa" w:w="1680"/>
            <w:vAlign w:val="top"/>
          </w:tcPr>
          <w:p>
            <w:pPr>
              <w:spacing w:after="0" w:line="240" w:lineRule="auto"/>
            </w:pPr>
            <w:r>
              <w:rPr>
                <w:rFonts w:ascii="Calibri" w:hAnsi="Calibri"/>
                <w:b w:val="0"/>
                <w:color w:val="243746"/>
                <w:sz w:val="17"/>
              </w:rPr>
              <w:t>E6; E17</w:t>
            </w:r>
          </w:p>
        </w:tc>
      </w:tr>
      <w:tr>
        <w:trPr>
          <w:cantSplit/>
        </w:trPr>
        <w:tc>
          <w:tcPr>
            <w:tcW w:type="dxa" w:w="2700"/>
            <w:vAlign w:val="top"/>
          </w:tcPr>
          <w:p>
            <w:pPr>
              <w:spacing w:after="0" w:line="240" w:lineRule="auto"/>
            </w:pPr>
            <w:r>
              <w:rPr>
                <w:rFonts w:ascii="Calibri" w:hAnsi="Calibri"/>
                <w:b w:val="0"/>
                <w:color w:val="243746"/>
                <w:sz w:val="17"/>
              </w:rPr>
              <w:t>Launch with one joint webinar and only after database/lists, forms and provisional email are ready.</w:t>
            </w:r>
          </w:p>
        </w:tc>
        <w:tc>
          <w:tcPr>
            <w:tcW w:type="dxa" w:w="3900"/>
            <w:vAlign w:val="top"/>
          </w:tcPr>
          <w:p>
            <w:pPr>
              <w:spacing w:after="0" w:line="240" w:lineRule="auto"/>
            </w:pPr>
            <w:r>
              <w:rPr>
                <w:rFonts w:ascii="Calibri" w:hAnsi="Calibri"/>
                <w:b w:val="0"/>
                <w:color w:val="243746"/>
                <w:sz w:val="17"/>
              </w:rPr>
              <w:t>The solution components exist, but the 15 September versus 5/6 October launch date remains unresolved.</w:t>
            </w:r>
          </w:p>
        </w:tc>
        <w:tc>
          <w:tcPr>
            <w:tcW w:type="dxa" w:w="1080"/>
            <w:vAlign w:val="top"/>
          </w:tcPr>
          <w:p>
            <w:pPr>
              <w:spacing w:after="0" w:line="240" w:lineRule="auto"/>
            </w:pPr>
            <w:r>
              <w:rPr>
                <w:rFonts w:ascii="Calibri" w:hAnsi="Calibri"/>
                <w:b/>
                <w:color w:val="9B1C1C"/>
                <w:sz w:val="17"/>
              </w:rPr>
              <w:t>Pending</w:t>
            </w:r>
          </w:p>
        </w:tc>
        <w:tc>
          <w:tcPr>
            <w:tcW w:type="dxa" w:w="1680"/>
            <w:vAlign w:val="top"/>
          </w:tcPr>
          <w:p>
            <w:pPr>
              <w:spacing w:after="0" w:line="240" w:lineRule="auto"/>
            </w:pPr>
            <w:r>
              <w:rPr>
                <w:rFonts w:ascii="Calibri" w:hAnsi="Calibri"/>
                <w:b w:val="0"/>
                <w:color w:val="243746"/>
                <w:sz w:val="17"/>
              </w:rPr>
              <w:t>E18</w:t>
            </w:r>
          </w:p>
        </w:tc>
      </w:tr>
      <w:tr>
        <w:trPr>
          <w:cantSplit/>
        </w:trPr>
        <w:tc>
          <w:tcPr>
            <w:tcW w:type="dxa" w:w="2700"/>
            <w:vAlign w:val="top"/>
          </w:tcPr>
          <w:p>
            <w:pPr>
              <w:spacing w:after="0" w:line="240" w:lineRule="auto"/>
            </w:pPr>
            <w:r>
              <w:rPr>
                <w:rFonts w:ascii="Calibri" w:hAnsi="Calibri"/>
                <w:b w:val="0"/>
                <w:color w:val="243746"/>
                <w:sz w:val="17"/>
              </w:rPr>
              <w:t>Release only after production configuration, migration, testing and client dependencies are complete.</w:t>
            </w:r>
          </w:p>
        </w:tc>
        <w:tc>
          <w:tcPr>
            <w:tcW w:type="dxa" w:w="3900"/>
            <w:vAlign w:val="top"/>
          </w:tcPr>
          <w:p>
            <w:pPr>
              <w:spacing w:after="0" w:line="240" w:lineRule="auto"/>
            </w:pPr>
            <w:r>
              <w:rPr>
                <w:rFonts w:ascii="Calibri" w:hAnsi="Calibri"/>
                <w:b w:val="0"/>
                <w:color w:val="243746"/>
                <w:sz w:val="17"/>
              </w:rPr>
              <w:t>Repository form tests pass; production field mapping, deployment and full Salesforce/UAT evidence remain outstanding.</w:t>
            </w:r>
          </w:p>
        </w:tc>
        <w:tc>
          <w:tcPr>
            <w:tcW w:type="dxa" w:w="1080"/>
            <w:vAlign w:val="top"/>
          </w:tcPr>
          <w:p>
            <w:pPr>
              <w:spacing w:after="0" w:line="240" w:lineRule="auto"/>
            </w:pPr>
            <w:r>
              <w:rPr>
                <w:rFonts w:ascii="Calibri" w:hAnsi="Calibri"/>
                <w:b/>
                <w:color w:val="9B1C1C"/>
                <w:sz w:val="17"/>
              </w:rPr>
              <w:t>Pending</w:t>
            </w:r>
          </w:p>
        </w:tc>
        <w:tc>
          <w:tcPr>
            <w:tcW w:type="dxa" w:w="1680"/>
            <w:vAlign w:val="top"/>
          </w:tcPr>
          <w:p>
            <w:pPr>
              <w:spacing w:after="0" w:line="240" w:lineRule="auto"/>
            </w:pPr>
            <w:r>
              <w:rPr>
                <w:rFonts w:ascii="Calibri" w:hAnsi="Calibri"/>
                <w:b w:val="0"/>
                <w:color w:val="243746"/>
                <w:sz w:val="17"/>
              </w:rPr>
              <w:t>R1</w:t>
            </w:r>
          </w:p>
        </w:tc>
      </w:tr>
    </w:tbl>
    <w:p/>
    <w:p>
      <w:r>
        <w:br w:type="page"/>
      </w:r>
    </w:p>
    <w:p>
      <w:pPr>
        <w:pStyle w:val="Heading1"/>
        <w:keepNext/>
      </w:pPr>
      <w:r>
        <w:t>4. Decision-by-decision rationale</w:t>
      </w:r>
    </w:p>
    <w:p>
      <w:pPr>
        <w:spacing w:after="100"/>
      </w:pPr>
      <w:r>
        <w:rPr>
          <w:rFonts w:ascii="Calibri" w:hAnsi="Calibri"/>
          <w:b/>
          <w:color w:val="1F4D78"/>
          <w:sz w:val="21"/>
        </w:rPr>
        <w:t xml:space="preserve">Purpose. </w:t>
      </w:r>
      <w:r>
        <w:rPr>
          <w:rFonts w:ascii="Calibri" w:hAnsi="Calibri"/>
          <w:color w:val="243746"/>
          <w:sz w:val="21"/>
        </w:rPr>
        <w:t>This section explains why each material product, data, workflow and release decision exists. Where Kate or another client stakeholder did not explicitly ask for the technical mechanism, the explanation identifies the downstream client need that makes it necessary.</w:t>
      </w:r>
    </w:p>
    <w:p>
      <w:pPr>
        <w:pStyle w:val="Heading2"/>
        <w:keepNext/>
      </w:pPr>
      <w:r>
        <w:t>4.1 Participant journeys and form design</w:t>
      </w:r>
    </w:p>
    <w:p>
      <w:pPr>
        <w:pStyle w:val="Heading3"/>
        <w:spacing w:before="200" w:after="60"/>
      </w:pPr>
      <w:r>
        <w:rPr>
          <w:rFonts w:ascii="Calibri" w:hAnsi="Calibri"/>
          <w:b/>
          <w:color w:val="1F4D78"/>
          <w:sz w:val="24"/>
        </w:rPr>
        <w:t>D01 — Salesforce is the central NTE operating record</w:t>
      </w:r>
    </w:p>
    <w:p>
      <w:pPr>
        <w:spacing w:after="80"/>
      </w:pPr>
      <w:r>
        <w:rPr>
          <w:rFonts w:ascii="Calibri" w:hAnsi="Calibri"/>
          <w:b/>
          <w:color w:val="2F6B4F"/>
          <w:sz w:val="19"/>
        </w:rPr>
        <w:t>Aligned</w:t>
      </w:r>
      <w:r>
        <w:rPr>
          <w:rFonts w:ascii="Calibri" w:hAnsi="Calibri"/>
          <w:color w:val="667580"/>
          <w:sz w:val="18"/>
        </w:rPr>
        <w:t xml:space="preserve">  |  M1 00:01:58–00:18:14; M4 00:00:00–00:10:29</w:t>
      </w:r>
    </w:p>
    <w:p>
      <w:pPr>
        <w:spacing w:before="40" w:after="60" w:line="259" w:lineRule="auto"/>
        <w:ind w:left="317" w:right="173"/>
        <w:shd w:fill="E8EEF5"/>
      </w:pPr>
      <w:r>
        <w:rPr>
          <w:rFonts w:ascii="Calibri" w:hAnsi="Calibri"/>
          <w:i/>
          <w:color w:val="1F4D78"/>
          <w:sz w:val="21"/>
        </w:rPr>
        <w:t>“currently we are running it … just on spreadsheets … it’s not really fit for purpose”</w:t>
      </w:r>
      <w:r>
        <w:rPr>
          <w:rFonts w:ascii="Calibri" w:hAnsi="Calibri"/>
          <w:color w:val="667580"/>
          <w:sz w:val="18"/>
        </w:rPr>
        <w:t xml:space="preserve">  — Kate, M1 transcript, 29 July 2026, 00:01:58</w:t>
      </w:r>
    </w:p>
    <w:p>
      <w:pPr>
        <w:spacing w:after="100"/>
      </w:pPr>
      <w:r>
        <w:rPr>
          <w:rFonts w:ascii="Calibri" w:hAnsi="Calibri"/>
          <w:b/>
          <w:color w:val="1F4D78"/>
          <w:sz w:val="21"/>
        </w:rPr>
        <w:t xml:space="preserve">Current solution. </w:t>
      </w:r>
      <w:r>
        <w:rPr>
          <w:rFonts w:ascii="Calibri" w:hAnsi="Calibri"/>
          <w:color w:val="243746"/>
          <w:sz w:val="21"/>
        </w:rPr>
        <w:t>The solution brings commercial applications, guests, EOIs, operational updates, finance milestones and reporting into Salesforce rather than maintaining a separate spreadsheet as the authoritative record.</w:t>
      </w:r>
    </w:p>
    <w:p>
      <w:pPr>
        <w:spacing w:after="100"/>
      </w:pPr>
      <w:r>
        <w:rPr>
          <w:rFonts w:ascii="Calibri" w:hAnsi="Calibri"/>
          <w:b/>
          <w:color w:val="1F4D78"/>
          <w:sz w:val="21"/>
        </w:rPr>
        <w:t xml:space="preserve">Client need. </w:t>
      </w:r>
      <w:r>
        <w:rPr>
          <w:rFonts w:ascii="Calibri" w:hAnsi="Calibri"/>
          <w:color w:val="243746"/>
          <w:sz w:val="21"/>
        </w:rPr>
        <w:t>Kate described more than 200 exhibitors, over 700 stand staff and roughly 2,000 people on site, with Outlook and spreadsheets unable to show a coherent event lifecycle.</w:t>
      </w:r>
    </w:p>
    <w:p>
      <w:pPr>
        <w:spacing w:after="100"/>
      </w:pPr>
      <w:r>
        <w:rPr>
          <w:rFonts w:ascii="Calibri" w:hAnsi="Calibri"/>
          <w:b/>
          <w:color w:val="1F4D78"/>
          <w:sz w:val="21"/>
        </w:rPr>
        <w:t xml:space="preserve">Why this was necessary. </w:t>
      </w:r>
      <w:r>
        <w:rPr>
          <w:rFonts w:ascii="Calibri" w:hAnsi="Calibri"/>
          <w:color w:val="243746"/>
          <w:sz w:val="21"/>
        </w:rPr>
        <w:t>Every later feature depends on a common record: approvals, payment status, staff lists, logistics, invitation filtering and year-on-year relationship history cannot remain consistent if each is maintained independently.</w:t>
      </w:r>
    </w:p>
    <w:p>
      <w:pPr>
        <w:spacing w:after="140"/>
      </w:pPr>
      <w:r>
        <w:rPr>
          <w:rFonts w:ascii="Calibri" w:hAnsi="Calibri"/>
          <w:b/>
          <w:color w:val="1F4D78"/>
          <w:sz w:val="21"/>
        </w:rPr>
        <w:t xml:space="preserve">Assessment. </w:t>
      </w:r>
      <w:r>
        <w:rPr>
          <w:rFonts w:ascii="Calibri" w:hAnsi="Calibri"/>
          <w:color w:val="243746"/>
          <w:sz w:val="21"/>
        </w:rPr>
        <w:t>The data model and dedicated app directly serve the client outcome. Eventbrite remains separate for general attendee ticketing, which is the client’s stated boundary rather than a gap.</w:t>
      </w:r>
    </w:p>
    <w:p>
      <w:pPr>
        <w:pStyle w:val="Heading3"/>
        <w:spacing w:before="200" w:after="60"/>
      </w:pPr>
      <w:r>
        <w:rPr>
          <w:rFonts w:ascii="Calibri" w:hAnsi="Calibri"/>
          <w:b/>
          <w:color w:val="1F4D78"/>
          <w:sz w:val="24"/>
        </w:rPr>
        <w:t>D02 — General attendee ticketing remains in Eventbrite</w:t>
      </w:r>
    </w:p>
    <w:p>
      <w:pPr>
        <w:spacing w:after="80"/>
      </w:pPr>
      <w:r>
        <w:rPr>
          <w:rFonts w:ascii="Calibri" w:hAnsi="Calibri"/>
          <w:b/>
          <w:color w:val="2F6B4F"/>
          <w:sz w:val="19"/>
        </w:rPr>
        <w:t>Aligned</w:t>
      </w:r>
      <w:r>
        <w:rPr>
          <w:rFonts w:ascii="Calibri" w:hAnsi="Calibri"/>
          <w:color w:val="667580"/>
          <w:sz w:val="18"/>
        </w:rPr>
        <w:t xml:space="preserve">  |  M1 00:09:18–00:10:21</w:t>
      </w:r>
    </w:p>
    <w:p>
      <w:pPr>
        <w:spacing w:before="40" w:after="60" w:line="259" w:lineRule="auto"/>
        <w:ind w:left="317" w:right="173"/>
        <w:shd w:fill="E8EEF5"/>
      </w:pPr>
      <w:r>
        <w:rPr>
          <w:rFonts w:ascii="Calibri" w:hAnsi="Calibri"/>
          <w:i/>
          <w:color w:val="1F4D78"/>
          <w:sz w:val="21"/>
        </w:rPr>
        <w:t>“The attendees currently we do totally separately … I’m quite happy to leave that separate.”</w:t>
      </w:r>
      <w:r>
        <w:rPr>
          <w:rFonts w:ascii="Calibri" w:hAnsi="Calibri"/>
          <w:color w:val="667580"/>
          <w:sz w:val="18"/>
        </w:rPr>
        <w:t xml:space="preserve">  — Kate, M1 transcript, 29 July 2026, 00:09:18</w:t>
      </w:r>
    </w:p>
    <w:p>
      <w:pPr>
        <w:spacing w:after="100"/>
      </w:pPr>
      <w:r>
        <w:rPr>
          <w:rFonts w:ascii="Calibri" w:hAnsi="Calibri"/>
          <w:b/>
          <w:color w:val="1F4D78"/>
          <w:sz w:val="21"/>
        </w:rPr>
        <w:t xml:space="preserve">Current solution. </w:t>
      </w:r>
      <w:r>
        <w:rPr>
          <w:rFonts w:ascii="Calibri" w:hAnsi="Calibri"/>
          <w:color w:val="243746"/>
          <w:sz w:val="21"/>
        </w:rPr>
        <w:t>The build does not replace the general attendee/beneficiary Eventbrite journey. Salesforce concentrates on partners, sponsors, exhibitors, invited guests, EOIs and the later volunteer request.</w:t>
      </w:r>
    </w:p>
    <w:p>
      <w:pPr>
        <w:spacing w:after="100"/>
      </w:pPr>
      <w:r>
        <w:rPr>
          <w:rFonts w:ascii="Calibri" w:hAnsi="Calibri"/>
          <w:b/>
          <w:color w:val="1F4D78"/>
          <w:sz w:val="21"/>
        </w:rPr>
        <w:t xml:space="preserve">Client need. </w:t>
      </w:r>
      <w:r>
        <w:rPr>
          <w:rFonts w:ascii="Calibri" w:hAnsi="Calibri"/>
          <w:color w:val="243746"/>
          <w:sz w:val="21"/>
        </w:rPr>
        <w:t>Kate explicitly removed general attendee ticketing from the Salesforce scope while still wanting sponsor, exhibitor and guest operational information in one place.</w:t>
      </w:r>
    </w:p>
    <w:p>
      <w:pPr>
        <w:spacing w:after="100"/>
      </w:pPr>
      <w:r>
        <w:rPr>
          <w:rFonts w:ascii="Calibri" w:hAnsi="Calibri"/>
          <w:b/>
          <w:color w:val="1F4D78"/>
          <w:sz w:val="21"/>
        </w:rPr>
        <w:t xml:space="preserve">Why this was necessary. </w:t>
      </w:r>
      <w:r>
        <w:rPr>
          <w:rFonts w:ascii="Calibri" w:hAnsi="Calibri"/>
          <w:color w:val="243746"/>
          <w:sz w:val="21"/>
        </w:rPr>
        <w:t>Rebuilding a working ticketing process would add risk and delay without solving the administrative pain the client prioritised. Keeping the boundary also avoids two systems issuing tickets for the same audience.</w:t>
      </w:r>
    </w:p>
    <w:p>
      <w:pPr>
        <w:spacing w:after="140"/>
      </w:pPr>
      <w:r>
        <w:rPr>
          <w:rFonts w:ascii="Calibri" w:hAnsi="Calibri"/>
          <w:b/>
          <w:color w:val="1F4D78"/>
          <w:sz w:val="21"/>
        </w:rPr>
        <w:t xml:space="preserve">Assessment. </w:t>
      </w:r>
      <w:r>
        <w:rPr>
          <w:rFonts w:ascii="Calibri" w:hAnsi="Calibri"/>
          <w:color w:val="243746"/>
          <w:sz w:val="21"/>
        </w:rPr>
        <w:t>This is a deliberate scope decision supported by the first client meeting. Escapade/party ticketing should likewise remain external unless the client later changes scope.</w:t>
      </w:r>
    </w:p>
    <w:p>
      <w:pPr>
        <w:pStyle w:val="Heading3"/>
        <w:spacing w:before="200" w:after="60"/>
      </w:pPr>
      <w:r>
        <w:rPr>
          <w:rFonts w:ascii="Calibri" w:hAnsi="Calibri"/>
          <w:b/>
          <w:color w:val="1F4D78"/>
          <w:sz w:val="24"/>
        </w:rPr>
        <w:t>D03 — Expression of Interest is separate from an application</w:t>
      </w:r>
    </w:p>
    <w:p>
      <w:pPr>
        <w:spacing w:after="80"/>
      </w:pPr>
      <w:r>
        <w:rPr>
          <w:rFonts w:ascii="Calibri" w:hAnsi="Calibri"/>
          <w:b/>
          <w:color w:val="2F6B4F"/>
          <w:sz w:val="19"/>
        </w:rPr>
        <w:t>Aligned</w:t>
      </w:r>
      <w:r>
        <w:rPr>
          <w:rFonts w:ascii="Calibri" w:hAnsi="Calibri"/>
          <w:color w:val="667580"/>
          <w:sz w:val="18"/>
        </w:rPr>
        <w:t xml:space="preserve">  |  M4 00:27:16; E11</w:t>
      </w:r>
    </w:p>
    <w:p>
      <w:pPr>
        <w:spacing w:before="40" w:after="60" w:line="259" w:lineRule="auto"/>
        <w:ind w:left="317" w:right="173"/>
        <w:shd w:fill="E8EEF5"/>
      </w:pPr>
      <w:r>
        <w:rPr>
          <w:rFonts w:ascii="Calibri" w:hAnsi="Calibri"/>
          <w:i/>
          <w:color w:val="1F4D78"/>
          <w:sz w:val="21"/>
        </w:rPr>
        <w:t>“We would like to have a new Salesforce form linked to NTE.”</w:t>
      </w:r>
      <w:r>
        <w:rPr>
          <w:rFonts w:ascii="Calibri" w:hAnsi="Calibri"/>
          <w:color w:val="667580"/>
          <w:sz w:val="18"/>
        </w:rPr>
        <w:t xml:space="preserve">  — Kate, email ‘EOI form’, 21 August 2026</w:t>
      </w:r>
    </w:p>
    <w:p>
      <w:pPr>
        <w:spacing w:after="100"/>
      </w:pPr>
      <w:r>
        <w:rPr>
          <w:rFonts w:ascii="Calibri" w:hAnsi="Calibri"/>
          <w:b/>
          <w:color w:val="1F4D78"/>
          <w:sz w:val="21"/>
        </w:rPr>
        <w:t xml:space="preserve">Current solution. </w:t>
      </w:r>
      <w:r>
        <w:rPr>
          <w:rFonts w:ascii="Calibri" w:hAnsi="Calibri"/>
          <w:color w:val="243746"/>
          <w:sz w:val="21"/>
        </w:rPr>
        <w:t>An EOI form creates a Lead that can be reviewed, filtered and later invited to the appropriate application without creating an approved booking or annual Opportunity prematurely.</w:t>
      </w:r>
    </w:p>
    <w:p>
      <w:pPr>
        <w:spacing w:after="100"/>
      </w:pPr>
      <w:r>
        <w:rPr>
          <w:rFonts w:ascii="Calibri" w:hAnsi="Calibri"/>
          <w:b/>
          <w:color w:val="1F4D78"/>
          <w:sz w:val="21"/>
        </w:rPr>
        <w:t xml:space="preserve">Client need. </w:t>
      </w:r>
      <w:r>
        <w:rPr>
          <w:rFonts w:ascii="Calibri" w:hAnsi="Calibri"/>
          <w:color w:val="243746"/>
          <w:sz w:val="21"/>
        </w:rPr>
        <w:t>The client already used an EOI to capture prospective attendees and possible partners/sponsors, and asked for its Salesforce-linked replacement.</w:t>
      </w:r>
    </w:p>
    <w:p>
      <w:pPr>
        <w:spacing w:after="100"/>
      </w:pPr>
      <w:r>
        <w:rPr>
          <w:rFonts w:ascii="Calibri" w:hAnsi="Calibri"/>
          <w:b/>
          <w:color w:val="1F4D78"/>
          <w:sz w:val="21"/>
        </w:rPr>
        <w:t xml:space="preserve">Why this was necessary. </w:t>
      </w:r>
      <w:r>
        <w:rPr>
          <w:rFonts w:ascii="Calibri" w:hAnsi="Calibri"/>
          <w:color w:val="243746"/>
          <w:sz w:val="21"/>
        </w:rPr>
        <w:t>Interest and a permitted booking are different commitments. Separating them preserves the invite-only due-diligence step and prevents an expression of interest from entering finance or logistics queues as if it were an approved booking.</w:t>
      </w:r>
    </w:p>
    <w:p>
      <w:pPr>
        <w:spacing w:after="140"/>
      </w:pPr>
      <w:r>
        <w:rPr>
          <w:rFonts w:ascii="Calibri" w:hAnsi="Calibri"/>
          <w:b/>
          <w:color w:val="1F4D78"/>
          <w:sz w:val="21"/>
        </w:rPr>
        <w:t xml:space="preserve">Assessment. </w:t>
      </w:r>
      <w:r>
        <w:rPr>
          <w:rFonts w:ascii="Calibri" w:hAnsi="Calibri"/>
          <w:color w:val="243746"/>
          <w:sz w:val="21"/>
        </w:rPr>
        <w:t>The route is implemented. A persistent link from the original EOI to the later application is not clearly evidenced and appears in the review section at the end.</w:t>
      </w:r>
    </w:p>
    <w:p>
      <w:pPr>
        <w:pStyle w:val="Heading3"/>
        <w:spacing w:before="200" w:after="60"/>
      </w:pPr>
      <w:r>
        <w:rPr>
          <w:rFonts w:ascii="Calibri" w:hAnsi="Calibri"/>
          <w:b/>
          <w:color w:val="1F4D78"/>
          <w:sz w:val="24"/>
        </w:rPr>
        <w:t>D04 — Partner/Sponsor and Exhibitor applications are separate</w:t>
      </w:r>
    </w:p>
    <w:p>
      <w:pPr>
        <w:spacing w:after="80"/>
      </w:pPr>
      <w:r>
        <w:rPr>
          <w:rFonts w:ascii="Calibri" w:hAnsi="Calibri"/>
          <w:b/>
          <w:color w:val="2F6B4F"/>
          <w:sz w:val="19"/>
        </w:rPr>
        <w:t>Aligned</w:t>
      </w:r>
      <w:r>
        <w:rPr>
          <w:rFonts w:ascii="Calibri" w:hAnsi="Calibri"/>
          <w:color w:val="667580"/>
          <w:sz w:val="18"/>
        </w:rPr>
        <w:t xml:space="preserve">  |  E2; E6</w:t>
      </w:r>
    </w:p>
    <w:p>
      <w:pPr>
        <w:spacing w:before="40" w:after="60" w:line="259" w:lineRule="auto"/>
        <w:ind w:left="317" w:right="173"/>
        <w:shd w:fill="E8EEF5"/>
      </w:pPr>
      <w:r>
        <w:rPr>
          <w:rFonts w:ascii="Calibri" w:hAnsi="Calibri"/>
          <w:i/>
          <w:color w:val="1F4D78"/>
          <w:sz w:val="21"/>
        </w:rPr>
        <w:t>“Firstly, I think we need to have a separate form for Partners/Sponsors from Exhibitors.”</w:t>
      </w:r>
      <w:r>
        <w:rPr>
          <w:rFonts w:ascii="Calibri" w:hAnsi="Calibri"/>
          <w:color w:val="667580"/>
          <w:sz w:val="18"/>
        </w:rPr>
        <w:t xml:space="preserve">  — Kate, email ‘Web to lead forms’, 7 August 2026</w:t>
      </w:r>
    </w:p>
    <w:p>
      <w:pPr>
        <w:spacing w:after="100"/>
      </w:pPr>
      <w:r>
        <w:rPr>
          <w:rFonts w:ascii="Calibri" w:hAnsi="Calibri"/>
          <w:b/>
          <w:color w:val="1F4D78"/>
          <w:sz w:val="21"/>
        </w:rPr>
        <w:t xml:space="preserve">Current solution. </w:t>
      </w:r>
      <w:r>
        <w:rPr>
          <w:rFonts w:ascii="Calibri" w:hAnsi="Calibri"/>
          <w:color w:val="243746"/>
          <w:sz w:val="21"/>
        </w:rPr>
        <w:t>The current solution has one combined Partner/Sponsor application and a distinct Exhibitor application, with shared finance patterns but audience-specific packages, space, staffing and confirmation copy.</w:t>
      </w:r>
    </w:p>
    <w:p>
      <w:pPr>
        <w:spacing w:after="100"/>
      </w:pPr>
      <w:r>
        <w:rPr>
          <w:rFonts w:ascii="Calibri" w:hAnsi="Calibri"/>
          <w:b/>
          <w:color w:val="1F4D78"/>
          <w:sz w:val="21"/>
        </w:rPr>
        <w:t xml:space="preserve">Client need. </w:t>
      </w:r>
      <w:r>
        <w:rPr>
          <w:rFonts w:ascii="Calibri" w:hAnsi="Calibri"/>
          <w:color w:val="243746"/>
          <w:sz w:val="21"/>
        </w:rPr>
        <w:t>Kate replaced the 29 July single-dynamic-form idea after reviewing the demo. She also asked to amalgamate the two older Partner/Sponsor forms.</w:t>
      </w:r>
    </w:p>
    <w:p>
      <w:pPr>
        <w:spacing w:after="100"/>
      </w:pPr>
      <w:r>
        <w:rPr>
          <w:rFonts w:ascii="Calibri" w:hAnsi="Calibri"/>
          <w:b/>
          <w:color w:val="1F4D78"/>
          <w:sz w:val="21"/>
        </w:rPr>
        <w:t xml:space="preserve">Why this was necessary. </w:t>
      </w:r>
      <w:r>
        <w:rPr>
          <w:rFonts w:ascii="Calibri" w:hAnsi="Calibri"/>
          <w:color w:val="243746"/>
          <w:sz w:val="21"/>
        </w:rPr>
        <w:t>The audiences buy different things and need different language. One highly conditional form would be harder for applicants to understand and easier for administrators to misread, while duplicating the two Partner/Sponsor forms would create inconsistent finance records.</w:t>
      </w:r>
    </w:p>
    <w:p>
      <w:pPr>
        <w:spacing w:after="140"/>
      </w:pPr>
      <w:r>
        <w:rPr>
          <w:rFonts w:ascii="Calibri" w:hAnsi="Calibri"/>
          <w:b/>
          <w:color w:val="1F4D78"/>
          <w:sz w:val="21"/>
        </w:rPr>
        <w:t xml:space="preserve">Assessment. </w:t>
      </w:r>
      <w:r>
        <w:rPr>
          <w:rFonts w:ascii="Calibri" w:hAnsi="Calibri"/>
          <w:color w:val="243746"/>
          <w:sz w:val="21"/>
        </w:rPr>
        <w:t>The later 7 August decision supersedes the initial meeting. The build correctly follows the revised brief.</w:t>
      </w:r>
    </w:p>
    <w:p>
      <w:pPr>
        <w:pStyle w:val="Heading3"/>
        <w:spacing w:before="200" w:after="60"/>
      </w:pPr>
      <w:r>
        <w:rPr>
          <w:rFonts w:ascii="Calibri" w:hAnsi="Calibri"/>
          <w:b/>
          <w:color w:val="1F4D78"/>
          <w:sz w:val="24"/>
        </w:rPr>
        <w:t>D05 — Commercial applications are intended to be invite-only</w:t>
      </w:r>
    </w:p>
    <w:p>
      <w:pPr>
        <w:spacing w:after="80"/>
      </w:pPr>
      <w:r>
        <w:rPr>
          <w:rFonts w:ascii="Calibri" w:hAnsi="Calibri"/>
          <w:b/>
          <w:color w:val="7A5A00"/>
          <w:sz w:val="19"/>
        </w:rPr>
        <w:t>Partial</w:t>
      </w:r>
      <w:r>
        <w:rPr>
          <w:rFonts w:ascii="Calibri" w:hAnsi="Calibri"/>
          <w:color w:val="667580"/>
          <w:sz w:val="18"/>
        </w:rPr>
        <w:t xml:space="preserve">  |  M1 00:16:21; E2; E6</w:t>
      </w:r>
    </w:p>
    <w:p>
      <w:pPr>
        <w:spacing w:before="40" w:after="60" w:line="259" w:lineRule="auto"/>
        <w:ind w:left="317" w:right="173"/>
        <w:shd w:fill="E8EEF5"/>
      </w:pPr>
      <w:r>
        <w:rPr>
          <w:rFonts w:ascii="Calibri" w:hAnsi="Calibri"/>
          <w:i/>
          <w:color w:val="1F4D78"/>
          <w:sz w:val="21"/>
        </w:rPr>
        <w:t>“this is a form for onboarding a partner/sponsor — not to express interest, so this shouldn’t be on the website”</w:t>
      </w:r>
      <w:r>
        <w:rPr>
          <w:rFonts w:ascii="Calibri" w:hAnsi="Calibri"/>
          <w:color w:val="667580"/>
          <w:sz w:val="18"/>
        </w:rPr>
        <w:t xml:space="preserve">  — Kate, email ‘Web to lead forms’, 7 August 2026</w:t>
      </w:r>
    </w:p>
    <w:p>
      <w:pPr>
        <w:spacing w:after="100"/>
      </w:pPr>
      <w:r>
        <w:rPr>
          <w:rFonts w:ascii="Calibri" w:hAnsi="Calibri"/>
          <w:b/>
          <w:color w:val="1F4D78"/>
          <w:sz w:val="21"/>
        </w:rPr>
        <w:t xml:space="preserve">Current solution. </w:t>
      </w:r>
      <w:r>
        <w:rPr>
          <w:rFonts w:ascii="Calibri" w:hAnsi="Calibri"/>
          <w:color w:val="243746"/>
          <w:sz w:val="21"/>
        </w:rPr>
        <w:t>The commercial journeys use separate URLs that can be sent directly, and the project documentation labels them hidden. However, the current sandbox index links to them and the URLs are not protected by an expiring or signed invitation token.</w:t>
      </w:r>
    </w:p>
    <w:p>
      <w:pPr>
        <w:spacing w:after="100"/>
      </w:pPr>
      <w:r>
        <w:rPr>
          <w:rFonts w:ascii="Calibri" w:hAnsi="Calibri"/>
          <w:b/>
          <w:color w:val="1F4D78"/>
          <w:sz w:val="21"/>
        </w:rPr>
        <w:t xml:space="preserve">Client need. </w:t>
      </w:r>
      <w:r>
        <w:rPr>
          <w:rFonts w:ascii="Calibri" w:hAnsi="Calibri"/>
          <w:color w:val="243746"/>
          <w:sz w:val="21"/>
        </w:rPr>
        <w:t>Mission Community carries out due diligence before allowing commercial participants to book. Kate said the Partner/Sponsor link is sent only after acceptance and that the event is invite-only.</w:t>
      </w:r>
    </w:p>
    <w:p>
      <w:pPr>
        <w:spacing w:after="100"/>
      </w:pPr>
      <w:r>
        <w:rPr>
          <w:rFonts w:ascii="Calibri" w:hAnsi="Calibri"/>
          <w:b/>
          <w:color w:val="1F4D78"/>
          <w:sz w:val="21"/>
        </w:rPr>
        <w:t xml:space="preserve">Why this was necessary. </w:t>
      </w:r>
      <w:r>
        <w:rPr>
          <w:rFonts w:ascii="Calibri" w:hAnsi="Calibri"/>
          <w:color w:val="243746"/>
          <w:sz w:val="21"/>
        </w:rPr>
        <w:t>Public discoverability would let an unapproved organisation bypass the intended entry gate. A controlled link also makes the “already accepted” wording in the Partner/Sponsor journey intelligible.</w:t>
      </w:r>
    </w:p>
    <w:p>
      <w:pPr>
        <w:spacing w:after="140"/>
      </w:pPr>
      <w:r>
        <w:rPr>
          <w:rFonts w:ascii="Calibri" w:hAnsi="Calibri"/>
          <w:b/>
          <w:color w:val="1F4D78"/>
          <w:sz w:val="21"/>
        </w:rPr>
        <w:t xml:space="preserve">Assessment. </w:t>
      </w:r>
      <w:r>
        <w:rPr>
          <w:rFonts w:ascii="Calibri" w:hAnsi="Calibri"/>
          <w:color w:val="243746"/>
          <w:sz w:val="21"/>
        </w:rPr>
        <w:t>The route separation supports controlled distribution, but production access control and removal from any public hub are still required.</w:t>
      </w:r>
    </w:p>
    <w:p>
      <w:pPr>
        <w:pStyle w:val="Heading3"/>
        <w:spacing w:before="200" w:after="60"/>
      </w:pPr>
      <w:r>
        <w:rPr>
          <w:rFonts w:ascii="Calibri" w:hAnsi="Calibri"/>
          <w:b/>
          <w:color w:val="1F4D78"/>
          <w:sz w:val="24"/>
        </w:rPr>
        <w:t>D06 — Partner/Sponsor application is an onboarding form, not a sales enquiry</w:t>
      </w:r>
    </w:p>
    <w:p>
      <w:pPr>
        <w:spacing w:after="80"/>
      </w:pPr>
      <w:r>
        <w:rPr>
          <w:rFonts w:ascii="Calibri" w:hAnsi="Calibri"/>
          <w:b/>
          <w:color w:val="7A5A00"/>
          <w:sz w:val="19"/>
        </w:rPr>
        <w:t>Partial</w:t>
      </w:r>
      <w:r>
        <w:rPr>
          <w:rFonts w:ascii="Calibri" w:hAnsi="Calibri"/>
          <w:color w:val="667580"/>
          <w:sz w:val="18"/>
        </w:rPr>
        <w:t xml:space="preserve">  |  E2; E6; E10; E18</w:t>
      </w:r>
    </w:p>
    <w:p>
      <w:pPr>
        <w:spacing w:before="40" w:after="60" w:line="259" w:lineRule="auto"/>
        <w:ind w:left="317" w:right="173"/>
        <w:shd w:fill="E8EEF5"/>
      </w:pPr>
      <w:r>
        <w:rPr>
          <w:rFonts w:ascii="Calibri" w:hAnsi="Calibri"/>
          <w:i/>
          <w:color w:val="1F4D78"/>
          <w:sz w:val="21"/>
        </w:rPr>
        <w:t>“If we have sent the link to this form, we will have already agreed they can be a partner / sponsor.”</w:t>
      </w:r>
      <w:r>
        <w:rPr>
          <w:rFonts w:ascii="Calibri" w:hAnsi="Calibri"/>
          <w:color w:val="667580"/>
          <w:sz w:val="18"/>
        </w:rPr>
        <w:t xml:space="preserve">  — Kate, email ‘Forms’, 18 August 2026</w:t>
      </w:r>
    </w:p>
    <w:p>
      <w:pPr>
        <w:spacing w:after="100"/>
      </w:pPr>
      <w:r>
        <w:rPr>
          <w:rFonts w:ascii="Calibri" w:hAnsi="Calibri"/>
          <w:b/>
          <w:color w:val="1F4D78"/>
          <w:sz w:val="21"/>
        </w:rPr>
        <w:t xml:space="preserve">Current solution. </w:t>
      </w:r>
      <w:r>
        <w:rPr>
          <w:rFonts w:ascii="Calibri" w:hAnsi="Calibri"/>
          <w:color w:val="243746"/>
          <w:sz w:val="21"/>
        </w:rPr>
        <w:t>The form contains agreed packages and arrangement details, and its acknowledgement currently uses confirmation language immediately after submission.</w:t>
      </w:r>
    </w:p>
    <w:p>
      <w:pPr>
        <w:spacing w:after="100"/>
      </w:pPr>
      <w:r>
        <w:rPr>
          <w:rFonts w:ascii="Calibri" w:hAnsi="Calibri"/>
          <w:b/>
          <w:color w:val="1F4D78"/>
          <w:sz w:val="21"/>
        </w:rPr>
        <w:t xml:space="preserve">Client need. </w:t>
      </w:r>
      <w:r>
        <w:rPr>
          <w:rFonts w:ascii="Calibri" w:hAnsi="Calibri"/>
          <w:color w:val="243746"/>
          <w:sz w:val="21"/>
        </w:rPr>
        <w:t>Kate distinguished the direct application from an EOI and initially asked that its receipt become a confirmation. Later finance decisions introduced provisional allocation and payment before final confirmation.</w:t>
      </w:r>
    </w:p>
    <w:p>
      <w:pPr>
        <w:spacing w:after="100"/>
      </w:pPr>
      <w:r>
        <w:rPr>
          <w:rFonts w:ascii="Calibri" w:hAnsi="Calibri"/>
          <w:b/>
          <w:color w:val="1F4D78"/>
          <w:sz w:val="21"/>
        </w:rPr>
        <w:t xml:space="preserve">Why this was necessary. </w:t>
      </w:r>
      <w:r>
        <w:rPr>
          <w:rFonts w:ascii="Calibri" w:hAnsi="Calibri"/>
          <w:color w:val="243746"/>
          <w:sz w:val="21"/>
        </w:rPr>
        <w:t>The form should not repeat qualification questions after approval, but commercial acceptance and final allocation/payment confirmation are now separate stages. The wording must show that distinction.</w:t>
      </w:r>
    </w:p>
    <w:p>
      <w:pPr>
        <w:spacing w:after="140"/>
      </w:pPr>
      <w:r>
        <w:rPr>
          <w:rFonts w:ascii="Calibri" w:hAnsi="Calibri"/>
          <w:b/>
          <w:color w:val="1F4D78"/>
          <w:sz w:val="21"/>
        </w:rPr>
        <w:t xml:space="preserve">Assessment. </w:t>
      </w:r>
      <w:r>
        <w:rPr>
          <w:rFonts w:ascii="Calibri" w:hAnsi="Calibri"/>
          <w:color w:val="243746"/>
          <w:sz w:val="21"/>
        </w:rPr>
        <w:t>The onboarding content is right; the immediate ‘confirmed’ wording is no longer safely aligned with the later payment-before-confirmation brief and must be revised.</w:t>
      </w:r>
    </w:p>
    <w:p>
      <w:pPr>
        <w:pStyle w:val="Heading3"/>
        <w:spacing w:before="200" w:after="60"/>
      </w:pPr>
      <w:r>
        <w:rPr>
          <w:rFonts w:ascii="Calibri" w:hAnsi="Calibri"/>
          <w:b/>
          <w:color w:val="1F4D78"/>
          <w:sz w:val="24"/>
        </w:rPr>
        <w:t>D07 — Guest registration is a dedicated journey</w:t>
      </w:r>
    </w:p>
    <w:p>
      <w:pPr>
        <w:spacing w:after="80"/>
      </w:pPr>
      <w:r>
        <w:rPr>
          <w:rFonts w:ascii="Calibri" w:hAnsi="Calibri"/>
          <w:b/>
          <w:color w:val="2F6B4F"/>
          <w:sz w:val="19"/>
        </w:rPr>
        <w:t>Aligned</w:t>
      </w:r>
      <w:r>
        <w:rPr>
          <w:rFonts w:ascii="Calibri" w:hAnsi="Calibri"/>
          <w:color w:val="667580"/>
          <w:sz w:val="18"/>
        </w:rPr>
        <w:t xml:space="preserve">  |  E3; A2; M4 00:05:11–00:07:20</w:t>
      </w:r>
    </w:p>
    <w:p>
      <w:pPr>
        <w:spacing w:after="100"/>
      </w:pPr>
      <w:r>
        <w:rPr>
          <w:rFonts w:ascii="Calibri" w:hAnsi="Calibri"/>
          <w:b/>
          <w:color w:val="1F4D78"/>
          <w:sz w:val="21"/>
        </w:rPr>
        <w:t xml:space="preserve">Current solution. </w:t>
      </w:r>
      <w:r>
        <w:rPr>
          <w:rFonts w:ascii="Calibri" w:hAnsi="Calibri"/>
          <w:color w:val="243746"/>
          <w:sz w:val="21"/>
        </w:rPr>
        <w:t>A guest form captures the invited person, optional companion and accessibility information. A guest check-in report makes the result operationally usable.</w:t>
      </w:r>
    </w:p>
    <w:p>
      <w:pPr>
        <w:spacing w:after="100"/>
      </w:pPr>
      <w:r>
        <w:rPr>
          <w:rFonts w:ascii="Calibri" w:hAnsi="Calibri"/>
          <w:b/>
          <w:color w:val="1F4D78"/>
          <w:sz w:val="21"/>
        </w:rPr>
        <w:t xml:space="preserve">Client need. </w:t>
      </w:r>
      <w:r>
        <w:rPr>
          <w:rFonts w:ascii="Calibri" w:hAnsi="Calibri"/>
          <w:color w:val="243746"/>
          <w:sz w:val="21"/>
        </w:rPr>
        <w:t>Kate supplied a dedicated guest-question document and asked for the guest acknowledgement. In the first meeting she also wanted guests visible in the same operational system.</w:t>
      </w:r>
    </w:p>
    <w:p>
      <w:pPr>
        <w:spacing w:after="100"/>
      </w:pPr>
      <w:r>
        <w:rPr>
          <w:rFonts w:ascii="Calibri" w:hAnsi="Calibri"/>
          <w:b/>
          <w:color w:val="1F4D78"/>
          <w:sz w:val="21"/>
        </w:rPr>
        <w:t xml:space="preserve">Why this was necessary. </w:t>
      </w:r>
      <w:r>
        <w:rPr>
          <w:rFonts w:ascii="Calibri" w:hAnsi="Calibri"/>
          <w:color w:val="243746"/>
          <w:sz w:val="21"/>
        </w:rPr>
        <w:t>Guests do not buy exhibitor space and should not be pushed through commercial approval, quote or invoice stages. A separate form avoids irrelevant questions and makes a printable arrival list possible.</w:t>
      </w:r>
    </w:p>
    <w:p>
      <w:pPr>
        <w:spacing w:after="140"/>
      </w:pPr>
      <w:r>
        <w:rPr>
          <w:rFonts w:ascii="Calibri" w:hAnsi="Calibri"/>
          <w:b/>
          <w:color w:val="1F4D78"/>
          <w:sz w:val="21"/>
        </w:rPr>
        <w:t xml:space="preserve">Assessment. </w:t>
      </w:r>
      <w:r>
        <w:rPr>
          <w:rFonts w:ascii="Calibri" w:hAnsi="Calibri"/>
          <w:color w:val="243746"/>
          <w:sz w:val="21"/>
        </w:rPr>
        <w:t>The core journey is aligned. The decision to store the companion within the same Lead rather than as a separate person record is an implementation assumption listed at the end.</w:t>
      </w:r>
    </w:p>
    <w:p>
      <w:pPr>
        <w:pStyle w:val="Heading3"/>
        <w:spacing w:before="200" w:after="60"/>
      </w:pPr>
      <w:r>
        <w:rPr>
          <w:rFonts w:ascii="Calibri" w:hAnsi="Calibri"/>
          <w:b/>
          <w:color w:val="1F4D78"/>
          <w:sz w:val="24"/>
        </w:rPr>
        <w:t>D08 — Volunteer intake was added as a separate route</w:t>
      </w:r>
    </w:p>
    <w:p>
      <w:pPr>
        <w:spacing w:after="80"/>
      </w:pPr>
      <w:r>
        <w:rPr>
          <w:rFonts w:ascii="Calibri" w:hAnsi="Calibri"/>
          <w:b/>
          <w:color w:val="7A5A00"/>
          <w:sz w:val="19"/>
        </w:rPr>
        <w:t>Partial</w:t>
      </w:r>
      <w:r>
        <w:rPr>
          <w:rFonts w:ascii="Calibri" w:hAnsi="Calibri"/>
          <w:color w:val="667580"/>
          <w:sz w:val="18"/>
        </w:rPr>
        <w:t xml:space="preserve">  |  M4 00:38:55</w:t>
      </w:r>
    </w:p>
    <w:p>
      <w:pPr>
        <w:spacing w:after="100"/>
      </w:pPr>
      <w:r>
        <w:rPr>
          <w:rFonts w:ascii="Calibri" w:hAnsi="Calibri"/>
          <w:b/>
          <w:color w:val="1F4D78"/>
          <w:sz w:val="21"/>
        </w:rPr>
        <w:t xml:space="preserve">Current solution. </w:t>
      </w:r>
      <w:r>
        <w:rPr>
          <w:rFonts w:ascii="Calibri" w:hAnsi="Calibri"/>
          <w:color w:val="243746"/>
          <w:sz w:val="21"/>
        </w:rPr>
        <w:t>A volunteer Web-to-Lead form was added to the public form suite and Salesforce field mapping.</w:t>
      </w:r>
    </w:p>
    <w:p>
      <w:pPr>
        <w:spacing w:after="100"/>
      </w:pPr>
      <w:r>
        <w:rPr>
          <w:rFonts w:ascii="Calibri" w:hAnsi="Calibri"/>
          <w:b/>
          <w:color w:val="1F4D78"/>
          <w:sz w:val="21"/>
        </w:rPr>
        <w:t xml:space="preserve">Client need. </w:t>
      </w:r>
      <w:r>
        <w:rPr>
          <w:rFonts w:ascii="Calibri" w:hAnsi="Calibri"/>
          <w:color w:val="243746"/>
          <w:sz w:val="21"/>
        </w:rPr>
        <w:t>Tony asked during the 21 August progress meeting for a volunteer-specific Web-to-Lead form, and the delivery team agreed to include it.</w:t>
      </w:r>
    </w:p>
    <w:p>
      <w:pPr>
        <w:spacing w:after="100"/>
      </w:pPr>
      <w:r>
        <w:rPr>
          <w:rFonts w:ascii="Calibri" w:hAnsi="Calibri"/>
          <w:b/>
          <w:color w:val="1F4D78"/>
          <w:sz w:val="21"/>
        </w:rPr>
        <w:t xml:space="preserve">Why this was necessary. </w:t>
      </w:r>
      <w:r>
        <w:rPr>
          <w:rFonts w:ascii="Calibri" w:hAnsi="Calibri"/>
          <w:color w:val="243746"/>
          <w:sz w:val="21"/>
        </w:rPr>
        <w:t>Volunteers have a different operational purpose from commercial participants and should not enter the quote/invoice pipeline.</w:t>
      </w:r>
    </w:p>
    <w:p>
      <w:pPr>
        <w:spacing w:after="140"/>
      </w:pPr>
      <w:r>
        <w:rPr>
          <w:rFonts w:ascii="Calibri" w:hAnsi="Calibri"/>
          <w:b/>
          <w:color w:val="1F4D78"/>
          <w:sz w:val="21"/>
        </w:rPr>
        <w:t xml:space="preserve">Assessment. </w:t>
      </w:r>
      <w:r>
        <w:rPr>
          <w:rFonts w:ascii="Calibri" w:hAnsi="Calibri"/>
          <w:color w:val="243746"/>
          <w:sz w:val="21"/>
        </w:rPr>
        <w:t>The request explains the existence of the form, but the evidence reviewed does not define its final questions, owner, privacy/retention rule, acknowledgement or downstream process. Those remain to be approved.</w:t>
      </w:r>
    </w:p>
    <w:p>
      <w:pPr>
        <w:pStyle w:val="Heading3"/>
        <w:spacing w:before="200" w:after="60"/>
      </w:pPr>
      <w:r>
        <w:rPr>
          <w:rFonts w:ascii="Calibri" w:hAnsi="Calibri"/>
          <w:b/>
          <w:color w:val="1F4D78"/>
          <w:sz w:val="24"/>
        </w:rPr>
        <w:t>D09 — First name and surname are stored separately</w:t>
      </w:r>
    </w:p>
    <w:p>
      <w:pPr>
        <w:spacing w:after="80"/>
      </w:pPr>
      <w:r>
        <w:rPr>
          <w:rFonts w:ascii="Calibri" w:hAnsi="Calibri"/>
          <w:b/>
          <w:color w:val="2F6B4F"/>
          <w:sz w:val="19"/>
        </w:rPr>
        <w:t>Aligned</w:t>
      </w:r>
      <w:r>
        <w:rPr>
          <w:rFonts w:ascii="Calibri" w:hAnsi="Calibri"/>
          <w:color w:val="667580"/>
          <w:sz w:val="18"/>
        </w:rPr>
        <w:t xml:space="preserve">  |  E2</w:t>
      </w:r>
    </w:p>
    <w:p>
      <w:pPr>
        <w:spacing w:before="40" w:after="60" w:line="259" w:lineRule="auto"/>
        <w:ind w:left="317" w:right="173"/>
        <w:shd w:fill="E8EEF5"/>
      </w:pPr>
      <w:r>
        <w:rPr>
          <w:rFonts w:ascii="Calibri" w:hAnsi="Calibri"/>
          <w:i/>
          <w:color w:val="1F4D78"/>
          <w:sz w:val="21"/>
        </w:rPr>
        <w:t>“thinking about personalising emails when they go out”</w:t>
      </w:r>
      <w:r>
        <w:rPr>
          <w:rFonts w:ascii="Calibri" w:hAnsi="Calibri"/>
          <w:color w:val="667580"/>
          <w:sz w:val="18"/>
        </w:rPr>
        <w:t xml:space="preserve">  — Kate, email ‘Web to lead forms’, 7 August 2026</w:t>
      </w:r>
    </w:p>
    <w:p>
      <w:pPr>
        <w:spacing w:after="100"/>
      </w:pPr>
      <w:r>
        <w:rPr>
          <w:rFonts w:ascii="Calibri" w:hAnsi="Calibri"/>
          <w:b/>
          <w:color w:val="1F4D78"/>
          <w:sz w:val="21"/>
        </w:rPr>
        <w:t xml:space="preserve">Current solution. </w:t>
      </w:r>
      <w:r>
        <w:rPr>
          <w:rFonts w:ascii="Calibri" w:hAnsi="Calibri"/>
          <w:color w:val="243746"/>
          <w:sz w:val="21"/>
        </w:rPr>
        <w:t>The forms use structured personal-name fields rather than a single full-name value where the person will receive correspondence.</w:t>
      </w:r>
    </w:p>
    <w:p>
      <w:pPr>
        <w:spacing w:after="100"/>
      </w:pPr>
      <w:r>
        <w:rPr>
          <w:rFonts w:ascii="Calibri" w:hAnsi="Calibri"/>
          <w:b/>
          <w:color w:val="1F4D78"/>
          <w:sz w:val="21"/>
        </w:rPr>
        <w:t xml:space="preserve">Client need. </w:t>
      </w:r>
      <w:r>
        <w:rPr>
          <w:rFonts w:ascii="Calibri" w:hAnsi="Calibri"/>
          <w:color w:val="243746"/>
          <w:sz w:val="21"/>
        </w:rPr>
        <w:t>Kate explicitly connected separate first/surname capture with personalised email output.</w:t>
      </w:r>
    </w:p>
    <w:p>
      <w:pPr>
        <w:spacing w:after="100"/>
      </w:pPr>
      <w:r>
        <w:rPr>
          <w:rFonts w:ascii="Calibri" w:hAnsi="Calibri"/>
          <w:b/>
          <w:color w:val="1F4D78"/>
          <w:sz w:val="21"/>
        </w:rPr>
        <w:t xml:space="preserve">Why this was necessary. </w:t>
      </w:r>
      <w:r>
        <w:rPr>
          <w:rFonts w:ascii="Calibri" w:hAnsi="Calibri"/>
          <w:color w:val="243746"/>
          <w:sz w:val="21"/>
        </w:rPr>
        <w:t>Salesforce email templates need a reliable first-name field. Separating names also improves matching and avoids trying to infer a surname from variable free text.</w:t>
      </w:r>
    </w:p>
    <w:p>
      <w:pPr>
        <w:spacing w:after="140"/>
      </w:pPr>
      <w:r>
        <w:rPr>
          <w:rFonts w:ascii="Calibri" w:hAnsi="Calibri"/>
          <w:b/>
          <w:color w:val="1F4D78"/>
          <w:sz w:val="21"/>
        </w:rPr>
        <w:t xml:space="preserve">Assessment. </w:t>
      </w:r>
      <w:r>
        <w:rPr>
          <w:rFonts w:ascii="Calibri" w:hAnsi="Calibri"/>
          <w:color w:val="243746"/>
          <w:sz w:val="21"/>
        </w:rPr>
        <w:t>This is a direct client requirement and a necessary data-quality decision.</w:t>
      </w:r>
    </w:p>
    <w:p>
      <w:pPr>
        <w:pStyle w:val="Heading3"/>
        <w:spacing w:before="200" w:after="60"/>
      </w:pPr>
      <w:r>
        <w:rPr>
          <w:rFonts w:ascii="Calibri" w:hAnsi="Calibri"/>
          <w:b/>
          <w:color w:val="1F4D78"/>
          <w:sz w:val="24"/>
        </w:rPr>
        <w:t>D10 — Organisation classification and NTE history are structured</w:t>
      </w:r>
    </w:p>
    <w:p>
      <w:pPr>
        <w:spacing w:after="80"/>
      </w:pPr>
      <w:r>
        <w:rPr>
          <w:rFonts w:ascii="Calibri" w:hAnsi="Calibri"/>
          <w:b/>
          <w:color w:val="2F6B4F"/>
          <w:sz w:val="19"/>
        </w:rPr>
        <w:t>Aligned</w:t>
      </w:r>
      <w:r>
        <w:rPr>
          <w:rFonts w:ascii="Calibri" w:hAnsi="Calibri"/>
          <w:color w:val="667580"/>
          <w:sz w:val="18"/>
        </w:rPr>
        <w:t xml:space="preserve">  |  E6; E14; A1</w:t>
      </w:r>
    </w:p>
    <w:p>
      <w:pPr>
        <w:spacing w:after="100"/>
      </w:pPr>
      <w:r>
        <w:rPr>
          <w:rFonts w:ascii="Calibri" w:hAnsi="Calibri"/>
          <w:b/>
          <w:color w:val="1F4D78"/>
          <w:sz w:val="21"/>
        </w:rPr>
        <w:t xml:space="preserve">Current solution. </w:t>
      </w:r>
      <w:r>
        <w:rPr>
          <w:rFonts w:ascii="Calibri" w:hAnsi="Calibri"/>
          <w:color w:val="243746"/>
          <w:sz w:val="21"/>
        </w:rPr>
        <w:t>The forms and Salesforce metadata capture organisation category, prior NTE participation and sponsor/exhibitor distinctions with filterable values.</w:t>
      </w:r>
    </w:p>
    <w:p>
      <w:pPr>
        <w:spacing w:after="100"/>
      </w:pPr>
      <w:r>
        <w:rPr>
          <w:rFonts w:ascii="Calibri" w:hAnsi="Calibri"/>
          <w:b/>
          <w:color w:val="1F4D78"/>
          <w:sz w:val="21"/>
        </w:rPr>
        <w:t xml:space="preserve">Client need. </w:t>
      </w:r>
      <w:r>
        <w:rPr>
          <w:rFonts w:ascii="Calibri" w:hAnsi="Calibri"/>
          <w:color w:val="243746"/>
          <w:sz w:val="21"/>
        </w:rPr>
        <w:t>Kate supplied category order/wording changes, requested NTE24/NTE25/NTE26 labels and later described campaign segments based on historic relationship and organisation type.</w:t>
      </w:r>
    </w:p>
    <w:p>
      <w:pPr>
        <w:spacing w:after="100"/>
      </w:pPr>
      <w:r>
        <w:rPr>
          <w:rFonts w:ascii="Calibri" w:hAnsi="Calibri"/>
          <w:b/>
          <w:color w:val="1F4D78"/>
          <w:sz w:val="21"/>
        </w:rPr>
        <w:t xml:space="preserve">Why this was necessary. </w:t>
      </w:r>
      <w:r>
        <w:rPr>
          <w:rFonts w:ascii="Calibri" w:hAnsi="Calibri"/>
          <w:color w:val="243746"/>
          <w:sz w:val="21"/>
        </w:rPr>
        <w:t>Structured categories are what make invitation lists, charitable pricing, do-not-invite exclusions and reporting reproducible. Free-text categories would recreate the spreadsheet problem.</w:t>
      </w:r>
    </w:p>
    <w:p>
      <w:pPr>
        <w:spacing w:after="140"/>
      </w:pPr>
      <w:r>
        <w:rPr>
          <w:rFonts w:ascii="Calibri" w:hAnsi="Calibri"/>
          <w:b/>
          <w:color w:val="1F4D78"/>
          <w:sz w:val="21"/>
        </w:rPr>
        <w:t xml:space="preserve">Assessment. </w:t>
      </w:r>
      <w:r>
        <w:rPr>
          <w:rFonts w:ascii="Calibri" w:hAnsi="Calibri"/>
          <w:color w:val="243746"/>
          <w:sz w:val="21"/>
        </w:rPr>
        <w:t>The fields are justified. The exact production picklist values and imported historic flags must be validated during migration.</w:t>
      </w:r>
    </w:p>
    <w:p>
      <w:pPr>
        <w:pStyle w:val="Heading3"/>
        <w:spacing w:before="200" w:after="60"/>
      </w:pPr>
      <w:r>
        <w:rPr>
          <w:rFonts w:ascii="Calibri" w:hAnsi="Calibri"/>
          <w:b/>
          <w:color w:val="1F4D78"/>
          <w:sz w:val="24"/>
        </w:rPr>
        <w:t>D11 — Accessibility uses a searchable indicator plus detail</w:t>
      </w:r>
    </w:p>
    <w:p>
      <w:pPr>
        <w:spacing w:after="80"/>
      </w:pPr>
      <w:r>
        <w:rPr>
          <w:rFonts w:ascii="Calibri" w:hAnsi="Calibri"/>
          <w:b/>
          <w:color w:val="2F6B4F"/>
          <w:sz w:val="19"/>
        </w:rPr>
        <w:t>Aligned</w:t>
      </w:r>
      <w:r>
        <w:rPr>
          <w:rFonts w:ascii="Calibri" w:hAnsi="Calibri"/>
          <w:color w:val="667580"/>
          <w:sz w:val="18"/>
        </w:rPr>
        <w:t xml:space="preserve">  |  E2; A1</w:t>
      </w:r>
    </w:p>
    <w:p>
      <w:pPr>
        <w:spacing w:before="40" w:after="60" w:line="259" w:lineRule="auto"/>
        <w:ind w:left="317" w:right="173"/>
        <w:shd w:fill="E8EEF5"/>
      </w:pPr>
      <w:r>
        <w:rPr>
          <w:rFonts w:ascii="Calibri" w:hAnsi="Calibri"/>
          <w:i/>
          <w:color w:val="1F4D78"/>
          <w:sz w:val="21"/>
        </w:rPr>
        <w:t>“Keep Y and N field also as it will make it easier to search”</w:t>
      </w:r>
      <w:r>
        <w:rPr>
          <w:rFonts w:ascii="Calibri" w:hAnsi="Calibri"/>
          <w:color w:val="667580"/>
          <w:sz w:val="18"/>
        </w:rPr>
        <w:t xml:space="preserve">  — Kate, email ‘Web to lead forms’, 7 August 2026</w:t>
      </w:r>
    </w:p>
    <w:p>
      <w:pPr>
        <w:spacing w:after="100"/>
      </w:pPr>
      <w:r>
        <w:rPr>
          <w:rFonts w:ascii="Calibri" w:hAnsi="Calibri"/>
          <w:b/>
          <w:color w:val="1F4D78"/>
          <w:sz w:val="21"/>
        </w:rPr>
        <w:t xml:space="preserve">Current solution. </w:t>
      </w:r>
      <w:r>
        <w:rPr>
          <w:rFonts w:ascii="Calibri" w:hAnsi="Calibri"/>
          <w:color w:val="243746"/>
          <w:sz w:val="21"/>
        </w:rPr>
        <w:t>Relevant forms collect a yes/no accessibility flag and explanatory free text.</w:t>
      </w:r>
    </w:p>
    <w:p>
      <w:pPr>
        <w:spacing w:after="100"/>
      </w:pPr>
      <w:r>
        <w:rPr>
          <w:rFonts w:ascii="Calibri" w:hAnsi="Calibri"/>
          <w:b/>
          <w:color w:val="1F4D78"/>
          <w:sz w:val="21"/>
        </w:rPr>
        <w:t xml:space="preserve">Client need. </w:t>
      </w:r>
      <w:r>
        <w:rPr>
          <w:rFonts w:ascii="Calibri" w:hAnsi="Calibri"/>
          <w:color w:val="243746"/>
          <w:sz w:val="21"/>
        </w:rPr>
        <w:t>Kate asked both whether support is required and what it is, including examples such as disabled-access parking.</w:t>
      </w:r>
    </w:p>
    <w:p>
      <w:pPr>
        <w:spacing w:after="100"/>
      </w:pPr>
      <w:r>
        <w:rPr>
          <w:rFonts w:ascii="Calibri" w:hAnsi="Calibri"/>
          <w:b/>
          <w:color w:val="1F4D78"/>
          <w:sz w:val="21"/>
        </w:rPr>
        <w:t xml:space="preserve">Why this was necessary. </w:t>
      </w:r>
      <w:r>
        <w:rPr>
          <w:rFonts w:ascii="Calibri" w:hAnsi="Calibri"/>
          <w:color w:val="243746"/>
          <w:sz w:val="21"/>
        </w:rPr>
        <w:t>The flag lets operations find every affected record; the text provides the individual detail needed to make an adjustment. Either field alone would be insufficient.</w:t>
      </w:r>
    </w:p>
    <w:p>
      <w:pPr>
        <w:spacing w:after="140"/>
      </w:pPr>
      <w:r>
        <w:rPr>
          <w:rFonts w:ascii="Calibri" w:hAnsi="Calibri"/>
          <w:b/>
          <w:color w:val="1F4D78"/>
          <w:sz w:val="21"/>
        </w:rPr>
        <w:t xml:space="preserve">Assessment. </w:t>
      </w:r>
      <w:r>
        <w:rPr>
          <w:rFonts w:ascii="Calibri" w:hAnsi="Calibri"/>
          <w:color w:val="243746"/>
          <w:sz w:val="21"/>
        </w:rPr>
        <w:t>This is explicitly required. Access to sensitive operational notes should be limited to staff who need them.</w:t>
      </w:r>
    </w:p>
    <w:p>
      <w:pPr>
        <w:pStyle w:val="Heading3"/>
        <w:spacing w:before="200" w:after="60"/>
      </w:pPr>
      <w:r>
        <w:rPr>
          <w:rFonts w:ascii="Calibri" w:hAnsi="Calibri"/>
          <w:b/>
          <w:color w:val="1F4D78"/>
          <w:sz w:val="24"/>
        </w:rPr>
        <w:t>D12 — Terms, declarations and recipient-facing guidance sit in the relevant journey</w:t>
      </w:r>
    </w:p>
    <w:p>
      <w:pPr>
        <w:spacing w:after="80"/>
      </w:pPr>
      <w:r>
        <w:rPr>
          <w:rFonts w:ascii="Calibri" w:hAnsi="Calibri"/>
          <w:b/>
          <w:color w:val="9B1C1C"/>
          <w:sz w:val="19"/>
        </w:rPr>
        <w:t>Pending</w:t>
      </w:r>
      <w:r>
        <w:rPr>
          <w:rFonts w:ascii="Calibri" w:hAnsi="Calibri"/>
          <w:color w:val="667580"/>
          <w:sz w:val="18"/>
        </w:rPr>
        <w:t xml:space="preserve">  |  E6; E9; E17</w:t>
      </w:r>
    </w:p>
    <w:p>
      <w:pPr>
        <w:spacing w:after="100"/>
      </w:pPr>
      <w:r>
        <w:rPr>
          <w:rFonts w:ascii="Calibri" w:hAnsi="Calibri"/>
          <w:b/>
          <w:color w:val="1F4D78"/>
          <w:sz w:val="21"/>
        </w:rPr>
        <w:t xml:space="preserve">Current solution. </w:t>
      </w:r>
      <w:r>
        <w:rPr>
          <w:rFonts w:ascii="Calibri" w:hAnsi="Calibri"/>
          <w:color w:val="243746"/>
          <w:sz w:val="21"/>
        </w:rPr>
        <w:t>The forms contain declarations and configurable terms links, and emails point applicants to next steps. The active configuration still uses sandbox testing terms and one generic link.</w:t>
      </w:r>
    </w:p>
    <w:p>
      <w:pPr>
        <w:spacing w:after="100"/>
      </w:pPr>
      <w:r>
        <w:rPr>
          <w:rFonts w:ascii="Calibri" w:hAnsi="Calibri"/>
          <w:b/>
          <w:color w:val="1F4D78"/>
          <w:sz w:val="21"/>
        </w:rPr>
        <w:t xml:space="preserve">Client need. </w:t>
      </w:r>
      <w:r>
        <w:rPr>
          <w:rFonts w:ascii="Calibri" w:hAnsi="Calibri"/>
          <w:color w:val="243746"/>
          <w:sz w:val="21"/>
        </w:rPr>
        <w:t>Kate supplied exact authority-to-proceed wording and said Partner/Sponsor terms differ from Exhibitor terms. She also expected the brochure to explain package benefits and supplied an NTE privacy URL.</w:t>
      </w:r>
    </w:p>
    <w:p>
      <w:pPr>
        <w:spacing w:after="100"/>
      </w:pPr>
      <w:r>
        <w:rPr>
          <w:rFonts w:ascii="Calibri" w:hAnsi="Calibri"/>
          <w:b/>
          <w:color w:val="1F4D78"/>
          <w:sz w:val="21"/>
        </w:rPr>
        <w:t xml:space="preserve">Why this was necessary. </w:t>
      </w:r>
      <w:r>
        <w:rPr>
          <w:rFonts w:ascii="Calibri" w:hAnsi="Calibri"/>
          <w:color w:val="243746"/>
          <w:sz w:val="21"/>
        </w:rPr>
        <w:t>The declaration records authority and accuracy; distinct terms avoid binding an audience to irrelevant conditions; the brochure prevents a very long form from becoming the only description of benefits.</w:t>
      </w:r>
    </w:p>
    <w:p>
      <w:pPr>
        <w:spacing w:after="140"/>
      </w:pPr>
      <w:r>
        <w:rPr>
          <w:rFonts w:ascii="Calibri" w:hAnsi="Calibri"/>
          <w:b/>
          <w:color w:val="1F4D78"/>
          <w:sz w:val="21"/>
        </w:rPr>
        <w:t xml:space="preserve">Assessment. </w:t>
      </w:r>
      <w:r>
        <w:rPr>
          <w:rFonts w:ascii="Calibri" w:hAnsi="Calibri"/>
          <w:color w:val="243746"/>
          <w:sz w:val="21"/>
        </w:rPr>
        <w:t>The structure is sound, but final terms, the brochure and production privacy configuration are release blockers.</w:t>
      </w:r>
    </w:p>
    <w:p>
      <w:pPr>
        <w:pStyle w:val="Heading2"/>
        <w:keepNext/>
      </w:pPr>
      <w:r>
        <w:t>4.2 Data model, lifecycle and administration</w:t>
      </w:r>
    </w:p>
    <w:p>
      <w:pPr>
        <w:pStyle w:val="Heading3"/>
        <w:spacing w:before="200" w:after="60"/>
      </w:pPr>
      <w:r>
        <w:rPr>
          <w:rFonts w:ascii="Calibri" w:hAnsi="Calibri"/>
          <w:b/>
          <w:color w:val="1F4D78"/>
          <w:sz w:val="24"/>
        </w:rPr>
        <w:t>D13 — Applications first arrive as Leads</w:t>
      </w:r>
    </w:p>
    <w:p>
      <w:pPr>
        <w:spacing w:after="80"/>
      </w:pPr>
      <w:r>
        <w:rPr>
          <w:rFonts w:ascii="Calibri" w:hAnsi="Calibri"/>
          <w:b/>
          <w:color w:val="2F6B4F"/>
          <w:sz w:val="19"/>
        </w:rPr>
        <w:t>Aligned</w:t>
      </w:r>
      <w:r>
        <w:rPr>
          <w:rFonts w:ascii="Calibri" w:hAnsi="Calibri"/>
          <w:color w:val="667580"/>
          <w:sz w:val="18"/>
        </w:rPr>
        <w:t xml:space="preserve">  |  M1 00:16:21; M4 00:00:00–00:03:47</w:t>
      </w:r>
    </w:p>
    <w:p>
      <w:pPr>
        <w:spacing w:after="100"/>
      </w:pPr>
      <w:r>
        <w:rPr>
          <w:rFonts w:ascii="Calibri" w:hAnsi="Calibri"/>
          <w:b/>
          <w:color w:val="1F4D78"/>
          <w:sz w:val="21"/>
        </w:rPr>
        <w:t xml:space="preserve">Current solution. </w:t>
      </w:r>
      <w:r>
        <w:rPr>
          <w:rFonts w:ascii="Calibri" w:hAnsi="Calibri"/>
          <w:color w:val="243746"/>
          <w:sz w:val="21"/>
        </w:rPr>
        <w:t>EOIs and application submissions are staged as Salesforce Leads. Commercial applications are only converted after staff review.</w:t>
      </w:r>
    </w:p>
    <w:p>
      <w:pPr>
        <w:spacing w:after="100"/>
      </w:pPr>
      <w:r>
        <w:rPr>
          <w:rFonts w:ascii="Calibri" w:hAnsi="Calibri"/>
          <w:b/>
          <w:color w:val="1F4D78"/>
          <w:sz w:val="21"/>
        </w:rPr>
        <w:t xml:space="preserve">Client need. </w:t>
      </w:r>
      <w:r>
        <w:rPr>
          <w:rFonts w:ascii="Calibri" w:hAnsi="Calibri"/>
          <w:color w:val="243746"/>
          <w:sz w:val="21"/>
        </w:rPr>
        <w:t>The client’s event is invite-only and approval/due diligence remains manual. Kate also wanted staff to see applications and decide what happens next.</w:t>
      </w:r>
    </w:p>
    <w:p>
      <w:pPr>
        <w:spacing w:after="100"/>
      </w:pPr>
      <w:r>
        <w:rPr>
          <w:rFonts w:ascii="Calibri" w:hAnsi="Calibri"/>
          <w:b/>
          <w:color w:val="1F4D78"/>
          <w:sz w:val="21"/>
        </w:rPr>
        <w:t xml:space="preserve">Why this was necessary. </w:t>
      </w:r>
      <w:r>
        <w:rPr>
          <w:rFonts w:ascii="Calibri" w:hAnsi="Calibri"/>
          <w:color w:val="243746"/>
          <w:sz w:val="21"/>
        </w:rPr>
        <w:t>A Lead is a safe holding state: an unapproved or duplicate submission does not immediately create a permanent organisation, person and annual booking. This also preserves Salesforce’s standard matching/conversion workflow.</w:t>
      </w:r>
    </w:p>
    <w:p>
      <w:pPr>
        <w:spacing w:after="140"/>
      </w:pPr>
      <w:r>
        <w:rPr>
          <w:rFonts w:ascii="Calibri" w:hAnsi="Calibri"/>
          <w:b/>
          <w:color w:val="1F4D78"/>
          <w:sz w:val="21"/>
        </w:rPr>
        <w:t xml:space="preserve">Assessment. </w:t>
      </w:r>
      <w:r>
        <w:rPr>
          <w:rFonts w:ascii="Calibri" w:hAnsi="Calibri"/>
          <w:color w:val="243746"/>
          <w:sz w:val="21"/>
        </w:rPr>
        <w:t>The design is an implicit technical response to the explicit approval requirement and was demonstrated to the client.</w:t>
      </w:r>
    </w:p>
    <w:p>
      <w:pPr>
        <w:pStyle w:val="Heading3"/>
        <w:spacing w:before="200" w:after="60"/>
      </w:pPr>
      <w:r>
        <w:rPr>
          <w:rFonts w:ascii="Calibri" w:hAnsi="Calibri"/>
          <w:b/>
          <w:color w:val="1F4D78"/>
          <w:sz w:val="24"/>
        </w:rPr>
        <w:t>D14 — Approved Leads are manually matched and converted</w:t>
      </w:r>
    </w:p>
    <w:p>
      <w:pPr>
        <w:spacing w:after="80"/>
      </w:pPr>
      <w:r>
        <w:rPr>
          <w:rFonts w:ascii="Calibri" w:hAnsi="Calibri"/>
          <w:b/>
          <w:color w:val="2F6B4F"/>
          <w:sz w:val="19"/>
        </w:rPr>
        <w:t>Aligned</w:t>
      </w:r>
      <w:r>
        <w:rPr>
          <w:rFonts w:ascii="Calibri" w:hAnsi="Calibri"/>
          <w:color w:val="667580"/>
          <w:sz w:val="18"/>
        </w:rPr>
        <w:t xml:space="preserve">  |  M4 00:01:08–00:03:47</w:t>
      </w:r>
    </w:p>
    <w:p>
      <w:pPr>
        <w:spacing w:after="100"/>
      </w:pPr>
      <w:r>
        <w:rPr>
          <w:rFonts w:ascii="Calibri" w:hAnsi="Calibri"/>
          <w:b/>
          <w:color w:val="1F4D78"/>
          <w:sz w:val="21"/>
        </w:rPr>
        <w:t xml:space="preserve">Current solution. </w:t>
      </w:r>
      <w:r>
        <w:rPr>
          <w:rFonts w:ascii="Calibri" w:hAnsi="Calibri"/>
          <w:color w:val="243746"/>
          <w:sz w:val="21"/>
        </w:rPr>
        <w:t>The NTE panel exposes conversion, while Salesforce’s standard conversion lets the user select an existing Account and Contact and create the annual Opportunity.</w:t>
      </w:r>
    </w:p>
    <w:p>
      <w:pPr>
        <w:spacing w:after="100"/>
      </w:pPr>
      <w:r>
        <w:rPr>
          <w:rFonts w:ascii="Calibri" w:hAnsi="Calibri"/>
          <w:b/>
          <w:color w:val="1F4D78"/>
          <w:sz w:val="21"/>
        </w:rPr>
        <w:t xml:space="preserve">Client need. </w:t>
      </w:r>
      <w:r>
        <w:rPr>
          <w:rFonts w:ascii="Calibri" w:hAnsi="Calibri"/>
          <w:color w:val="243746"/>
          <w:sz w:val="21"/>
        </w:rPr>
        <w:t>Kate wanted a database that grows without overwriting history and the client accepted the demonstrated matching/conversion model.</w:t>
      </w:r>
    </w:p>
    <w:p>
      <w:pPr>
        <w:spacing w:after="100"/>
      </w:pPr>
      <w:r>
        <w:rPr>
          <w:rFonts w:ascii="Calibri" w:hAnsi="Calibri"/>
          <w:b/>
          <w:color w:val="1F4D78"/>
          <w:sz w:val="21"/>
        </w:rPr>
        <w:t xml:space="preserve">Why this was necessary. </w:t>
      </w:r>
      <w:r>
        <w:rPr>
          <w:rFonts w:ascii="Calibri" w:hAnsi="Calibri"/>
          <w:color w:val="243746"/>
          <w:sz w:val="21"/>
        </w:rPr>
        <w:t>Automatic conversion would risk duplicate organisations and people, especially against imported legacy data. Human selection is slower but safer during the first year of a cleaned migration.</w:t>
      </w:r>
    </w:p>
    <w:p>
      <w:pPr>
        <w:spacing w:after="140"/>
      </w:pPr>
      <w:r>
        <w:rPr>
          <w:rFonts w:ascii="Calibri" w:hAnsi="Calibri"/>
          <w:b/>
          <w:color w:val="1F4D78"/>
          <w:sz w:val="21"/>
        </w:rPr>
        <w:t xml:space="preserve">Assessment. </w:t>
      </w:r>
      <w:r>
        <w:rPr>
          <w:rFonts w:ascii="Calibri" w:hAnsi="Calibri"/>
          <w:color w:val="243746"/>
          <w:sz w:val="21"/>
        </w:rPr>
        <w:t>The workflow is justified. The exact duplicate/matching policy and staff training need to be part of UAT and operational guidance.</w:t>
      </w:r>
    </w:p>
    <w:p>
      <w:pPr>
        <w:pStyle w:val="Heading3"/>
        <w:spacing w:before="200" w:after="60"/>
      </w:pPr>
      <w:r>
        <w:rPr>
          <w:rFonts w:ascii="Calibri" w:hAnsi="Calibri"/>
          <w:b/>
          <w:color w:val="1F4D78"/>
          <w:sz w:val="24"/>
        </w:rPr>
        <w:t>D15 — Account, Contact and annual Opportunity have distinct roles</w:t>
      </w:r>
    </w:p>
    <w:p>
      <w:pPr>
        <w:spacing w:after="80"/>
      </w:pPr>
      <w:r>
        <w:rPr>
          <w:rFonts w:ascii="Calibri" w:hAnsi="Calibri"/>
          <w:b/>
          <w:color w:val="2F6B4F"/>
          <w:sz w:val="19"/>
        </w:rPr>
        <w:t>Aligned</w:t>
      </w:r>
      <w:r>
        <w:rPr>
          <w:rFonts w:ascii="Calibri" w:hAnsi="Calibri"/>
          <w:color w:val="667580"/>
          <w:sz w:val="18"/>
        </w:rPr>
        <w:t xml:space="preserve">  |  M4 00:08:42–00:10:29</w:t>
      </w:r>
    </w:p>
    <w:p>
      <w:pPr>
        <w:spacing w:before="40" w:after="60" w:line="259" w:lineRule="auto"/>
        <w:ind w:left="317" w:right="173"/>
        <w:shd w:fill="E8EEF5"/>
      </w:pPr>
      <w:r>
        <w:rPr>
          <w:rFonts w:ascii="Calibri" w:hAnsi="Calibri"/>
          <w:i/>
          <w:color w:val="1F4D78"/>
          <w:sz w:val="21"/>
        </w:rPr>
        <w:t>“if we had it all in accounts every year will be overwritten with the new year’s information”</w:t>
      </w:r>
      <w:r>
        <w:rPr>
          <w:rFonts w:ascii="Calibri" w:hAnsi="Calibri"/>
          <w:color w:val="667580"/>
          <w:sz w:val="18"/>
        </w:rPr>
        <w:t xml:space="preserve">  — Steven explaining the model to Kate, M4 transcript, 21 August 2026, 00:08:42</w:t>
      </w:r>
    </w:p>
    <w:p>
      <w:pPr>
        <w:spacing w:after="100"/>
      </w:pPr>
      <w:r>
        <w:rPr>
          <w:rFonts w:ascii="Calibri" w:hAnsi="Calibri"/>
          <w:b/>
          <w:color w:val="1F4D78"/>
          <w:sz w:val="21"/>
        </w:rPr>
        <w:t xml:space="preserve">Current solution. </w:t>
      </w:r>
      <w:r>
        <w:rPr>
          <w:rFonts w:ascii="Calibri" w:hAnsi="Calibri"/>
          <w:color w:val="243746"/>
          <w:sz w:val="21"/>
        </w:rPr>
        <w:t>Account holds the organisation, Contact holds people, and an NTE Opportunity holds the organisation’s participation in a particular event year.</w:t>
      </w:r>
    </w:p>
    <w:p>
      <w:pPr>
        <w:spacing w:after="100"/>
      </w:pPr>
      <w:r>
        <w:rPr>
          <w:rFonts w:ascii="Calibri" w:hAnsi="Calibri"/>
          <w:b/>
          <w:color w:val="1F4D78"/>
          <w:sz w:val="21"/>
        </w:rPr>
        <w:t xml:space="preserve">Client need. </w:t>
      </w:r>
      <w:r>
        <w:rPr>
          <w:rFonts w:ascii="Calibri" w:hAnsi="Calibri"/>
          <w:color w:val="243746"/>
          <w:sz w:val="21"/>
        </w:rPr>
        <w:t>Kate wanted the system to kick-start a wider relationship database and be able to see whether an organisation had attended or partnered in prior years.</w:t>
      </w:r>
    </w:p>
    <w:p>
      <w:pPr>
        <w:spacing w:after="100"/>
      </w:pPr>
      <w:r>
        <w:rPr>
          <w:rFonts w:ascii="Calibri" w:hAnsi="Calibri"/>
          <w:b/>
          <w:color w:val="1F4D78"/>
          <w:sz w:val="21"/>
        </w:rPr>
        <w:t xml:space="preserve">Why this was necessary. </w:t>
      </w:r>
      <w:r>
        <w:rPr>
          <w:rFonts w:ascii="Calibri" w:hAnsi="Calibri"/>
          <w:color w:val="243746"/>
          <w:sz w:val="21"/>
        </w:rPr>
        <w:t>Organisation identity persists, people can change, and event choices repeat annually. Separating them stops NTE28 overwriting NTE27 while still giving one relationship history.</w:t>
      </w:r>
    </w:p>
    <w:p>
      <w:pPr>
        <w:spacing w:after="140"/>
      </w:pPr>
      <w:r>
        <w:rPr>
          <w:rFonts w:ascii="Calibri" w:hAnsi="Calibri"/>
          <w:b/>
          <w:color w:val="1F4D78"/>
          <w:sz w:val="21"/>
        </w:rPr>
        <w:t xml:space="preserve">Assessment. </w:t>
      </w:r>
      <w:r>
        <w:rPr>
          <w:rFonts w:ascii="Calibri" w:hAnsi="Calibri"/>
          <w:color w:val="243746"/>
          <w:sz w:val="21"/>
        </w:rPr>
        <w:t>Kate queried the model and accepted the explanation. This is the core architectural decision and is strongly justified.</w:t>
      </w:r>
    </w:p>
    <w:p>
      <w:pPr>
        <w:pStyle w:val="Heading3"/>
        <w:spacing w:before="200" w:after="60"/>
      </w:pPr>
      <w:r>
        <w:rPr>
          <w:rFonts w:ascii="Calibri" w:hAnsi="Calibri"/>
          <w:b/>
          <w:color w:val="1F4D78"/>
          <w:sz w:val="24"/>
        </w:rPr>
        <w:t>D16 — Operational and commercial event data live on the annual Opportunity</w:t>
      </w:r>
    </w:p>
    <w:p>
      <w:pPr>
        <w:spacing w:after="80"/>
      </w:pPr>
      <w:r>
        <w:rPr>
          <w:rFonts w:ascii="Calibri" w:hAnsi="Calibri"/>
          <w:b/>
          <w:color w:val="2F6B4F"/>
          <w:sz w:val="19"/>
        </w:rPr>
        <w:t>Aligned</w:t>
      </w:r>
      <w:r>
        <w:rPr>
          <w:rFonts w:ascii="Calibri" w:hAnsi="Calibri"/>
          <w:color w:val="667580"/>
          <w:sz w:val="18"/>
        </w:rPr>
        <w:t xml:space="preserve">  |  M4 00:08:42–00:10:29; R1</w:t>
      </w:r>
    </w:p>
    <w:p>
      <w:pPr>
        <w:spacing w:after="100"/>
      </w:pPr>
      <w:r>
        <w:rPr>
          <w:rFonts w:ascii="Calibri" w:hAnsi="Calibri"/>
          <w:b/>
          <w:color w:val="1F4D78"/>
          <w:sz w:val="21"/>
        </w:rPr>
        <w:t xml:space="preserve">Current solution. </w:t>
      </w:r>
      <w:r>
        <w:rPr>
          <w:rFonts w:ascii="Calibri" w:hAnsi="Calibri"/>
          <w:color w:val="243746"/>
          <w:sz w:val="21"/>
        </w:rPr>
        <w:t>Converted package, space, finance, staff, vehicle, artwork and progress fields are copied to the annual NTE Opportunity and displayed through the NTE record page and panel.</w:t>
      </w:r>
    </w:p>
    <w:p>
      <w:pPr>
        <w:spacing w:after="100"/>
      </w:pPr>
      <w:r>
        <w:rPr>
          <w:rFonts w:ascii="Calibri" w:hAnsi="Calibri"/>
          <w:b/>
          <w:color w:val="1F4D78"/>
          <w:sz w:val="21"/>
        </w:rPr>
        <w:t xml:space="preserve">Client need. </w:t>
      </w:r>
      <w:r>
        <w:rPr>
          <w:rFonts w:ascii="Calibri" w:hAnsi="Calibri"/>
          <w:color w:val="243746"/>
          <w:sz w:val="21"/>
        </w:rPr>
        <w:t>The client needs to manage a booking through approval, finance, logistics and completion while retaining prior years.</w:t>
      </w:r>
    </w:p>
    <w:p>
      <w:pPr>
        <w:spacing w:after="100"/>
      </w:pPr>
      <w:r>
        <w:rPr>
          <w:rFonts w:ascii="Calibri" w:hAnsi="Calibri"/>
          <w:b/>
          <w:color w:val="1F4D78"/>
          <w:sz w:val="21"/>
        </w:rPr>
        <w:t xml:space="preserve">Why this was necessary. </w:t>
      </w:r>
      <w:r>
        <w:rPr>
          <w:rFonts w:ascii="Calibri" w:hAnsi="Calibri"/>
          <w:color w:val="243746"/>
          <w:sz w:val="21"/>
        </w:rPr>
        <w:t>Those facts describe one organisation at one NTE edition, not the organisation forever. Putting them on Account would overwrite history; leaving them only on the original Lead would separate them from the approved booking.</w:t>
      </w:r>
    </w:p>
    <w:p>
      <w:pPr>
        <w:spacing w:after="140"/>
      </w:pPr>
      <w:r>
        <w:rPr>
          <w:rFonts w:ascii="Calibri" w:hAnsi="Calibri"/>
          <w:b/>
          <w:color w:val="1F4D78"/>
          <w:sz w:val="21"/>
        </w:rPr>
        <w:t xml:space="preserve">Assessment. </w:t>
      </w:r>
      <w:r>
        <w:rPr>
          <w:rFonts w:ascii="Calibri" w:hAnsi="Calibri"/>
          <w:color w:val="243746"/>
          <w:sz w:val="21"/>
        </w:rPr>
        <w:t>The placement follows the accepted model. High-volume repeat updates may eventually justify child records, but that was not part of the current brief.</w:t>
      </w:r>
    </w:p>
    <w:p>
      <w:pPr>
        <w:pStyle w:val="Heading3"/>
        <w:spacing w:before="200" w:after="60"/>
      </w:pPr>
      <w:r>
        <w:rPr>
          <w:rFonts w:ascii="Calibri" w:hAnsi="Calibri"/>
          <w:b/>
          <w:color w:val="1F4D78"/>
          <w:sz w:val="24"/>
        </w:rPr>
        <w:t>D17 — The dedicated NTE Management app simplifies standard Salesforce</w:t>
      </w:r>
    </w:p>
    <w:p>
      <w:pPr>
        <w:spacing w:after="80"/>
      </w:pPr>
      <w:r>
        <w:rPr>
          <w:rFonts w:ascii="Calibri" w:hAnsi="Calibri"/>
          <w:b/>
          <w:color w:val="2F6B4F"/>
          <w:sz w:val="19"/>
        </w:rPr>
        <w:t>Aligned</w:t>
      </w:r>
      <w:r>
        <w:rPr>
          <w:rFonts w:ascii="Calibri" w:hAnsi="Calibri"/>
          <w:color w:val="667580"/>
          <w:sz w:val="18"/>
        </w:rPr>
        <w:t xml:space="preserve">  |  M4 00:05:55–00:08:42; 00:37:28</w:t>
      </w:r>
    </w:p>
    <w:p>
      <w:pPr>
        <w:spacing w:before="40" w:after="60" w:line="259" w:lineRule="auto"/>
        <w:ind w:left="317" w:right="173"/>
        <w:shd w:fill="E8EEF5"/>
      </w:pPr>
      <w:r>
        <w:rPr>
          <w:rFonts w:ascii="Calibri" w:hAnsi="Calibri"/>
          <w:i/>
          <w:color w:val="1F4D78"/>
          <w:sz w:val="21"/>
        </w:rPr>
        <w:t>“that’s really helpful”</w:t>
      </w:r>
      <w:r>
        <w:rPr>
          <w:rFonts w:ascii="Calibri" w:hAnsi="Calibri"/>
          <w:color w:val="667580"/>
          <w:sz w:val="18"/>
        </w:rPr>
        <w:t xml:space="preserve">  — Kate responding to the dashboard demonstration, M4 transcript, 21 August 2026, 00:05:11</w:t>
      </w:r>
    </w:p>
    <w:p>
      <w:pPr>
        <w:spacing w:after="100"/>
      </w:pPr>
      <w:r>
        <w:rPr>
          <w:rFonts w:ascii="Calibri" w:hAnsi="Calibri"/>
          <w:b/>
          <w:color w:val="1F4D78"/>
          <w:sz w:val="21"/>
        </w:rPr>
        <w:t xml:space="preserve">Current solution. </w:t>
      </w:r>
      <w:r>
        <w:rPr>
          <w:rFonts w:ascii="Calibri" w:hAnsi="Calibri"/>
          <w:color w:val="243746"/>
          <w:sz w:val="21"/>
        </w:rPr>
        <w:t>A custom Lightning home/master panel presents pipeline counts, filters, milestone actions and links while keeping the underlying records standard.</w:t>
      </w:r>
    </w:p>
    <w:p>
      <w:pPr>
        <w:spacing w:after="100"/>
      </w:pPr>
      <w:r>
        <w:rPr>
          <w:rFonts w:ascii="Calibri" w:hAnsi="Calibri"/>
          <w:b/>
          <w:color w:val="1F4D78"/>
          <w:sz w:val="21"/>
        </w:rPr>
        <w:t xml:space="preserve">Client need. </w:t>
      </w:r>
      <w:r>
        <w:rPr>
          <w:rFonts w:ascii="Calibri" w:hAnsi="Calibri"/>
          <w:color w:val="243746"/>
          <w:sz w:val="21"/>
        </w:rPr>
        <w:t>The client is not highly technical and asked for a usable operating view rather than navigating many object tabs and fields. Kate and Tony responded positively to the demonstrated interface.</w:t>
      </w:r>
    </w:p>
    <w:p>
      <w:pPr>
        <w:spacing w:after="100"/>
      </w:pPr>
      <w:r>
        <w:rPr>
          <w:rFonts w:ascii="Calibri" w:hAnsi="Calibri"/>
          <w:b/>
          <w:color w:val="1F4D78"/>
          <w:sz w:val="21"/>
        </w:rPr>
        <w:t xml:space="preserve">Why this was necessary. </w:t>
      </w:r>
      <w:r>
        <w:rPr>
          <w:rFonts w:ascii="Calibri" w:hAnsi="Calibri"/>
          <w:color w:val="243746"/>
          <w:sz w:val="21"/>
        </w:rPr>
        <w:t>The interface reduces training burden and prevents users from searching for the correct field on a long Salesforce record. Standard objects underneath preserve reporting, permissions and maintainability.</w:t>
      </w:r>
    </w:p>
    <w:p>
      <w:pPr>
        <w:spacing w:after="140"/>
      </w:pPr>
      <w:r>
        <w:rPr>
          <w:rFonts w:ascii="Calibri" w:hAnsi="Calibri"/>
          <w:b/>
          <w:color w:val="1F4D78"/>
          <w:sz w:val="21"/>
        </w:rPr>
        <w:t xml:space="preserve">Assessment. </w:t>
      </w:r>
      <w:r>
        <w:rPr>
          <w:rFonts w:ascii="Calibri" w:hAnsi="Calibri"/>
          <w:color w:val="243746"/>
          <w:sz w:val="21"/>
        </w:rPr>
        <w:t>This is both an explicit usability response and an implicit architectural compromise: custom presentation, standard data.</w:t>
      </w:r>
    </w:p>
    <w:p>
      <w:pPr>
        <w:pStyle w:val="Heading3"/>
        <w:spacing w:before="200" w:after="60"/>
      </w:pPr>
      <w:r>
        <w:rPr>
          <w:rFonts w:ascii="Calibri" w:hAnsi="Calibri"/>
          <w:b/>
          <w:color w:val="1F4D78"/>
          <w:sz w:val="24"/>
        </w:rPr>
        <w:t>D18 — A unique booking reference joins later submissions to the booking</w:t>
      </w:r>
    </w:p>
    <w:p>
      <w:pPr>
        <w:spacing w:after="80"/>
      </w:pPr>
      <w:r>
        <w:rPr>
          <w:rFonts w:ascii="Calibri" w:hAnsi="Calibri"/>
          <w:b/>
          <w:color w:val="2F6B4F"/>
          <w:sz w:val="19"/>
        </w:rPr>
        <w:t>Aligned</w:t>
      </w:r>
      <w:r>
        <w:rPr>
          <w:rFonts w:ascii="Calibri" w:hAnsi="Calibri"/>
          <w:color w:val="667580"/>
          <w:sz w:val="18"/>
        </w:rPr>
        <w:t xml:space="preserve">  |  M4 00:23:33; E6; E12</w:t>
      </w:r>
    </w:p>
    <w:p>
      <w:pPr>
        <w:spacing w:after="100"/>
      </w:pPr>
      <w:r>
        <w:rPr>
          <w:rFonts w:ascii="Calibri" w:hAnsi="Calibri"/>
          <w:b/>
          <w:color w:val="1F4D78"/>
          <w:sz w:val="21"/>
        </w:rPr>
        <w:t xml:space="preserve">Current solution. </w:t>
      </w:r>
      <w:r>
        <w:rPr>
          <w:rFonts w:ascii="Calibri" w:hAnsi="Calibri"/>
          <w:color w:val="243746"/>
          <w:sz w:val="21"/>
        </w:rPr>
        <w:t>Commercial records receive a booking reference that is included in correspondence and required by staff, heavy-vehicle and logo update routes.</w:t>
      </w:r>
    </w:p>
    <w:p>
      <w:pPr>
        <w:spacing w:after="100"/>
      </w:pPr>
      <w:r>
        <w:rPr>
          <w:rFonts w:ascii="Calibri" w:hAnsi="Calibri"/>
          <w:b/>
          <w:color w:val="1F4D78"/>
          <w:sz w:val="21"/>
        </w:rPr>
        <w:t xml:space="preserve">Client need. </w:t>
      </w:r>
      <w:r>
        <w:rPr>
          <w:rFonts w:ascii="Calibri" w:hAnsi="Calibri"/>
          <w:color w:val="243746"/>
          <w:sz w:val="21"/>
        </w:rPr>
        <w:t>Kate asked whether an application reference would relate to a booking number and wanted later staff/logistics information connected without reopening the whole application.</w:t>
      </w:r>
    </w:p>
    <w:p>
      <w:pPr>
        <w:spacing w:after="100"/>
      </w:pPr>
      <w:r>
        <w:rPr>
          <w:rFonts w:ascii="Calibri" w:hAnsi="Calibri"/>
          <w:b/>
          <w:color w:val="1F4D78"/>
          <w:sz w:val="21"/>
        </w:rPr>
        <w:t xml:space="preserve">Why this was necessary. </w:t>
      </w:r>
      <w:r>
        <w:rPr>
          <w:rFonts w:ascii="Calibri" w:hAnsi="Calibri"/>
          <w:color w:val="243746"/>
          <w:sz w:val="21"/>
        </w:rPr>
        <w:t>A supplementary form cannot rely on the user being signed into Salesforce. The reference provides a stable join key across email, Xero payment reference and later forms.</w:t>
      </w:r>
    </w:p>
    <w:p>
      <w:pPr>
        <w:spacing w:after="140"/>
      </w:pPr>
      <w:r>
        <w:rPr>
          <w:rFonts w:ascii="Calibri" w:hAnsi="Calibri"/>
          <w:b/>
          <w:color w:val="1F4D78"/>
          <w:sz w:val="21"/>
        </w:rPr>
        <w:t xml:space="preserve">Assessment. </w:t>
      </w:r>
      <w:r>
        <w:rPr>
          <w:rFonts w:ascii="Calibri" w:hAnsi="Calibri"/>
          <w:color w:val="243746"/>
          <w:sz w:val="21"/>
        </w:rPr>
        <w:t>The identifier is justified. Using it as the only effective credential is a separate security assumption that requires review.</w:t>
      </w:r>
    </w:p>
    <w:p>
      <w:pPr>
        <w:pStyle w:val="Heading3"/>
        <w:spacing w:before="200" w:after="60"/>
      </w:pPr>
      <w:r>
        <w:rPr>
          <w:rFonts w:ascii="Calibri" w:hAnsi="Calibri"/>
          <w:b/>
          <w:color w:val="1F4D78"/>
          <w:sz w:val="24"/>
        </w:rPr>
        <w:t>D19 — Later changes use separate update forms</w:t>
      </w:r>
    </w:p>
    <w:p>
      <w:pPr>
        <w:spacing w:after="80"/>
      </w:pPr>
      <w:r>
        <w:rPr>
          <w:rFonts w:ascii="Calibri" w:hAnsi="Calibri"/>
          <w:b/>
          <w:color w:val="2F6B4F"/>
          <w:sz w:val="19"/>
        </w:rPr>
        <w:t>Aligned</w:t>
      </w:r>
      <w:r>
        <w:rPr>
          <w:rFonts w:ascii="Calibri" w:hAnsi="Calibri"/>
          <w:color w:val="667580"/>
          <w:sz w:val="18"/>
        </w:rPr>
        <w:t xml:space="preserve">  |  M4 00:21:48; E6; E13</w:t>
      </w:r>
    </w:p>
    <w:p>
      <w:pPr>
        <w:spacing w:before="40" w:after="60" w:line="259" w:lineRule="auto"/>
        <w:ind w:left="317" w:right="173"/>
        <w:shd w:fill="E8EEF5"/>
      </w:pPr>
      <w:r>
        <w:rPr>
          <w:rFonts w:ascii="Calibri" w:hAnsi="Calibri"/>
          <w:i/>
          <w:color w:val="1F4D78"/>
          <w:sz w:val="21"/>
        </w:rPr>
        <w:t>“If it means getting into the whole application, I would prefer to keep it a separate form.”</w:t>
      </w:r>
      <w:r>
        <w:rPr>
          <w:rFonts w:ascii="Calibri" w:hAnsi="Calibri"/>
          <w:color w:val="667580"/>
          <w:sz w:val="18"/>
        </w:rPr>
        <w:t xml:space="preserve">  — Kate, email ‘Forms’, 18 August 2026</w:t>
      </w:r>
    </w:p>
    <w:p>
      <w:pPr>
        <w:spacing w:after="100"/>
      </w:pPr>
      <w:r>
        <w:rPr>
          <w:rFonts w:ascii="Calibri" w:hAnsi="Calibri"/>
          <w:b/>
          <w:color w:val="1F4D78"/>
          <w:sz w:val="21"/>
        </w:rPr>
        <w:t xml:space="preserve">Current solution. </w:t>
      </w:r>
      <w:r>
        <w:rPr>
          <w:rFonts w:ascii="Calibri" w:hAnsi="Calibri"/>
          <w:color w:val="243746"/>
          <w:sz w:val="21"/>
        </w:rPr>
        <w:t>The original commercial application is not reopened. Staff and heavy-vehicle details are collected through dedicated booking-reference forms closer to the event.</w:t>
      </w:r>
    </w:p>
    <w:p>
      <w:pPr>
        <w:spacing w:after="100"/>
      </w:pPr>
      <w:r>
        <w:rPr>
          <w:rFonts w:ascii="Calibri" w:hAnsi="Calibri"/>
          <w:b/>
          <w:color w:val="1F4D78"/>
          <w:sz w:val="21"/>
        </w:rPr>
        <w:t xml:space="preserve">Client need. </w:t>
      </w:r>
      <w:r>
        <w:rPr>
          <w:rFonts w:ascii="Calibri" w:hAnsi="Calibri"/>
          <w:color w:val="243746"/>
          <w:sz w:val="21"/>
        </w:rPr>
        <w:t>Applicants often do not know names and logistics at booking time. By 24 August Kate explicitly accepted a separate post-payment staff form before a deadline.</w:t>
      </w:r>
    </w:p>
    <w:p>
      <w:pPr>
        <w:spacing w:after="100"/>
      </w:pPr>
      <w:r>
        <w:rPr>
          <w:rFonts w:ascii="Calibri" w:hAnsi="Calibri"/>
          <w:b/>
          <w:color w:val="1F4D78"/>
          <w:sz w:val="21"/>
        </w:rPr>
        <w:t xml:space="preserve">Why this was necessary. </w:t>
      </w:r>
      <w:r>
        <w:rPr>
          <w:rFonts w:ascii="Calibri" w:hAnsi="Calibri"/>
          <w:color w:val="243746"/>
          <w:sz w:val="21"/>
        </w:rPr>
        <w:t>Reopening the full application would expose already approved commercial and finance information to accidental change and would require authentication/versioning that native Web-to-Lead does not provide.</w:t>
      </w:r>
    </w:p>
    <w:p>
      <w:pPr>
        <w:spacing w:after="140"/>
      </w:pPr>
      <w:r>
        <w:rPr>
          <w:rFonts w:ascii="Calibri" w:hAnsi="Calibri"/>
          <w:b/>
          <w:color w:val="1F4D78"/>
          <w:sz w:val="21"/>
        </w:rPr>
        <w:t xml:space="preserve">Assessment. </w:t>
      </w:r>
      <w:r>
        <w:rPr>
          <w:rFonts w:ascii="Calibri" w:hAnsi="Calibri"/>
          <w:color w:val="243746"/>
          <w:sz w:val="21"/>
        </w:rPr>
        <w:t>The separate-form decision supersedes the early ‘return to the form’ idea and the proposed click-to-add pattern.</w:t>
      </w:r>
    </w:p>
    <w:p>
      <w:pPr>
        <w:pStyle w:val="Heading3"/>
        <w:spacing w:before="200" w:after="60"/>
      </w:pPr>
      <w:r>
        <w:rPr>
          <w:rFonts w:ascii="Calibri" w:hAnsi="Calibri"/>
          <w:b/>
          <w:color w:val="1F4D78"/>
          <w:sz w:val="24"/>
        </w:rPr>
        <w:t>D20 — Successful update submissions modify the Opportunity rather than remaining as duplicate Leads</w:t>
      </w:r>
    </w:p>
    <w:p>
      <w:pPr>
        <w:spacing w:after="80"/>
      </w:pPr>
      <w:r>
        <w:rPr>
          <w:rFonts w:ascii="Calibri" w:hAnsi="Calibri"/>
          <w:b/>
          <w:color w:val="6A4C93"/>
          <w:sz w:val="19"/>
        </w:rPr>
        <w:t>Review</w:t>
      </w:r>
      <w:r>
        <w:rPr>
          <w:rFonts w:ascii="Calibri" w:hAnsi="Calibri"/>
          <w:color w:val="667580"/>
          <w:sz w:val="18"/>
        </w:rPr>
        <w:t xml:space="preserve">  |  R1; implicit from D15–D19</w:t>
      </w:r>
    </w:p>
    <w:p>
      <w:pPr>
        <w:spacing w:after="100"/>
      </w:pPr>
      <w:r>
        <w:rPr>
          <w:rFonts w:ascii="Calibri" w:hAnsi="Calibri"/>
          <w:b/>
          <w:color w:val="1F4D78"/>
          <w:sz w:val="21"/>
        </w:rPr>
        <w:t xml:space="preserve">Current solution. </w:t>
      </w:r>
      <w:r>
        <w:rPr>
          <w:rFonts w:ascii="Calibri" w:hAnsi="Calibri"/>
          <w:color w:val="243746"/>
          <w:sz w:val="21"/>
        </w:rPr>
        <w:t>The update service finds the annual Opportunity by reference, applies staff/logistics/logo fields and removes the successful temporary update Lead; failures are retained for investigation.</w:t>
      </w:r>
    </w:p>
    <w:p>
      <w:pPr>
        <w:spacing w:after="100"/>
      </w:pPr>
      <w:r>
        <w:rPr>
          <w:rFonts w:ascii="Calibri" w:hAnsi="Calibri"/>
          <w:b/>
          <w:color w:val="1F4D78"/>
          <w:sz w:val="21"/>
        </w:rPr>
        <w:t xml:space="preserve">Client need. </w:t>
      </w:r>
      <w:r>
        <w:rPr>
          <w:rFonts w:ascii="Calibri" w:hAnsi="Calibri"/>
          <w:color w:val="243746"/>
          <w:sz w:val="21"/>
        </w:rPr>
        <w:t>The client wants one current booking record, not a new unrelated person/application for every update.</w:t>
      </w:r>
    </w:p>
    <w:p>
      <w:pPr>
        <w:spacing w:after="100"/>
      </w:pPr>
      <w:r>
        <w:rPr>
          <w:rFonts w:ascii="Calibri" w:hAnsi="Calibri"/>
          <w:b/>
          <w:color w:val="1F4D78"/>
          <w:sz w:val="21"/>
        </w:rPr>
        <w:t xml:space="preserve">Why this was necessary. </w:t>
      </w:r>
      <w:r>
        <w:rPr>
          <w:rFonts w:ascii="Calibri" w:hAnsi="Calibri"/>
          <w:color w:val="243746"/>
          <w:sz w:val="21"/>
        </w:rPr>
        <w:t>Leaving each supplementary submission as an active Lead would clutter approval queues and make staff check multiple records to determine the latest truth. Retaining failures provides a recovery path.</w:t>
      </w:r>
    </w:p>
    <w:p>
      <w:pPr>
        <w:spacing w:after="140"/>
      </w:pPr>
      <w:r>
        <w:rPr>
          <w:rFonts w:ascii="Calibri" w:hAnsi="Calibri"/>
          <w:b/>
          <w:color w:val="1F4D78"/>
          <w:sz w:val="21"/>
        </w:rPr>
        <w:t xml:space="preserve">Assessment. </w:t>
      </w:r>
      <w:r>
        <w:rPr>
          <w:rFonts w:ascii="Calibri" w:hAnsi="Calibri"/>
          <w:color w:val="243746"/>
          <w:sz w:val="21"/>
        </w:rPr>
        <w:t>The consolidation is technically sensible, but deletion/retention behaviour was not explicitly agreed and should be approved under data-retention and audit requirements.</w:t>
      </w:r>
    </w:p>
    <w:p>
      <w:pPr>
        <w:pStyle w:val="Heading3"/>
        <w:spacing w:before="200" w:after="60"/>
      </w:pPr>
      <w:r>
        <w:rPr>
          <w:rFonts w:ascii="Calibri" w:hAnsi="Calibri"/>
          <w:b/>
          <w:color w:val="1F4D78"/>
          <w:sz w:val="24"/>
        </w:rPr>
        <w:t>D21 — Historical migration starts from a consolidated, cleaned source</w:t>
      </w:r>
    </w:p>
    <w:p>
      <w:pPr>
        <w:spacing w:after="80"/>
      </w:pPr>
      <w:r>
        <w:rPr>
          <w:rFonts w:ascii="Calibri" w:hAnsi="Calibri"/>
          <w:b/>
          <w:color w:val="7A5A00"/>
          <w:sz w:val="19"/>
        </w:rPr>
        <w:t>Partial</w:t>
      </w:r>
      <w:r>
        <w:rPr>
          <w:rFonts w:ascii="Calibri" w:hAnsi="Calibri"/>
          <w:color w:val="667580"/>
          <w:sz w:val="18"/>
        </w:rPr>
        <w:t xml:space="preserve">  |  E4; E5; E7; E14</w:t>
      </w:r>
    </w:p>
    <w:p>
      <w:pPr>
        <w:spacing w:before="40" w:after="60" w:line="259" w:lineRule="auto"/>
        <w:ind w:left="317" w:right="173"/>
        <w:shd w:fill="E8EEF5"/>
      </w:pPr>
      <w:r>
        <w:rPr>
          <w:rFonts w:ascii="Calibri" w:hAnsi="Calibri"/>
          <w:i/>
          <w:color w:val="1F4D78"/>
          <w:sz w:val="21"/>
        </w:rPr>
        <w:t>“The file also provides historical NTE data … If you are able to upload this to Salesforce, that would be the ideal outcome.”</w:t>
      </w:r>
      <w:r>
        <w:rPr>
          <w:rFonts w:ascii="Calibri" w:hAnsi="Calibri"/>
          <w:color w:val="667580"/>
          <w:sz w:val="18"/>
        </w:rPr>
        <w:t xml:space="preserve">  — Kate, email ‘NTE Database’, 12 August 2026</w:t>
      </w:r>
    </w:p>
    <w:p>
      <w:pPr>
        <w:spacing w:after="100"/>
      </w:pPr>
      <w:r>
        <w:rPr>
          <w:rFonts w:ascii="Calibri" w:hAnsi="Calibri"/>
          <w:b/>
          <w:color w:val="1F4D78"/>
          <w:sz w:val="21"/>
        </w:rPr>
        <w:t xml:space="preserve">Current solution. </w:t>
      </w:r>
      <w:r>
        <w:rPr>
          <w:rFonts w:ascii="Calibri" w:hAnsi="Calibri"/>
          <w:color w:val="243746"/>
          <w:sz w:val="21"/>
        </w:rPr>
        <w:t>The repository contains migration metadata, list views, mapping notes and cleanup decisions intended to produce Accounts, Contacts and historic relationship flags.</w:t>
      </w:r>
    </w:p>
    <w:p>
      <w:pPr>
        <w:spacing w:after="100"/>
      </w:pPr>
      <w:r>
        <w:rPr>
          <w:rFonts w:ascii="Calibri" w:hAnsi="Calibri"/>
          <w:b/>
          <w:color w:val="1F4D78"/>
          <w:sz w:val="21"/>
        </w:rPr>
        <w:t xml:space="preserve">Client need. </w:t>
      </w:r>
      <w:r>
        <w:rPr>
          <w:rFonts w:ascii="Calibri" w:hAnsi="Calibri"/>
          <w:color w:val="243746"/>
          <w:sz w:val="21"/>
        </w:rPr>
        <w:t>Kate consolidated several sheets, asked for them to be uploaded and later clarified which duplicates, unnamed records and liaisons should be removed or retained.</w:t>
      </w:r>
    </w:p>
    <w:p>
      <w:pPr>
        <w:spacing w:after="100"/>
      </w:pPr>
      <w:r>
        <w:rPr>
          <w:rFonts w:ascii="Calibri" w:hAnsi="Calibri"/>
          <w:b/>
          <w:color w:val="1F4D78"/>
          <w:sz w:val="21"/>
        </w:rPr>
        <w:t xml:space="preserve">Why this was necessary. </w:t>
      </w:r>
      <w:r>
        <w:rPr>
          <w:rFonts w:ascii="Calibri" w:hAnsi="Calibri"/>
          <w:color w:val="243746"/>
          <w:sz w:val="21"/>
        </w:rPr>
        <w:t>Invitation lists and matching are only reliable if the starting database is clean. Migrating raw spreadsheet duplication would undermine the new model immediately.</w:t>
      </w:r>
    </w:p>
    <w:p>
      <w:pPr>
        <w:spacing w:after="140"/>
      </w:pPr>
      <w:r>
        <w:rPr>
          <w:rFonts w:ascii="Calibri" w:hAnsi="Calibri"/>
          <w:b/>
          <w:color w:val="1F4D78"/>
          <w:sz w:val="21"/>
        </w:rPr>
        <w:t xml:space="preserve">Assessment. </w:t>
      </w:r>
      <w:r>
        <w:rPr>
          <w:rFonts w:ascii="Calibri" w:hAnsi="Calibri"/>
          <w:color w:val="243746"/>
          <w:sz w:val="21"/>
        </w:rPr>
        <w:t>The design work is present, but the latest 1 September request says the database and lists are still required urgently. Production completion is not evidenced.</w:t>
      </w:r>
    </w:p>
    <w:p>
      <w:pPr>
        <w:pStyle w:val="Heading3"/>
        <w:spacing w:before="200" w:after="60"/>
      </w:pPr>
      <w:r>
        <w:rPr>
          <w:rFonts w:ascii="Calibri" w:hAnsi="Calibri"/>
          <w:b/>
          <w:color w:val="1F4D78"/>
          <w:sz w:val="24"/>
        </w:rPr>
        <w:t>D22 — Do-not-invite status is retained and filterable</w:t>
      </w:r>
    </w:p>
    <w:p>
      <w:pPr>
        <w:spacing w:after="80"/>
      </w:pPr>
      <w:r>
        <w:rPr>
          <w:rFonts w:ascii="Calibri" w:hAnsi="Calibri"/>
          <w:b/>
          <w:color w:val="2F6B4F"/>
          <w:sz w:val="19"/>
        </w:rPr>
        <w:t>Aligned</w:t>
      </w:r>
      <w:r>
        <w:rPr>
          <w:rFonts w:ascii="Calibri" w:hAnsi="Calibri"/>
          <w:color w:val="667580"/>
          <w:sz w:val="18"/>
        </w:rPr>
        <w:t xml:space="preserve">  |  M4 00:28:14–00:30:44; E15</w:t>
      </w:r>
    </w:p>
    <w:p>
      <w:pPr>
        <w:spacing w:before="40" w:after="60" w:line="259" w:lineRule="auto"/>
        <w:ind w:left="317" w:right="173"/>
        <w:shd w:fill="E8EEF5"/>
      </w:pPr>
      <w:r>
        <w:rPr>
          <w:rFonts w:ascii="Calibri" w:hAnsi="Calibri"/>
          <w:i/>
          <w:color w:val="1F4D78"/>
          <w:sz w:val="21"/>
        </w:rPr>
        <w:t>“the reason we keep them on the database is so we know that if they come up again, we do not invite them”</w:t>
      </w:r>
      <w:r>
        <w:rPr>
          <w:rFonts w:ascii="Calibri" w:hAnsi="Calibri"/>
          <w:color w:val="667580"/>
          <w:sz w:val="18"/>
        </w:rPr>
        <w:t xml:space="preserve">  — Kate, M4 transcript, 21 August 2026, 00:29:13</w:t>
      </w:r>
    </w:p>
    <w:p>
      <w:pPr>
        <w:spacing w:after="100"/>
      </w:pPr>
      <w:r>
        <w:rPr>
          <w:rFonts w:ascii="Calibri" w:hAnsi="Calibri"/>
          <w:b/>
          <w:color w:val="1F4D78"/>
          <w:sz w:val="21"/>
        </w:rPr>
        <w:t xml:space="preserve">Current solution. </w:t>
      </w:r>
      <w:r>
        <w:rPr>
          <w:rFonts w:ascii="Calibri" w:hAnsi="Calibri"/>
          <w:color w:val="243746"/>
          <w:sz w:val="21"/>
        </w:rPr>
        <w:t>Account/Contact fields and list filters retain excluded organisations and let campaign lists omit them.</w:t>
      </w:r>
    </w:p>
    <w:p>
      <w:pPr>
        <w:spacing w:after="100"/>
      </w:pPr>
      <w:r>
        <w:rPr>
          <w:rFonts w:ascii="Calibri" w:hAnsi="Calibri"/>
          <w:b/>
          <w:color w:val="1F4D78"/>
          <w:sz w:val="21"/>
        </w:rPr>
        <w:t xml:space="preserve">Client need. </w:t>
      </w:r>
      <w:r>
        <w:rPr>
          <w:rFonts w:ascii="Calibri" w:hAnsi="Calibri"/>
          <w:color w:val="243746"/>
          <w:sz w:val="21"/>
        </w:rPr>
        <w:t>Kate identified recruitment agencies and a small number of problematic organisations that must remain known but not be invited.</w:t>
      </w:r>
    </w:p>
    <w:p>
      <w:pPr>
        <w:spacing w:after="100"/>
      </w:pPr>
      <w:r>
        <w:rPr>
          <w:rFonts w:ascii="Calibri" w:hAnsi="Calibri"/>
          <w:b/>
          <w:color w:val="1F4D78"/>
          <w:sz w:val="21"/>
        </w:rPr>
        <w:t xml:space="preserve">Why this was necessary. </w:t>
      </w:r>
      <w:r>
        <w:rPr>
          <w:rFonts w:ascii="Calibri" w:hAnsi="Calibri"/>
          <w:color w:val="243746"/>
          <w:sz w:val="21"/>
        </w:rPr>
        <w:t>Deleting an excluded record loses the warning and makes it more likely someone will re-add and invite it. A persistent, filterable flag preserves institutional memory.</w:t>
      </w:r>
    </w:p>
    <w:p>
      <w:pPr>
        <w:spacing w:after="140"/>
      </w:pPr>
      <w:r>
        <w:rPr>
          <w:rFonts w:ascii="Calibri" w:hAnsi="Calibri"/>
          <w:b/>
          <w:color w:val="1F4D78"/>
          <w:sz w:val="21"/>
        </w:rPr>
        <w:t xml:space="preserve">Assessment. </w:t>
      </w:r>
      <w:r>
        <w:rPr>
          <w:rFonts w:ascii="Calibri" w:hAnsi="Calibri"/>
          <w:color w:val="243746"/>
          <w:sz w:val="21"/>
        </w:rPr>
        <w:t>This is a direct client need and a strong reason for keeping, rather than deleting, certain legacy records.</w:t>
      </w:r>
    </w:p>
    <w:p>
      <w:pPr>
        <w:pStyle w:val="Heading3"/>
        <w:spacing w:before="200" w:after="60"/>
      </w:pPr>
      <w:r>
        <w:rPr>
          <w:rFonts w:ascii="Calibri" w:hAnsi="Calibri"/>
          <w:b/>
          <w:color w:val="1F4D78"/>
          <w:sz w:val="24"/>
        </w:rPr>
        <w:t>D23 — Campaign segments derive from structured history and category</w:t>
      </w:r>
    </w:p>
    <w:p>
      <w:pPr>
        <w:spacing w:after="80"/>
      </w:pPr>
      <w:r>
        <w:rPr>
          <w:rFonts w:ascii="Calibri" w:hAnsi="Calibri"/>
          <w:b/>
          <w:color w:val="7A5A00"/>
          <w:sz w:val="19"/>
        </w:rPr>
        <w:t>Partial</w:t>
      </w:r>
      <w:r>
        <w:rPr>
          <w:rFonts w:ascii="Calibri" w:hAnsi="Calibri"/>
          <w:color w:val="667580"/>
          <w:sz w:val="18"/>
        </w:rPr>
        <w:t xml:space="preserve">  |  E14; E15; E18</w:t>
      </w:r>
    </w:p>
    <w:p>
      <w:pPr>
        <w:spacing w:after="100"/>
      </w:pPr>
      <w:r>
        <w:rPr>
          <w:rFonts w:ascii="Calibri" w:hAnsi="Calibri"/>
          <w:b/>
          <w:color w:val="1F4D78"/>
          <w:sz w:val="21"/>
        </w:rPr>
        <w:t xml:space="preserve">Current solution. </w:t>
      </w:r>
      <w:r>
        <w:rPr>
          <w:rFonts w:ascii="Calibri" w:hAnsi="Calibri"/>
          <w:color w:val="243746"/>
          <w:sz w:val="21"/>
        </w:rPr>
        <w:t>Salesforce list views and historic flags can separate prior sponsors, other commercial contacts and non-paying/charity/government audiences while excluding do-not-invite records.</w:t>
      </w:r>
    </w:p>
    <w:p>
      <w:pPr>
        <w:spacing w:after="100"/>
      </w:pPr>
      <w:r>
        <w:rPr>
          <w:rFonts w:ascii="Calibri" w:hAnsi="Calibri"/>
          <w:b/>
          <w:color w:val="1F4D78"/>
          <w:sz w:val="21"/>
        </w:rPr>
        <w:t xml:space="preserve">Client need. </w:t>
      </w:r>
      <w:r>
        <w:rPr>
          <w:rFonts w:ascii="Calibri" w:hAnsi="Calibri"/>
          <w:color w:val="243746"/>
          <w:sz w:val="21"/>
        </w:rPr>
        <w:t>On 25 August Kate specified three email audiences. On 1 September she replaced separate launch webinars with one webinar for Partners/Sponsors and Exhibitors.</w:t>
      </w:r>
    </w:p>
    <w:p>
      <w:pPr>
        <w:spacing w:after="100"/>
      </w:pPr>
      <w:r>
        <w:rPr>
          <w:rFonts w:ascii="Calibri" w:hAnsi="Calibri"/>
          <w:b/>
          <w:color w:val="1F4D78"/>
          <w:sz w:val="21"/>
        </w:rPr>
        <w:t xml:space="preserve">Why this was necessary. </w:t>
      </w:r>
      <w:r>
        <w:rPr>
          <w:rFonts w:ascii="Calibri" w:hAnsi="Calibri"/>
          <w:color w:val="243746"/>
          <w:sz w:val="21"/>
        </w:rPr>
        <w:t>Filterable lists prevent duplicate or inappropriate invitations and make outreach repeatable. However, the audience rules must be reconciled with the new single-webinar plan before final sends.</w:t>
      </w:r>
    </w:p>
    <w:p>
      <w:pPr>
        <w:spacing w:after="140"/>
      </w:pPr>
      <w:r>
        <w:rPr>
          <w:rFonts w:ascii="Calibri" w:hAnsi="Calibri"/>
          <w:b/>
          <w:color w:val="1F4D78"/>
          <w:sz w:val="21"/>
        </w:rPr>
        <w:t xml:space="preserve">Assessment. </w:t>
      </w:r>
      <w:r>
        <w:rPr>
          <w:rFonts w:ascii="Calibri" w:hAnsi="Calibri"/>
          <w:color w:val="243746"/>
          <w:sz w:val="21"/>
        </w:rPr>
        <w:t>The data structure is right, but the final list definitions and production outputs remain to be confirmed.</w:t>
      </w:r>
    </w:p>
    <w:p>
      <w:pPr>
        <w:pStyle w:val="Heading3"/>
        <w:spacing w:before="200" w:after="60"/>
      </w:pPr>
      <w:r>
        <w:rPr>
          <w:rFonts w:ascii="Calibri" w:hAnsi="Calibri"/>
          <w:b/>
          <w:color w:val="1F4D78"/>
          <w:sz w:val="24"/>
        </w:rPr>
        <w:t>D24 — Main, finance, secondary and internal contacts are not conflated</w:t>
      </w:r>
    </w:p>
    <w:p>
      <w:pPr>
        <w:spacing w:after="80"/>
      </w:pPr>
      <w:r>
        <w:rPr>
          <w:rFonts w:ascii="Calibri" w:hAnsi="Calibri"/>
          <w:b/>
          <w:color w:val="2F6B4F"/>
          <w:sz w:val="19"/>
        </w:rPr>
        <w:t>Aligned</w:t>
      </w:r>
      <w:r>
        <w:rPr>
          <w:rFonts w:ascii="Calibri" w:hAnsi="Calibri"/>
          <w:color w:val="667580"/>
          <w:sz w:val="18"/>
        </w:rPr>
        <w:t xml:space="preserve">  |  M3; E6; E16</w:t>
      </w:r>
    </w:p>
    <w:p>
      <w:pPr>
        <w:spacing w:after="100"/>
      </w:pPr>
      <w:r>
        <w:rPr>
          <w:rFonts w:ascii="Calibri" w:hAnsi="Calibri"/>
          <w:b/>
          <w:color w:val="1F4D78"/>
          <w:sz w:val="21"/>
        </w:rPr>
        <w:t xml:space="preserve">Current solution. </w:t>
      </w:r>
      <w:r>
        <w:rPr>
          <w:rFonts w:ascii="Calibri" w:hAnsi="Calibri"/>
          <w:color w:val="243746"/>
          <w:sz w:val="21"/>
        </w:rPr>
        <w:t>The forms collect the main NTE contact and a dedicated finance contact, with additional/on-day and internal liaison concepts stored separately where applicable.</w:t>
      </w:r>
    </w:p>
    <w:p>
      <w:pPr>
        <w:spacing w:after="100"/>
      </w:pPr>
      <w:r>
        <w:rPr>
          <w:rFonts w:ascii="Calibri" w:hAnsi="Calibri"/>
          <w:b/>
          <w:color w:val="1F4D78"/>
          <w:sz w:val="21"/>
        </w:rPr>
        <w:t xml:space="preserve">Client need. </w:t>
      </w:r>
      <w:r>
        <w:rPr>
          <w:rFonts w:ascii="Calibri" w:hAnsi="Calibri"/>
          <w:color w:val="243746"/>
          <w:sz w:val="21"/>
        </w:rPr>
        <w:t>Finance asked for a second route when invoices stall, and Kate asked that main versus invoicing responsibilities be reportable.</w:t>
      </w:r>
    </w:p>
    <w:p>
      <w:pPr>
        <w:spacing w:after="100"/>
      </w:pPr>
      <w:r>
        <w:rPr>
          <w:rFonts w:ascii="Calibri" w:hAnsi="Calibri"/>
          <w:b/>
          <w:color w:val="1F4D78"/>
          <w:sz w:val="21"/>
        </w:rPr>
        <w:t xml:space="preserve">Why this was necessary. </w:t>
      </w:r>
      <w:r>
        <w:rPr>
          <w:rFonts w:ascii="Calibri" w:hAnsi="Calibri"/>
          <w:color w:val="243746"/>
          <w:sz w:val="21"/>
        </w:rPr>
        <w:t>One email address cannot reliably serve event operations, contractual authority and accounts payable. Distinct roles improve reminders, finance escalation and staff handover.</w:t>
      </w:r>
    </w:p>
    <w:p>
      <w:pPr>
        <w:spacing w:after="140"/>
      </w:pPr>
      <w:r>
        <w:rPr>
          <w:rFonts w:ascii="Calibri" w:hAnsi="Calibri"/>
          <w:b/>
          <w:color w:val="1F4D78"/>
          <w:sz w:val="21"/>
        </w:rPr>
        <w:t xml:space="preserve">Assessment. </w:t>
      </w:r>
      <w:r>
        <w:rPr>
          <w:rFonts w:ascii="Calibri" w:hAnsi="Calibri"/>
          <w:color w:val="243746"/>
          <w:sz w:val="21"/>
        </w:rPr>
        <w:t>The form changes are implemented. Salesforce licence limits mean Rachel may need a CSV/email operating process rather than direct access.</w:t>
      </w:r>
    </w:p>
    <w:p>
      <w:pPr>
        <w:pStyle w:val="Heading3"/>
        <w:spacing w:before="200" w:after="60"/>
      </w:pPr>
      <w:r>
        <w:rPr>
          <w:rFonts w:ascii="Calibri" w:hAnsi="Calibri"/>
          <w:b/>
          <w:color w:val="1F4D78"/>
          <w:sz w:val="24"/>
        </w:rPr>
        <w:t>D25 — The NTE package is additive and isolated from legacy CRM behaviour</w:t>
      </w:r>
    </w:p>
    <w:p>
      <w:pPr>
        <w:spacing w:after="80"/>
      </w:pPr>
      <w:r>
        <w:rPr>
          <w:rFonts w:ascii="Calibri" w:hAnsi="Calibri"/>
          <w:b/>
          <w:color w:val="2F6B4F"/>
          <w:sz w:val="19"/>
        </w:rPr>
        <w:t>Aligned</w:t>
      </w:r>
      <w:r>
        <w:rPr>
          <w:rFonts w:ascii="Calibri" w:hAnsi="Calibri"/>
          <w:color w:val="667580"/>
          <w:sz w:val="18"/>
        </w:rPr>
        <w:t xml:space="preserve">  |  M1 00:19:13; R1</w:t>
      </w:r>
    </w:p>
    <w:p>
      <w:pPr>
        <w:spacing w:after="100"/>
      </w:pPr>
      <w:r>
        <w:rPr>
          <w:rFonts w:ascii="Calibri" w:hAnsi="Calibri"/>
          <w:b/>
          <w:color w:val="1F4D78"/>
          <w:sz w:val="21"/>
        </w:rPr>
        <w:t xml:space="preserve">Current solution. </w:t>
      </w:r>
      <w:r>
        <w:rPr>
          <w:rFonts w:ascii="Calibri" w:hAnsi="Calibri"/>
          <w:color w:val="243746"/>
          <w:sz w:val="21"/>
        </w:rPr>
        <w:t>The dedicated app, fields, flows, reports and forms are added without redesigning unrelated Mission Community objects or production processes; current form configuration targets a sandbox.</w:t>
      </w:r>
    </w:p>
    <w:p>
      <w:pPr>
        <w:spacing w:after="100"/>
      </w:pPr>
      <w:r>
        <w:rPr>
          <w:rFonts w:ascii="Calibri" w:hAnsi="Calibri"/>
          <w:b/>
          <w:color w:val="1F4D78"/>
          <w:sz w:val="21"/>
        </w:rPr>
        <w:t xml:space="preserve">Client need. </w:t>
      </w:r>
      <w:r>
        <w:rPr>
          <w:rFonts w:ascii="Calibri" w:hAnsi="Calibri"/>
          <w:color w:val="243746"/>
          <w:sz w:val="21"/>
        </w:rPr>
        <w:t>The team agreed to an isolated test environment so the work could be developed without affecting live processes.</w:t>
      </w:r>
    </w:p>
    <w:p>
      <w:pPr>
        <w:spacing w:after="100"/>
      </w:pPr>
      <w:r>
        <w:rPr>
          <w:rFonts w:ascii="Calibri" w:hAnsi="Calibri"/>
          <w:b/>
          <w:color w:val="1F4D78"/>
          <w:sz w:val="21"/>
        </w:rPr>
        <w:t xml:space="preserve">Why this was necessary. </w:t>
      </w:r>
      <w:r>
        <w:rPr>
          <w:rFonts w:ascii="Calibri" w:hAnsi="Calibri"/>
          <w:color w:val="243746"/>
          <w:sz w:val="21"/>
        </w:rPr>
        <w:t>Mission Community already uses Salesforce. An additive package reduces regression risk, makes deployment reviewable and allows NTE permissions to be granted separately.</w:t>
      </w:r>
    </w:p>
    <w:p>
      <w:pPr>
        <w:spacing w:after="140"/>
      </w:pPr>
      <w:r>
        <w:rPr>
          <w:rFonts w:ascii="Calibri" w:hAnsi="Calibri"/>
          <w:b/>
          <w:color w:val="1F4D78"/>
          <w:sz w:val="21"/>
        </w:rPr>
        <w:t xml:space="preserve">Assessment. </w:t>
      </w:r>
      <w:r>
        <w:rPr>
          <w:rFonts w:ascii="Calibri" w:hAnsi="Calibri"/>
          <w:color w:val="243746"/>
          <w:sz w:val="21"/>
        </w:rPr>
        <w:t>This is an implicit implementation consequence of the explicit isolation requirement and is appropriate.</w:t>
      </w:r>
    </w:p>
    <w:p>
      <w:pPr>
        <w:pStyle w:val="Heading2"/>
        <w:keepNext/>
      </w:pPr>
      <w:r>
        <w:t>4.3 Packages, pricing, finance and payment</w:t>
      </w:r>
    </w:p>
    <w:p>
      <w:pPr>
        <w:pStyle w:val="Heading3"/>
        <w:spacing w:before="200" w:after="60"/>
      </w:pPr>
      <w:r>
        <w:rPr>
          <w:rFonts w:ascii="Calibri" w:hAnsi="Calibri"/>
          <w:b/>
          <w:color w:val="1F4D78"/>
          <w:sz w:val="24"/>
        </w:rPr>
        <w:t>D26 — Package and space choices use controlled values</w:t>
      </w:r>
    </w:p>
    <w:p>
      <w:pPr>
        <w:spacing w:after="80"/>
      </w:pPr>
      <w:r>
        <w:rPr>
          <w:rFonts w:ascii="Calibri" w:hAnsi="Calibri"/>
          <w:b/>
          <w:color w:val="2F6B4F"/>
          <w:sz w:val="19"/>
        </w:rPr>
        <w:t>Aligned</w:t>
      </w:r>
      <w:r>
        <w:rPr>
          <w:rFonts w:ascii="Calibri" w:hAnsi="Calibri"/>
          <w:color w:val="667580"/>
          <w:sz w:val="18"/>
        </w:rPr>
        <w:t xml:space="preserve">  |  E2; A1; R1</w:t>
      </w:r>
    </w:p>
    <w:p>
      <w:pPr>
        <w:spacing w:after="100"/>
      </w:pPr>
      <w:r>
        <w:rPr>
          <w:rFonts w:ascii="Calibri" w:hAnsi="Calibri"/>
          <w:b/>
          <w:color w:val="1F4D78"/>
          <w:sz w:val="21"/>
        </w:rPr>
        <w:t xml:space="preserve">Current solution. </w:t>
      </w:r>
      <w:r>
        <w:rPr>
          <w:rFonts w:ascii="Calibri" w:hAnsi="Calibri"/>
          <w:color w:val="243746"/>
          <w:sz w:val="21"/>
        </w:rPr>
        <w:t>Partner/Sponsor packages and Exhibitor spaces are presented as controlled options with stored list prices and totals.</w:t>
      </w:r>
    </w:p>
    <w:p>
      <w:pPr>
        <w:spacing w:after="100"/>
      </w:pPr>
      <w:r>
        <w:rPr>
          <w:rFonts w:ascii="Calibri" w:hAnsi="Calibri"/>
          <w:b/>
          <w:color w:val="1F4D78"/>
          <w:sz w:val="21"/>
        </w:rPr>
        <w:t xml:space="preserve">Client need. </w:t>
      </w:r>
      <w:r>
        <w:rPr>
          <w:rFonts w:ascii="Calibri" w:hAnsi="Calibri"/>
          <w:color w:val="243746"/>
          <w:sz w:val="21"/>
        </w:rPr>
        <w:t>Kate supplied the package catalogue and pricing and wanted applicants to see prices after the webinar/brochure stage.</w:t>
      </w:r>
    </w:p>
    <w:p>
      <w:pPr>
        <w:spacing w:after="100"/>
      </w:pPr>
      <w:r>
        <w:rPr>
          <w:rFonts w:ascii="Calibri" w:hAnsi="Calibri"/>
          <w:b/>
          <w:color w:val="1F4D78"/>
          <w:sz w:val="21"/>
        </w:rPr>
        <w:t xml:space="preserve">Why this was necessary. </w:t>
      </w:r>
      <w:r>
        <w:rPr>
          <w:rFonts w:ascii="Calibri" w:hAnsi="Calibri"/>
          <w:color w:val="243746"/>
          <w:sz w:val="21"/>
        </w:rPr>
        <w:t>Controlled values make totals, reports and downstream finance exports consistent. Free-text package names would prevent dependable calculation and segmentation.</w:t>
      </w:r>
    </w:p>
    <w:p>
      <w:pPr>
        <w:spacing w:after="140"/>
      </w:pPr>
      <w:r>
        <w:rPr>
          <w:rFonts w:ascii="Calibri" w:hAnsi="Calibri"/>
          <w:b/>
          <w:color w:val="1F4D78"/>
          <w:sz w:val="21"/>
        </w:rPr>
        <w:t xml:space="preserve">Assessment. </w:t>
      </w:r>
      <w:r>
        <w:rPr>
          <w:rFonts w:ascii="Calibri" w:hAnsi="Calibri"/>
          <w:color w:val="243746"/>
          <w:sz w:val="21"/>
        </w:rPr>
        <w:t>The catalogue is implemented, but every production price and VAT treatment still needs final client sign-off.</w:t>
      </w:r>
    </w:p>
    <w:p>
      <w:pPr>
        <w:pStyle w:val="Heading3"/>
        <w:spacing w:before="200" w:after="60"/>
      </w:pPr>
      <w:r>
        <w:rPr>
          <w:rFonts w:ascii="Calibri" w:hAnsi="Calibri"/>
          <w:b/>
          <w:color w:val="1F4D78"/>
          <w:sz w:val="24"/>
        </w:rPr>
        <w:t>D27 — Partner/Sponsor can choose more than one package</w:t>
      </w:r>
    </w:p>
    <w:p>
      <w:pPr>
        <w:spacing w:after="80"/>
      </w:pPr>
      <w:r>
        <w:rPr>
          <w:rFonts w:ascii="Calibri" w:hAnsi="Calibri"/>
          <w:b/>
          <w:color w:val="2F6B4F"/>
          <w:sz w:val="19"/>
        </w:rPr>
        <w:t>Aligned</w:t>
      </w:r>
      <w:r>
        <w:rPr>
          <w:rFonts w:ascii="Calibri" w:hAnsi="Calibri"/>
          <w:color w:val="667580"/>
          <w:sz w:val="18"/>
        </w:rPr>
        <w:t xml:space="preserve">  |  E2</w:t>
      </w:r>
    </w:p>
    <w:p>
      <w:pPr>
        <w:spacing w:before="40" w:after="60" w:line="259" w:lineRule="auto"/>
        <w:ind w:left="317" w:right="173"/>
        <w:shd w:fill="E8EEF5"/>
      </w:pPr>
      <w:r>
        <w:rPr>
          <w:rFonts w:ascii="Calibri" w:hAnsi="Calibri"/>
          <w:i/>
          <w:color w:val="1F4D78"/>
          <w:sz w:val="21"/>
        </w:rPr>
        <w:t>“More than one package could be allowed on the drop-down menu which can include pricing.”</w:t>
      </w:r>
      <w:r>
        <w:rPr>
          <w:rFonts w:ascii="Calibri" w:hAnsi="Calibri"/>
          <w:color w:val="667580"/>
          <w:sz w:val="18"/>
        </w:rPr>
        <w:t xml:space="preserve">  — Kate, email ‘Web to lead forms’, 7 August 2026</w:t>
      </w:r>
    </w:p>
    <w:p>
      <w:pPr>
        <w:spacing w:after="100"/>
      </w:pPr>
      <w:r>
        <w:rPr>
          <w:rFonts w:ascii="Calibri" w:hAnsi="Calibri"/>
          <w:b/>
          <w:color w:val="1F4D78"/>
          <w:sz w:val="21"/>
        </w:rPr>
        <w:t xml:space="preserve">Current solution. </w:t>
      </w:r>
      <w:r>
        <w:rPr>
          <w:rFonts w:ascii="Calibri" w:hAnsi="Calibri"/>
          <w:color w:val="243746"/>
          <w:sz w:val="21"/>
        </w:rPr>
        <w:t>The Partner/Sponsor form supports multiple package selections and calculates their combined listed value, with Price on Request excluded from automatic pricing.</w:t>
      </w:r>
    </w:p>
    <w:p>
      <w:pPr>
        <w:spacing w:after="100"/>
      </w:pPr>
      <w:r>
        <w:rPr>
          <w:rFonts w:ascii="Calibri" w:hAnsi="Calibri"/>
          <w:b/>
          <w:color w:val="1F4D78"/>
          <w:sz w:val="21"/>
        </w:rPr>
        <w:t xml:space="preserve">Client need. </w:t>
      </w:r>
      <w:r>
        <w:rPr>
          <w:rFonts w:ascii="Calibri" w:hAnsi="Calibri"/>
          <w:color w:val="243746"/>
          <w:sz w:val="21"/>
        </w:rPr>
        <w:t>A partner may purchase multiple sponsorship assets alongside its core package.</w:t>
      </w:r>
    </w:p>
    <w:p>
      <w:pPr>
        <w:spacing w:after="100"/>
      </w:pPr>
      <w:r>
        <w:rPr>
          <w:rFonts w:ascii="Calibri" w:hAnsi="Calibri"/>
          <w:b/>
          <w:color w:val="1F4D78"/>
          <w:sz w:val="21"/>
        </w:rPr>
        <w:t xml:space="preserve">Why this was necessary. </w:t>
      </w:r>
      <w:r>
        <w:rPr>
          <w:rFonts w:ascii="Calibri" w:hAnsi="Calibri"/>
          <w:color w:val="243746"/>
          <w:sz w:val="21"/>
        </w:rPr>
        <w:t>Restricting the form to one value would force manual notes, lose component-level reporting and make the confirmation summary incomplete.</w:t>
      </w:r>
    </w:p>
    <w:p>
      <w:pPr>
        <w:spacing w:after="140"/>
      </w:pPr>
      <w:r>
        <w:rPr>
          <w:rFonts w:ascii="Calibri" w:hAnsi="Calibri"/>
          <w:b/>
          <w:color w:val="1F4D78"/>
          <w:sz w:val="21"/>
        </w:rPr>
        <w:t xml:space="preserve">Assessment. </w:t>
      </w:r>
      <w:r>
        <w:rPr>
          <w:rFonts w:ascii="Calibri" w:hAnsi="Calibri"/>
          <w:color w:val="243746"/>
          <w:sz w:val="21"/>
        </w:rPr>
        <w:t>Directly aligned.</w:t>
      </w:r>
    </w:p>
    <w:p>
      <w:pPr>
        <w:pStyle w:val="Heading3"/>
        <w:spacing w:before="200" w:after="60"/>
      </w:pPr>
      <w:r>
        <w:rPr>
          <w:rFonts w:ascii="Calibri" w:hAnsi="Calibri"/>
          <w:b/>
          <w:color w:val="1F4D78"/>
          <w:sz w:val="24"/>
        </w:rPr>
        <w:t>D28 — Server-side pricing is authoritative</w:t>
      </w:r>
    </w:p>
    <w:p>
      <w:pPr>
        <w:spacing w:after="80"/>
      </w:pPr>
      <w:r>
        <w:rPr>
          <w:rFonts w:ascii="Calibri" w:hAnsi="Calibri"/>
          <w:b/>
          <w:color w:val="2F6B4F"/>
          <w:sz w:val="19"/>
        </w:rPr>
        <w:t>Aligned</w:t>
      </w:r>
      <w:r>
        <w:rPr>
          <w:rFonts w:ascii="Calibri" w:hAnsi="Calibri"/>
          <w:color w:val="667580"/>
          <w:sz w:val="18"/>
        </w:rPr>
        <w:t xml:space="preserve">  |  R1; implicit from E2 and E16</w:t>
      </w:r>
    </w:p>
    <w:p>
      <w:pPr>
        <w:spacing w:after="100"/>
      </w:pPr>
      <w:r>
        <w:rPr>
          <w:rFonts w:ascii="Calibri" w:hAnsi="Calibri"/>
          <w:b/>
          <w:color w:val="1F4D78"/>
          <w:sz w:val="21"/>
        </w:rPr>
        <w:t xml:space="preserve">Current solution. </w:t>
      </w:r>
      <w:r>
        <w:rPr>
          <w:rFonts w:ascii="Calibri" w:hAnsi="Calibri"/>
          <w:color w:val="243746"/>
          <w:sz w:val="21"/>
        </w:rPr>
        <w:t>Browser calculations give immediate feedback, while Salesforce Apex recalculates approved package, space, power and staff prices from an allowlist.</w:t>
      </w:r>
    </w:p>
    <w:p>
      <w:pPr>
        <w:spacing w:after="100"/>
      </w:pPr>
      <w:r>
        <w:rPr>
          <w:rFonts w:ascii="Calibri" w:hAnsi="Calibri"/>
          <w:b/>
          <w:color w:val="1F4D78"/>
          <w:sz w:val="21"/>
        </w:rPr>
        <w:t xml:space="preserve">Client need. </w:t>
      </w:r>
      <w:r>
        <w:rPr>
          <w:rFonts w:ascii="Calibri" w:hAnsi="Calibri"/>
          <w:color w:val="243746"/>
          <w:sz w:val="21"/>
        </w:rPr>
        <w:t>The client expects accurate reports, quotations and invoices from the selected commercial options.</w:t>
      </w:r>
    </w:p>
    <w:p>
      <w:pPr>
        <w:spacing w:after="100"/>
      </w:pPr>
      <w:r>
        <w:rPr>
          <w:rFonts w:ascii="Calibri" w:hAnsi="Calibri"/>
          <w:b/>
          <w:color w:val="1F4D78"/>
          <w:sz w:val="21"/>
        </w:rPr>
        <w:t xml:space="preserve">Why this was necessary. </w:t>
      </w:r>
      <w:r>
        <w:rPr>
          <w:rFonts w:ascii="Calibri" w:hAnsi="Calibri"/>
          <w:color w:val="243746"/>
          <w:sz w:val="21"/>
        </w:rPr>
        <w:t>Values submitted by a public browser can be altered. Recalculating in Salesforce prevents a modified form from writing an arbitrary price into the finance pipeline.</w:t>
      </w:r>
    </w:p>
    <w:p>
      <w:pPr>
        <w:spacing w:after="140"/>
      </w:pPr>
      <w:r>
        <w:rPr>
          <w:rFonts w:ascii="Calibri" w:hAnsi="Calibri"/>
          <w:b/>
          <w:color w:val="1F4D78"/>
          <w:sz w:val="21"/>
        </w:rPr>
        <w:t xml:space="preserve">Assessment. </w:t>
      </w:r>
      <w:r>
        <w:rPr>
          <w:rFonts w:ascii="Calibri" w:hAnsi="Calibri"/>
          <w:color w:val="243746"/>
          <w:sz w:val="21"/>
        </w:rPr>
        <w:t>This is not a named client request, but it is necessary to carry out the pricing request safely. Duplicated price catalogues still need a controlled release process.</w:t>
      </w:r>
    </w:p>
    <w:p>
      <w:pPr>
        <w:pStyle w:val="Heading3"/>
        <w:spacing w:before="200" w:after="60"/>
      </w:pPr>
      <w:r>
        <w:rPr>
          <w:rFonts w:ascii="Calibri" w:hAnsi="Calibri"/>
          <w:b/>
          <w:color w:val="1F4D78"/>
          <w:sz w:val="24"/>
        </w:rPr>
        <w:t>D29 — Price on Request remains a manual agreed-price path</w:t>
      </w:r>
    </w:p>
    <w:p>
      <w:pPr>
        <w:spacing w:after="80"/>
      </w:pPr>
      <w:r>
        <w:rPr>
          <w:rFonts w:ascii="Calibri" w:hAnsi="Calibri"/>
          <w:b/>
          <w:color w:val="2F6B4F"/>
          <w:sz w:val="19"/>
        </w:rPr>
        <w:t>Aligned</w:t>
      </w:r>
      <w:r>
        <w:rPr>
          <w:rFonts w:ascii="Calibri" w:hAnsi="Calibri"/>
          <w:color w:val="667580"/>
          <w:sz w:val="18"/>
        </w:rPr>
        <w:t xml:space="preserve">  |  E2; M4 00:04:24</w:t>
      </w:r>
    </w:p>
    <w:p>
      <w:pPr>
        <w:spacing w:after="100"/>
      </w:pPr>
      <w:r>
        <w:rPr>
          <w:rFonts w:ascii="Calibri" w:hAnsi="Calibri"/>
          <w:b/>
          <w:color w:val="1F4D78"/>
          <w:sz w:val="21"/>
        </w:rPr>
        <w:t xml:space="preserve">Current solution. </w:t>
      </w:r>
      <w:r>
        <w:rPr>
          <w:rFonts w:ascii="Calibri" w:hAnsi="Calibri"/>
          <w:color w:val="243746"/>
          <w:sz w:val="21"/>
        </w:rPr>
        <w:t>POA packages/spaces bypass an invented automatic amount. Staff enter the agreed total in Salesforce before the record proceeds to invoicing.</w:t>
      </w:r>
    </w:p>
    <w:p>
      <w:pPr>
        <w:spacing w:after="100"/>
      </w:pPr>
      <w:r>
        <w:rPr>
          <w:rFonts w:ascii="Calibri" w:hAnsi="Calibri"/>
          <w:b/>
          <w:color w:val="1F4D78"/>
          <w:sz w:val="21"/>
        </w:rPr>
        <w:t xml:space="preserve">Client need. </w:t>
      </w:r>
      <w:r>
        <w:rPr>
          <w:rFonts w:ascii="Calibri" w:hAnsi="Calibri"/>
          <w:color w:val="243746"/>
          <w:sz w:val="21"/>
        </w:rPr>
        <w:t>The Troops’ Track Day and extra-large/custom space options do not have a fixed price, and Kate said such arrangements are manually agreed.</w:t>
      </w:r>
    </w:p>
    <w:p>
      <w:pPr>
        <w:spacing w:after="100"/>
      </w:pPr>
      <w:r>
        <w:rPr>
          <w:rFonts w:ascii="Calibri" w:hAnsi="Calibri"/>
          <w:b/>
          <w:color w:val="1F4D78"/>
          <w:sz w:val="21"/>
        </w:rPr>
        <w:t xml:space="preserve">Why this was necessary. </w:t>
      </w:r>
      <w:r>
        <w:rPr>
          <w:rFonts w:ascii="Calibri" w:hAnsi="Calibri"/>
          <w:color w:val="243746"/>
          <w:sz w:val="21"/>
        </w:rPr>
        <w:t>An automated invoice cannot calculate an unknown negotiated amount. A required agreed-price milestone keeps dashboards accurate without pretending the list is complete.</w:t>
      </w:r>
    </w:p>
    <w:p>
      <w:pPr>
        <w:spacing w:after="140"/>
      </w:pPr>
      <w:r>
        <w:rPr>
          <w:rFonts w:ascii="Calibri" w:hAnsi="Calibri"/>
          <w:b/>
          <w:color w:val="1F4D78"/>
          <w:sz w:val="21"/>
        </w:rPr>
        <w:t xml:space="preserve">Assessment. </w:t>
      </w:r>
      <w:r>
        <w:rPr>
          <w:rFonts w:ascii="Calibri" w:hAnsi="Calibri"/>
          <w:color w:val="243746"/>
          <w:sz w:val="21"/>
        </w:rPr>
        <w:t>The manual path is appropriate. The person authorised to approve the agreed price should be defined operationally.</w:t>
      </w:r>
    </w:p>
    <w:p>
      <w:pPr>
        <w:pStyle w:val="Heading3"/>
        <w:spacing w:before="200" w:after="60"/>
      </w:pPr>
      <w:r>
        <w:rPr>
          <w:rFonts w:ascii="Calibri" w:hAnsi="Calibri"/>
          <w:b/>
          <w:color w:val="1F4D78"/>
          <w:sz w:val="24"/>
        </w:rPr>
        <w:t>D30 — Power is priced per socket with an eligible discount</w:t>
      </w:r>
    </w:p>
    <w:p>
      <w:pPr>
        <w:spacing w:after="80"/>
      </w:pPr>
      <w:r>
        <w:rPr>
          <w:rFonts w:ascii="Calibri" w:hAnsi="Calibri"/>
          <w:b/>
          <w:color w:val="2F6B4F"/>
          <w:sz w:val="19"/>
        </w:rPr>
        <w:t>Aligned</w:t>
      </w:r>
      <w:r>
        <w:rPr>
          <w:rFonts w:ascii="Calibri" w:hAnsi="Calibri"/>
          <w:color w:val="667580"/>
          <w:sz w:val="18"/>
        </w:rPr>
        <w:t xml:space="preserve">  |  E2; A1</w:t>
      </w:r>
    </w:p>
    <w:p>
      <w:pPr>
        <w:spacing w:before="40" w:after="60" w:line="259" w:lineRule="auto"/>
        <w:ind w:left="317" w:right="173"/>
        <w:shd w:fill="E8EEF5"/>
      </w:pPr>
      <w:r>
        <w:rPr>
          <w:rFonts w:ascii="Calibri" w:hAnsi="Calibri"/>
          <w:i/>
          <w:color w:val="1F4D78"/>
          <w:sz w:val="21"/>
        </w:rPr>
        <w:t>“£100 + VAT per socket … Charities, government and blue light organisations qualify for a 50% discount.”</w:t>
      </w:r>
      <w:r>
        <w:rPr>
          <w:rFonts w:ascii="Calibri" w:hAnsi="Calibri"/>
          <w:color w:val="667580"/>
          <w:sz w:val="18"/>
        </w:rPr>
        <w:t xml:space="preserve">  — Kate, email ‘Web to lead forms’, 7 August 2026</w:t>
      </w:r>
    </w:p>
    <w:p>
      <w:pPr>
        <w:spacing w:after="100"/>
      </w:pPr>
      <w:r>
        <w:rPr>
          <w:rFonts w:ascii="Calibri" w:hAnsi="Calibri"/>
          <w:b/>
          <w:color w:val="1F4D78"/>
          <w:sz w:val="21"/>
        </w:rPr>
        <w:t xml:space="preserve">Current solution. </w:t>
      </w:r>
      <w:r>
        <w:rPr>
          <w:rFonts w:ascii="Calibri" w:hAnsi="Calibri"/>
          <w:color w:val="243746"/>
          <w:sz w:val="21"/>
        </w:rPr>
        <w:t>The Exhibitor application captures socket count and calculates £100 + VAT per socket, applying the defined 50% category discount.</w:t>
      </w:r>
    </w:p>
    <w:p>
      <w:pPr>
        <w:spacing w:after="100"/>
      </w:pPr>
      <w:r>
        <w:rPr>
          <w:rFonts w:ascii="Calibri" w:hAnsi="Calibri"/>
          <w:b/>
          <w:color w:val="1F4D78"/>
          <w:sz w:val="21"/>
        </w:rPr>
        <w:t xml:space="preserve">Client need. </w:t>
      </w:r>
      <w:r>
        <w:rPr>
          <w:rFonts w:ascii="Calibri" w:hAnsi="Calibri"/>
          <w:color w:val="243746"/>
          <w:sz w:val="21"/>
        </w:rPr>
        <w:t>Power is a material operational and commercial requirement and may be unavailable if not requested in advance.</w:t>
      </w:r>
    </w:p>
    <w:p>
      <w:pPr>
        <w:spacing w:after="100"/>
      </w:pPr>
      <w:r>
        <w:rPr>
          <w:rFonts w:ascii="Calibri" w:hAnsi="Calibri"/>
          <w:b/>
          <w:color w:val="1F4D78"/>
          <w:sz w:val="21"/>
        </w:rPr>
        <w:t xml:space="preserve">Why this was necessary. </w:t>
      </w:r>
      <w:r>
        <w:rPr>
          <w:rFonts w:ascii="Calibri" w:hAnsi="Calibri"/>
          <w:color w:val="243746"/>
          <w:sz w:val="21"/>
        </w:rPr>
        <w:t>Structured count and unit price let operations plan supply and finance invoice accurately. Category-driven discount avoids repeated manual arithmetic.</w:t>
      </w:r>
    </w:p>
    <w:p>
      <w:pPr>
        <w:spacing w:after="140"/>
      </w:pPr>
      <w:r>
        <w:rPr>
          <w:rFonts w:ascii="Calibri" w:hAnsi="Calibri"/>
          <w:b/>
          <w:color w:val="1F4D78"/>
          <w:sz w:val="21"/>
        </w:rPr>
        <w:t xml:space="preserve">Assessment. </w:t>
      </w:r>
      <w:r>
        <w:rPr>
          <w:rFonts w:ascii="Calibri" w:hAnsi="Calibri"/>
          <w:color w:val="243746"/>
          <w:sz w:val="21"/>
        </w:rPr>
        <w:t>Aligned, subject to final validation of qualifying categories and VAT display.</w:t>
      </w:r>
    </w:p>
    <w:p>
      <w:pPr>
        <w:pStyle w:val="Heading3"/>
        <w:spacing w:before="200" w:after="60"/>
      </w:pPr>
      <w:r>
        <w:rPr>
          <w:rFonts w:ascii="Calibri" w:hAnsi="Calibri"/>
          <w:b/>
          <w:color w:val="1F4D78"/>
          <w:sz w:val="24"/>
        </w:rPr>
        <w:t>D31 — Exhibitor staff allocation and chargeable extras are calculated</w:t>
      </w:r>
    </w:p>
    <w:p>
      <w:pPr>
        <w:spacing w:after="80"/>
      </w:pPr>
      <w:r>
        <w:rPr>
          <w:rFonts w:ascii="Calibri" w:hAnsi="Calibri"/>
          <w:b/>
          <w:color w:val="7A5A00"/>
          <w:sz w:val="19"/>
        </w:rPr>
        <w:t>Partial</w:t>
      </w:r>
      <w:r>
        <w:rPr>
          <w:rFonts w:ascii="Calibri" w:hAnsi="Calibri"/>
          <w:color w:val="667580"/>
          <w:sz w:val="18"/>
        </w:rPr>
        <w:t xml:space="preserve">  |  E2; E12; E13; R1</w:t>
      </w:r>
    </w:p>
    <w:p>
      <w:pPr>
        <w:spacing w:before="40" w:after="60" w:line="259" w:lineRule="auto"/>
        <w:ind w:left="317" w:right="173"/>
        <w:shd w:fill="E8EEF5"/>
      </w:pPr>
      <w:r>
        <w:rPr>
          <w:rFonts w:ascii="Calibri" w:hAnsi="Calibri"/>
          <w:i/>
          <w:color w:val="1F4D78"/>
          <w:sz w:val="21"/>
        </w:rPr>
        <w:t>“If they then give us more staff names than their space allows, we can invoice them for the extra staff at that point.”</w:t>
      </w:r>
      <w:r>
        <w:rPr>
          <w:rFonts w:ascii="Calibri" w:hAnsi="Calibri"/>
          <w:color w:val="667580"/>
          <w:sz w:val="18"/>
        </w:rPr>
        <w:t xml:space="preserve">  — Kate, email ‘RE: Staff name collection form’, 24 August 2026</w:t>
      </w:r>
    </w:p>
    <w:p>
      <w:pPr>
        <w:spacing w:after="100"/>
      </w:pPr>
      <w:r>
        <w:rPr>
          <w:rFonts w:ascii="Calibri" w:hAnsi="Calibri"/>
          <w:b/>
          <w:color w:val="1F4D78"/>
          <w:sz w:val="21"/>
        </w:rPr>
        <w:t xml:space="preserve">Current solution. </w:t>
      </w:r>
      <w:r>
        <w:rPr>
          <w:rFonts w:ascii="Calibri" w:hAnsi="Calibri"/>
          <w:color w:val="243746"/>
          <w:sz w:val="21"/>
        </w:rPr>
        <w:t>The current form assumes single space includes two people and double space includes four; excess planned staff and later top-ups are priced at £50 + VAT each. POA is manual.</w:t>
      </w:r>
    </w:p>
    <w:p>
      <w:pPr>
        <w:spacing w:after="100"/>
      </w:pPr>
      <w:r>
        <w:rPr>
          <w:rFonts w:ascii="Calibri" w:hAnsi="Calibri"/>
          <w:b/>
          <w:color w:val="1F4D78"/>
          <w:sz w:val="21"/>
        </w:rPr>
        <w:t xml:space="preserve">Client need. </w:t>
      </w:r>
      <w:r>
        <w:rPr>
          <w:rFonts w:ascii="Calibri" w:hAnsi="Calibri"/>
          <w:color w:val="243746"/>
          <w:sz w:val="21"/>
        </w:rPr>
        <w:t>Kate supplied the single/double limits and the £50 + VAT extra-person rule, and accepted later top-up invoicing.</w:t>
      </w:r>
    </w:p>
    <w:p>
      <w:pPr>
        <w:spacing w:after="100"/>
      </w:pPr>
      <w:r>
        <w:rPr>
          <w:rFonts w:ascii="Calibri" w:hAnsi="Calibri"/>
          <w:b/>
          <w:color w:val="1F4D78"/>
          <w:sz w:val="21"/>
        </w:rPr>
        <w:t xml:space="preserve">Why this was necessary. </w:t>
      </w:r>
      <w:r>
        <w:rPr>
          <w:rFonts w:ascii="Calibri" w:hAnsi="Calibri"/>
          <w:color w:val="243746"/>
          <w:sz w:val="21"/>
        </w:rPr>
        <w:t>The booking total and accreditation list must distinguish included places from chargeable extras. Otherwise staff could not know what to invoice or whether a submitted roster exceeds allocation.</w:t>
      </w:r>
    </w:p>
    <w:p>
      <w:pPr>
        <w:spacing w:after="140"/>
      </w:pPr>
      <w:r>
        <w:rPr>
          <w:rFonts w:ascii="Calibri" w:hAnsi="Calibri"/>
          <w:b/>
          <w:color w:val="1F4D78"/>
          <w:sz w:val="21"/>
        </w:rPr>
        <w:t xml:space="preserve">Assessment. </w:t>
      </w:r>
      <w:r>
        <w:rPr>
          <w:rFonts w:ascii="Calibri" w:hAnsi="Calibri"/>
          <w:color w:val="243746"/>
          <w:sz w:val="21"/>
        </w:rPr>
        <w:t>The mechanism is right, but the delivery team asked for the exact included number for every space/package on 28 August and no answer was found. The mapping remains an assumption.</w:t>
      </w:r>
    </w:p>
    <w:p>
      <w:pPr>
        <w:pStyle w:val="Heading3"/>
        <w:spacing w:before="200" w:after="60"/>
      </w:pPr>
      <w:r>
        <w:rPr>
          <w:rFonts w:ascii="Calibri" w:hAnsi="Calibri"/>
          <w:b/>
          <w:color w:val="1F4D78"/>
          <w:sz w:val="24"/>
        </w:rPr>
        <w:t>D32 — Partner/Sponsor staff is handled separately from exhibitor top-ups</w:t>
      </w:r>
    </w:p>
    <w:p>
      <w:pPr>
        <w:spacing w:after="80"/>
      </w:pPr>
      <w:r>
        <w:rPr>
          <w:rFonts w:ascii="Calibri" w:hAnsi="Calibri"/>
          <w:b/>
          <w:color w:val="7A5A00"/>
          <w:sz w:val="19"/>
        </w:rPr>
        <w:t>Partial</w:t>
      </w:r>
      <w:r>
        <w:rPr>
          <w:rFonts w:ascii="Calibri" w:hAnsi="Calibri"/>
          <w:color w:val="667580"/>
          <w:sz w:val="18"/>
        </w:rPr>
        <w:t xml:space="preserve">  |  E6; E12; R1</w:t>
      </w:r>
    </w:p>
    <w:p>
      <w:pPr>
        <w:spacing w:after="100"/>
      </w:pPr>
      <w:r>
        <w:rPr>
          <w:rFonts w:ascii="Calibri" w:hAnsi="Calibri"/>
          <w:b/>
          <w:color w:val="1F4D78"/>
          <w:sz w:val="21"/>
        </w:rPr>
        <w:t xml:space="preserve">Current solution. </w:t>
      </w:r>
      <w:r>
        <w:rPr>
          <w:rFonts w:ascii="Calibri" w:hAnsi="Calibri"/>
          <w:color w:val="243746"/>
          <w:sz w:val="21"/>
        </w:rPr>
        <w:t>A Partner/Sponsor update records total people and names without automatically charging exhibitor top-up prices; Exhibitor updates separately identify names covered by the booking and paid top-ups.</w:t>
      </w:r>
    </w:p>
    <w:p>
      <w:pPr>
        <w:spacing w:after="100"/>
      </w:pPr>
      <w:r>
        <w:rPr>
          <w:rFonts w:ascii="Calibri" w:hAnsi="Calibri"/>
          <w:b/>
          <w:color w:val="1F4D78"/>
          <w:sz w:val="21"/>
        </w:rPr>
        <w:t xml:space="preserve">Client need. </w:t>
      </w:r>
      <w:r>
        <w:rPr>
          <w:rFonts w:ascii="Calibri" w:hAnsi="Calibri"/>
          <w:color w:val="243746"/>
          <w:sz w:val="21"/>
        </w:rPr>
        <w:t>Kate said Partner/Sponsor staff numbers depend on the agreement/package, while Exhibitor single/double allocations have specific limits and £50 extras.</w:t>
      </w:r>
    </w:p>
    <w:p>
      <w:pPr>
        <w:spacing w:after="100"/>
      </w:pPr>
      <w:r>
        <w:rPr>
          <w:rFonts w:ascii="Calibri" w:hAnsi="Calibri"/>
          <w:b/>
          <w:color w:val="1F4D78"/>
          <w:sz w:val="21"/>
        </w:rPr>
        <w:t xml:space="preserve">Why this was necessary. </w:t>
      </w:r>
      <w:r>
        <w:rPr>
          <w:rFonts w:ascii="Calibri" w:hAnsi="Calibri"/>
          <w:color w:val="243746"/>
          <w:sz w:val="21"/>
        </w:rPr>
        <w:t>Applying the Exhibitor formula to sponsorship packages could create charges inconsistent with negotiated benefits. Separate forms and rules prevent that.</w:t>
      </w:r>
    </w:p>
    <w:p>
      <w:pPr>
        <w:spacing w:after="140"/>
      </w:pPr>
      <w:r>
        <w:rPr>
          <w:rFonts w:ascii="Calibri" w:hAnsi="Calibri"/>
          <w:b/>
          <w:color w:val="1F4D78"/>
          <w:sz w:val="21"/>
        </w:rPr>
        <w:t xml:space="preserve">Assessment. </w:t>
      </w:r>
      <w:r>
        <w:rPr>
          <w:rFonts w:ascii="Calibri" w:hAnsi="Calibri"/>
          <w:color w:val="243746"/>
          <w:sz w:val="21"/>
        </w:rPr>
        <w:t>The split is sensible and implemented, but package-specific Partner/Sponsor allocations still need a final source of truth.</w:t>
      </w:r>
    </w:p>
    <w:p>
      <w:pPr>
        <w:pStyle w:val="Heading3"/>
        <w:spacing w:before="200" w:after="60"/>
      </w:pPr>
      <w:r>
        <w:rPr>
          <w:rFonts w:ascii="Calibri" w:hAnsi="Calibri"/>
          <w:b/>
          <w:color w:val="1F4D78"/>
          <w:sz w:val="24"/>
        </w:rPr>
        <w:t>D33 — Finance questions are embedded in the commercial applications</w:t>
      </w:r>
    </w:p>
    <w:p>
      <w:pPr>
        <w:spacing w:after="80"/>
      </w:pPr>
      <w:r>
        <w:rPr>
          <w:rFonts w:ascii="Calibri" w:hAnsi="Calibri"/>
          <w:b/>
          <w:color w:val="2F6B4F"/>
          <w:sz w:val="19"/>
        </w:rPr>
        <w:t>Aligned</w:t>
      </w:r>
      <w:r>
        <w:rPr>
          <w:rFonts w:ascii="Calibri" w:hAnsi="Calibri"/>
          <w:color w:val="667580"/>
          <w:sz w:val="18"/>
        </w:rPr>
        <w:t xml:space="preserve">  |  E6; E16; A3</w:t>
      </w:r>
    </w:p>
    <w:p>
      <w:pPr>
        <w:spacing w:after="100"/>
      </w:pPr>
      <w:r>
        <w:rPr>
          <w:rFonts w:ascii="Calibri" w:hAnsi="Calibri"/>
          <w:b/>
          <w:color w:val="1F4D78"/>
          <w:sz w:val="21"/>
        </w:rPr>
        <w:t xml:space="preserve">Current solution. </w:t>
      </w:r>
      <w:r>
        <w:rPr>
          <w:rFonts w:ascii="Calibri" w:hAnsi="Calibri"/>
          <w:color w:val="243746"/>
          <w:sz w:val="21"/>
        </w:rPr>
        <w:t>The former finance sheet questions are integrated into both commercial forms, including legal billing identity, address/contact, quote, invoice, PO/reference and supplier-agreement needs.</w:t>
      </w:r>
    </w:p>
    <w:p>
      <w:pPr>
        <w:spacing w:after="100"/>
      </w:pPr>
      <w:r>
        <w:rPr>
          <w:rFonts w:ascii="Calibri" w:hAnsi="Calibri"/>
          <w:b/>
          <w:color w:val="1F4D78"/>
          <w:sz w:val="21"/>
        </w:rPr>
        <w:t xml:space="preserve">Client need. </w:t>
      </w:r>
      <w:r>
        <w:rPr>
          <w:rFonts w:ascii="Calibri" w:hAnsi="Calibri"/>
          <w:color w:val="243746"/>
          <w:sz w:val="21"/>
        </w:rPr>
        <w:t>Kate said Finance required the new Customer Account Details Form for all transactions and explicitly asked for it to be integrated, not sent as an unrelated later form.</w:t>
      </w:r>
    </w:p>
    <w:p>
      <w:pPr>
        <w:spacing w:after="100"/>
      </w:pPr>
      <w:r>
        <w:rPr>
          <w:rFonts w:ascii="Calibri" w:hAnsi="Calibri"/>
          <w:b/>
          <w:color w:val="1F4D78"/>
          <w:sz w:val="21"/>
        </w:rPr>
        <w:t xml:space="preserve">Why this was necessary. </w:t>
      </w:r>
      <w:r>
        <w:rPr>
          <w:rFonts w:ascii="Calibri" w:hAnsi="Calibri"/>
          <w:color w:val="243746"/>
          <w:sz w:val="21"/>
        </w:rPr>
        <w:t>Collecting finance data with the booking avoids chasing a second form before a quote/invoice can be raised and keeps the finance report tied to the correct application.</w:t>
      </w:r>
    </w:p>
    <w:p>
      <w:pPr>
        <w:spacing w:after="140"/>
      </w:pPr>
      <w:r>
        <w:rPr>
          <w:rFonts w:ascii="Calibri" w:hAnsi="Calibri"/>
          <w:b/>
          <w:color w:val="1F4D78"/>
          <w:sz w:val="21"/>
        </w:rPr>
        <w:t xml:space="preserve">Assessment. </w:t>
      </w:r>
      <w:r>
        <w:rPr>
          <w:rFonts w:ascii="Calibri" w:hAnsi="Calibri"/>
          <w:color w:val="243746"/>
          <w:sz w:val="21"/>
        </w:rPr>
        <w:t>Directly aligned with the 18 and 28 August updates.</w:t>
      </w:r>
    </w:p>
    <w:p>
      <w:pPr>
        <w:pStyle w:val="Heading3"/>
        <w:spacing w:before="200" w:after="60"/>
      </w:pPr>
      <w:r>
        <w:rPr>
          <w:rFonts w:ascii="Calibri" w:hAnsi="Calibri"/>
          <w:b/>
          <w:color w:val="1F4D78"/>
          <w:sz w:val="24"/>
        </w:rPr>
        <w:t>D34 — A dedicated finance contact is captured even when details overlap</w:t>
      </w:r>
    </w:p>
    <w:p>
      <w:pPr>
        <w:spacing w:after="80"/>
      </w:pPr>
      <w:r>
        <w:rPr>
          <w:rFonts w:ascii="Calibri" w:hAnsi="Calibri"/>
          <w:b/>
          <w:color w:val="2F6B4F"/>
          <w:sz w:val="19"/>
        </w:rPr>
        <w:t>Aligned</w:t>
      </w:r>
      <w:r>
        <w:rPr>
          <w:rFonts w:ascii="Calibri" w:hAnsi="Calibri"/>
          <w:color w:val="667580"/>
          <w:sz w:val="18"/>
        </w:rPr>
        <w:t xml:space="preserve">  |  E16</w:t>
      </w:r>
    </w:p>
    <w:p>
      <w:pPr>
        <w:spacing w:before="40" w:after="60" w:line="259" w:lineRule="auto"/>
        <w:ind w:left="317" w:right="173"/>
        <w:shd w:fill="E8EEF5"/>
      </w:pPr>
      <w:r>
        <w:rPr>
          <w:rFonts w:ascii="Calibri" w:hAnsi="Calibri"/>
          <w:i/>
          <w:color w:val="1F4D78"/>
          <w:sz w:val="21"/>
        </w:rPr>
        <w:t>“This gives us another route if there are any issues getting the invoice processed or paid.”</w:t>
      </w:r>
      <w:r>
        <w:rPr>
          <w:rFonts w:ascii="Calibri" w:hAnsi="Calibri"/>
          <w:color w:val="667580"/>
          <w:sz w:val="18"/>
        </w:rPr>
        <w:t xml:space="preserve">  — Kate, email ‘Finance changes to forms’, 28 August 2026</w:t>
      </w:r>
    </w:p>
    <w:p>
      <w:pPr>
        <w:spacing w:after="100"/>
      </w:pPr>
      <w:r>
        <w:rPr>
          <w:rFonts w:ascii="Calibri" w:hAnsi="Calibri"/>
          <w:b/>
          <w:color w:val="1F4D78"/>
          <w:sz w:val="21"/>
        </w:rPr>
        <w:t xml:space="preserve">Current solution. </w:t>
      </w:r>
      <w:r>
        <w:rPr>
          <w:rFonts w:ascii="Calibri" w:hAnsi="Calibri"/>
          <w:color w:val="243746"/>
          <w:sz w:val="21"/>
        </w:rPr>
        <w:t>Both forms require finance-contact fields and distinguish them from the main NTE contact. The Exhibitor wording permits the same person but still captures the route explicitly; Partner/Sponsor asks for a different person.</w:t>
      </w:r>
    </w:p>
    <w:p>
      <w:pPr>
        <w:spacing w:after="100"/>
      </w:pPr>
      <w:r>
        <w:rPr>
          <w:rFonts w:ascii="Calibri" w:hAnsi="Calibri"/>
          <w:b/>
          <w:color w:val="1F4D78"/>
          <w:sz w:val="21"/>
        </w:rPr>
        <w:t xml:space="preserve">Client need. </w:t>
      </w:r>
      <w:r>
        <w:rPr>
          <w:rFonts w:ascii="Calibri" w:hAnsi="Calibri"/>
          <w:color w:val="243746"/>
          <w:sz w:val="21"/>
        </w:rPr>
        <w:t>Finance wanted two contact routes for every paying customer.</w:t>
      </w:r>
    </w:p>
    <w:p>
      <w:pPr>
        <w:spacing w:after="100"/>
      </w:pPr>
      <w:r>
        <w:rPr>
          <w:rFonts w:ascii="Calibri" w:hAnsi="Calibri"/>
          <w:b/>
          <w:color w:val="1F4D78"/>
          <w:sz w:val="21"/>
        </w:rPr>
        <w:t xml:space="preserve">Why this was necessary. </w:t>
      </w:r>
      <w:r>
        <w:rPr>
          <w:rFonts w:ascii="Calibri" w:hAnsi="Calibri"/>
          <w:color w:val="243746"/>
          <w:sz w:val="21"/>
        </w:rPr>
        <w:t>Operational contacts may not control purchase orders or accounts payable. A second route reduces payment delay and makes finance exports complete.</w:t>
      </w:r>
    </w:p>
    <w:p>
      <w:pPr>
        <w:spacing w:after="140"/>
      </w:pPr>
      <w:r>
        <w:rPr>
          <w:rFonts w:ascii="Calibri" w:hAnsi="Calibri"/>
          <w:b/>
          <w:color w:val="1F4D78"/>
          <w:sz w:val="21"/>
        </w:rPr>
        <w:t xml:space="preserve">Assessment. </w:t>
      </w:r>
      <w:r>
        <w:rPr>
          <w:rFonts w:ascii="Calibri" w:hAnsi="Calibri"/>
          <w:color w:val="243746"/>
          <w:sz w:val="21"/>
        </w:rPr>
        <w:t>Aligned. Any validation that forbids the same Partner/Sponsor email should be confirmed before release because the evidence is wording rather than a technical constraint.</w:t>
      </w:r>
    </w:p>
    <w:p>
      <w:pPr>
        <w:pStyle w:val="Heading3"/>
        <w:spacing w:before="200" w:after="60"/>
      </w:pPr>
      <w:r>
        <w:rPr>
          <w:rFonts w:ascii="Calibri" w:hAnsi="Calibri"/>
          <w:b/>
          <w:color w:val="1F4D78"/>
          <w:sz w:val="24"/>
        </w:rPr>
        <w:t>D35 — Quotation requirement and payment route are separate decisions</w:t>
      </w:r>
    </w:p>
    <w:p>
      <w:pPr>
        <w:spacing w:after="80"/>
      </w:pPr>
      <w:r>
        <w:rPr>
          <w:rFonts w:ascii="Calibri" w:hAnsi="Calibri"/>
          <w:b/>
          <w:color w:val="2F6B4F"/>
          <w:sz w:val="19"/>
        </w:rPr>
        <w:t>Aligned</w:t>
      </w:r>
      <w:r>
        <w:rPr>
          <w:rFonts w:ascii="Calibri" w:hAnsi="Calibri"/>
          <w:color w:val="667580"/>
          <w:sz w:val="18"/>
        </w:rPr>
        <w:t xml:space="preserve">  |  E16</w:t>
      </w:r>
    </w:p>
    <w:p>
      <w:pPr>
        <w:spacing w:after="100"/>
      </w:pPr>
      <w:r>
        <w:rPr>
          <w:rFonts w:ascii="Calibri" w:hAnsi="Calibri"/>
          <w:b/>
          <w:color w:val="1F4D78"/>
          <w:sz w:val="21"/>
        </w:rPr>
        <w:t xml:space="preserve">Current solution. </w:t>
      </w:r>
      <w:r>
        <w:rPr>
          <w:rFonts w:ascii="Calibri" w:hAnsi="Calibri"/>
          <w:color w:val="243746"/>
          <w:sz w:val="21"/>
        </w:rPr>
        <w:t>The form asks whether a quote is required before invoicing and separately records invoice/bank versus Stripe payment route.</w:t>
      </w:r>
    </w:p>
    <w:p>
      <w:pPr>
        <w:spacing w:after="100"/>
      </w:pPr>
      <w:r>
        <w:rPr>
          <w:rFonts w:ascii="Calibri" w:hAnsi="Calibri"/>
          <w:b/>
          <w:color w:val="1F4D78"/>
          <w:sz w:val="21"/>
        </w:rPr>
        <w:t xml:space="preserve">Client need. </w:t>
      </w:r>
      <w:r>
        <w:rPr>
          <w:rFonts w:ascii="Calibri" w:hAnsi="Calibri"/>
          <w:color w:val="243746"/>
          <w:sz w:val="21"/>
        </w:rPr>
        <w:t>Kate explicitly replaced the former combined question with two questions on 28 August.</w:t>
      </w:r>
    </w:p>
    <w:p>
      <w:pPr>
        <w:spacing w:after="100"/>
      </w:pPr>
      <w:r>
        <w:rPr>
          <w:rFonts w:ascii="Calibri" w:hAnsi="Calibri"/>
          <w:b/>
          <w:color w:val="1F4D78"/>
          <w:sz w:val="21"/>
        </w:rPr>
        <w:t xml:space="preserve">Why this was necessary. </w:t>
      </w:r>
      <w:r>
        <w:rPr>
          <w:rFonts w:ascii="Calibri" w:hAnsi="Calibri"/>
          <w:color w:val="243746"/>
          <w:sz w:val="21"/>
        </w:rPr>
        <w:t>A customer may need a quote regardless of how it ultimately pays. Combining the questions makes the finance queue ambiguous and can skip a required procurement step.</w:t>
      </w:r>
    </w:p>
    <w:p>
      <w:pPr>
        <w:spacing w:after="140"/>
      </w:pPr>
      <w:r>
        <w:rPr>
          <w:rFonts w:ascii="Calibri" w:hAnsi="Calibri"/>
          <w:b/>
          <w:color w:val="1F4D78"/>
          <w:sz w:val="21"/>
        </w:rPr>
        <w:t xml:space="preserve">Assessment. </w:t>
      </w:r>
      <w:r>
        <w:rPr>
          <w:rFonts w:ascii="Calibri" w:hAnsi="Calibri"/>
          <w:color w:val="243746"/>
          <w:sz w:val="21"/>
        </w:rPr>
        <w:t>The latest finance structure is implemented and supersedes earlier combined wording.</w:t>
      </w:r>
    </w:p>
    <w:p>
      <w:pPr>
        <w:pStyle w:val="Heading3"/>
        <w:spacing w:before="200" w:after="60"/>
      </w:pPr>
      <w:r>
        <w:rPr>
          <w:rFonts w:ascii="Calibri" w:hAnsi="Calibri"/>
          <w:b/>
          <w:color w:val="1F4D78"/>
          <w:sz w:val="24"/>
        </w:rPr>
        <w:t>D36 — Xero remains the source of quote and invoice documents</w:t>
      </w:r>
    </w:p>
    <w:p>
      <w:pPr>
        <w:spacing w:after="80"/>
      </w:pPr>
      <w:r>
        <w:rPr>
          <w:rFonts w:ascii="Calibri" w:hAnsi="Calibri"/>
          <w:b/>
          <w:color w:val="2F6B4F"/>
          <w:sz w:val="19"/>
        </w:rPr>
        <w:t>Aligned</w:t>
      </w:r>
      <w:r>
        <w:rPr>
          <w:rFonts w:ascii="Calibri" w:hAnsi="Calibri"/>
          <w:color w:val="667580"/>
          <w:sz w:val="18"/>
        </w:rPr>
        <w:t xml:space="preserve">  |  M1 00:09:18; E9; E16</w:t>
      </w:r>
    </w:p>
    <w:p>
      <w:pPr>
        <w:spacing w:after="100"/>
      </w:pPr>
      <w:r>
        <w:rPr>
          <w:rFonts w:ascii="Calibri" w:hAnsi="Calibri"/>
          <w:b/>
          <w:color w:val="1F4D78"/>
          <w:sz w:val="21"/>
        </w:rPr>
        <w:t xml:space="preserve">Current solution. </w:t>
      </w:r>
      <w:r>
        <w:rPr>
          <w:rFonts w:ascii="Calibri" w:hAnsi="Calibri"/>
          <w:color w:val="243746"/>
          <w:sz w:val="21"/>
        </w:rPr>
        <w:t>Salesforce tracks requirements and milestones; Finance creates the formal quote/invoice in Xero and copies reference numbers/dates back or receives an exported report.</w:t>
      </w:r>
    </w:p>
    <w:p>
      <w:pPr>
        <w:spacing w:after="100"/>
      </w:pPr>
      <w:r>
        <w:rPr>
          <w:rFonts w:ascii="Calibri" w:hAnsi="Calibri"/>
          <w:b/>
          <w:color w:val="1F4D78"/>
          <w:sz w:val="21"/>
        </w:rPr>
        <w:t xml:space="preserve">Client need. </w:t>
      </w:r>
      <w:r>
        <w:rPr>
          <w:rFonts w:ascii="Calibri" w:hAnsi="Calibri"/>
          <w:color w:val="243746"/>
          <w:sz w:val="21"/>
        </w:rPr>
        <w:t>Kate repeatedly said invoicing would remain separate in Xero and expected a daily finance report rather than Salesforce document generation.</w:t>
      </w:r>
    </w:p>
    <w:p>
      <w:pPr>
        <w:spacing w:after="100"/>
      </w:pPr>
      <w:r>
        <w:rPr>
          <w:rFonts w:ascii="Calibri" w:hAnsi="Calibri"/>
          <w:b/>
          <w:color w:val="1F4D78"/>
          <w:sz w:val="21"/>
        </w:rPr>
        <w:t xml:space="preserve">Why this was necessary. </w:t>
      </w:r>
      <w:r>
        <w:rPr>
          <w:rFonts w:ascii="Calibri" w:hAnsi="Calibri"/>
          <w:color w:val="243746"/>
          <w:sz w:val="21"/>
        </w:rPr>
        <w:t>Replacing Xero would expand scope and create accounting/reconciliation risk. Salesforce should coordinate the event workflow while Xero remains the financial document system.</w:t>
      </w:r>
    </w:p>
    <w:p>
      <w:pPr>
        <w:spacing w:after="140"/>
      </w:pPr>
      <w:r>
        <w:rPr>
          <w:rFonts w:ascii="Calibri" w:hAnsi="Calibri"/>
          <w:b/>
          <w:color w:val="1F4D78"/>
          <w:sz w:val="21"/>
        </w:rPr>
        <w:t xml:space="preserve">Assessment. </w:t>
      </w:r>
      <w:r>
        <w:rPr>
          <w:rFonts w:ascii="Calibri" w:hAnsi="Calibri"/>
          <w:color w:val="243746"/>
          <w:sz w:val="21"/>
        </w:rPr>
        <w:t>Aligned. No spare Salesforce licences means the operational process may need Kate/another licensed user to export CSV and record updates.</w:t>
      </w:r>
    </w:p>
    <w:p>
      <w:pPr>
        <w:pStyle w:val="Heading3"/>
        <w:spacing w:before="200" w:after="60"/>
      </w:pPr>
      <w:r>
        <w:rPr>
          <w:rFonts w:ascii="Calibri" w:hAnsi="Calibri"/>
          <w:b/>
          <w:color w:val="1F4D78"/>
          <w:sz w:val="24"/>
        </w:rPr>
        <w:t>D37 — Finance milestones are explicit and reportable</w:t>
      </w:r>
    </w:p>
    <w:p>
      <w:pPr>
        <w:spacing w:after="80"/>
      </w:pPr>
      <w:r>
        <w:rPr>
          <w:rFonts w:ascii="Calibri" w:hAnsi="Calibri"/>
          <w:b/>
          <w:color w:val="2F6B4F"/>
          <w:sz w:val="19"/>
        </w:rPr>
        <w:t>Aligned</w:t>
      </w:r>
      <w:r>
        <w:rPr>
          <w:rFonts w:ascii="Calibri" w:hAnsi="Calibri"/>
          <w:color w:val="667580"/>
          <w:sz w:val="18"/>
        </w:rPr>
        <w:t xml:space="preserve">  |  M4 00:03:47–00:07:58; E16</w:t>
      </w:r>
    </w:p>
    <w:p>
      <w:pPr>
        <w:spacing w:after="100"/>
      </w:pPr>
      <w:r>
        <w:rPr>
          <w:rFonts w:ascii="Calibri" w:hAnsi="Calibri"/>
          <w:b/>
          <w:color w:val="1F4D78"/>
          <w:sz w:val="21"/>
        </w:rPr>
        <w:t xml:space="preserve">Current solution. </w:t>
      </w:r>
      <w:r>
        <w:rPr>
          <w:rFonts w:ascii="Calibri" w:hAnsi="Calibri"/>
          <w:color w:val="243746"/>
          <w:sz w:val="21"/>
        </w:rPr>
        <w:t>The panel tracks quote provided, invoice provided and payment received, with dates/users, and exposes finance queues, a report and progress metrics.</w:t>
      </w:r>
    </w:p>
    <w:p>
      <w:pPr>
        <w:spacing w:after="100"/>
      </w:pPr>
      <w:r>
        <w:rPr>
          <w:rFonts w:ascii="Calibri" w:hAnsi="Calibri"/>
          <w:b/>
          <w:color w:val="1F4D78"/>
          <w:sz w:val="21"/>
        </w:rPr>
        <w:t xml:space="preserve">Client need. </w:t>
      </w:r>
      <w:r>
        <w:rPr>
          <w:rFonts w:ascii="Calibri" w:hAnsi="Calibri"/>
          <w:color w:val="243746"/>
          <w:sz w:val="21"/>
        </w:rPr>
        <w:t>Kate asked what Finance could receive, how quote/invoice numbers and dates could be recorded, how paid status would be updated and whether progress could be seen on a dashboard.</w:t>
      </w:r>
    </w:p>
    <w:p>
      <w:pPr>
        <w:spacing w:after="100"/>
      </w:pPr>
      <w:r>
        <w:rPr>
          <w:rFonts w:ascii="Calibri" w:hAnsi="Calibri"/>
          <w:b/>
          <w:color w:val="1F4D78"/>
          <w:sz w:val="21"/>
        </w:rPr>
        <w:t xml:space="preserve">Why this was necessary. </w:t>
      </w:r>
      <w:r>
        <w:rPr>
          <w:rFonts w:ascii="Calibri" w:hAnsi="Calibri"/>
          <w:color w:val="243746"/>
          <w:sz w:val="21"/>
        </w:rPr>
        <w:t>A single ‘finance complete’ checkbox cannot show where a booking is blocked. Separate milestones support workload queues and prevent a final confirmation being sent too early.</w:t>
      </w:r>
    </w:p>
    <w:p>
      <w:pPr>
        <w:spacing w:after="140"/>
      </w:pPr>
      <w:r>
        <w:rPr>
          <w:rFonts w:ascii="Calibri" w:hAnsi="Calibri"/>
          <w:b/>
          <w:color w:val="1F4D78"/>
          <w:sz w:val="21"/>
        </w:rPr>
        <w:t xml:space="preserve">Assessment. </w:t>
      </w:r>
      <w:r>
        <w:rPr>
          <w:rFonts w:ascii="Calibri" w:hAnsi="Calibri"/>
          <w:color w:val="243746"/>
          <w:sz w:val="21"/>
        </w:rPr>
        <w:t>The core tracking exists. The email automation currently does not consistently obey the intended payment gate, which is addressed separately.</w:t>
      </w:r>
    </w:p>
    <w:p>
      <w:pPr>
        <w:pStyle w:val="Heading3"/>
        <w:spacing w:before="200" w:after="60"/>
      </w:pPr>
      <w:r>
        <w:rPr>
          <w:rFonts w:ascii="Calibri" w:hAnsi="Calibri"/>
          <w:b/>
          <w:color w:val="1F4D78"/>
          <w:sz w:val="24"/>
        </w:rPr>
        <w:t>D38 — Complimentary organisations bypass paid finance stages</w:t>
      </w:r>
    </w:p>
    <w:p>
      <w:pPr>
        <w:spacing w:after="80"/>
      </w:pPr>
      <w:r>
        <w:rPr>
          <w:rFonts w:ascii="Calibri" w:hAnsi="Calibri"/>
          <w:b/>
          <w:color w:val="2F6B4F"/>
          <w:sz w:val="19"/>
        </w:rPr>
        <w:t>Aligned</w:t>
      </w:r>
      <w:r>
        <w:rPr>
          <w:rFonts w:ascii="Calibri" w:hAnsi="Calibri"/>
          <w:color w:val="667580"/>
          <w:sz w:val="18"/>
        </w:rPr>
        <w:t xml:space="preserve">  |  M4 00:04:24–00:05:11; E3</w:t>
      </w:r>
    </w:p>
    <w:p>
      <w:pPr>
        <w:spacing w:after="100"/>
      </w:pPr>
      <w:r>
        <w:rPr>
          <w:rFonts w:ascii="Calibri" w:hAnsi="Calibri"/>
          <w:b/>
          <w:color w:val="1F4D78"/>
          <w:sz w:val="21"/>
        </w:rPr>
        <w:t xml:space="preserve">Current solution. </w:t>
      </w:r>
      <w:r>
        <w:rPr>
          <w:rFonts w:ascii="Calibri" w:hAnsi="Calibri"/>
          <w:color w:val="243746"/>
          <w:sz w:val="21"/>
        </w:rPr>
        <w:t>Eligible complimentary records use a no-finance path and distinct confirmation content rather than waiting for a quote, invoice or payment.</w:t>
      </w:r>
    </w:p>
    <w:p>
      <w:pPr>
        <w:spacing w:after="100"/>
      </w:pPr>
      <w:r>
        <w:rPr>
          <w:rFonts w:ascii="Calibri" w:hAnsi="Calibri"/>
          <w:b/>
          <w:color w:val="1F4D78"/>
          <w:sz w:val="21"/>
        </w:rPr>
        <w:t xml:space="preserve">Client need. </w:t>
      </w:r>
      <w:r>
        <w:rPr>
          <w:rFonts w:ascii="Calibri" w:hAnsi="Calibri"/>
          <w:color w:val="243746"/>
          <w:sz w:val="21"/>
        </w:rPr>
        <w:t>The client has charities, government and other non-paying organisations and supplied a separate complimentary-space confirmation template.</w:t>
      </w:r>
    </w:p>
    <w:p>
      <w:pPr>
        <w:spacing w:after="100"/>
      </w:pPr>
      <w:r>
        <w:rPr>
          <w:rFonts w:ascii="Calibri" w:hAnsi="Calibri"/>
          <w:b/>
          <w:color w:val="1F4D78"/>
          <w:sz w:val="21"/>
        </w:rPr>
        <w:t xml:space="preserve">Why this was necessary. </w:t>
      </w:r>
      <w:r>
        <w:rPr>
          <w:rFonts w:ascii="Calibri" w:hAnsi="Calibri"/>
          <w:color w:val="243746"/>
          <w:sz w:val="21"/>
        </w:rPr>
        <w:t>Sending free bookings into payment queues would make dashboards inaccurate and delay confirmation for no reason.</w:t>
      </w:r>
    </w:p>
    <w:p>
      <w:pPr>
        <w:spacing w:after="140"/>
      </w:pPr>
      <w:r>
        <w:rPr>
          <w:rFonts w:ascii="Calibri" w:hAnsi="Calibri"/>
          <w:b/>
          <w:color w:val="1F4D78"/>
          <w:sz w:val="21"/>
        </w:rPr>
        <w:t xml:space="preserve">Assessment. </w:t>
      </w:r>
      <w:r>
        <w:rPr>
          <w:rFonts w:ascii="Calibri" w:hAnsi="Calibri"/>
          <w:color w:val="243746"/>
          <w:sz w:val="21"/>
        </w:rPr>
        <w:t>Aligned, provided the eligibility/category decision is made by an authorised user rather than inferred solely from self-selected form data.</w:t>
      </w:r>
    </w:p>
    <w:p>
      <w:pPr>
        <w:pStyle w:val="Heading3"/>
        <w:spacing w:before="200" w:after="60"/>
      </w:pPr>
      <w:r>
        <w:rPr>
          <w:rFonts w:ascii="Calibri" w:hAnsi="Calibri"/>
          <w:b/>
          <w:color w:val="1F4D78"/>
          <w:sz w:val="24"/>
        </w:rPr>
        <w:t>D39 — Stripe is modelled as optional, not assumed approved</w:t>
      </w:r>
    </w:p>
    <w:p>
      <w:pPr>
        <w:spacing w:after="80"/>
      </w:pPr>
      <w:r>
        <w:rPr>
          <w:rFonts w:ascii="Calibri" w:hAnsi="Calibri"/>
          <w:b/>
          <w:color w:val="9B1C1C"/>
          <w:sz w:val="19"/>
        </w:rPr>
        <w:t>Pending</w:t>
      </w:r>
      <w:r>
        <w:rPr>
          <w:rFonts w:ascii="Calibri" w:hAnsi="Calibri"/>
          <w:color w:val="667580"/>
          <w:sz w:val="18"/>
        </w:rPr>
        <w:t xml:space="preserve">  |  E10; E16; E18; A4</w:t>
      </w:r>
    </w:p>
    <w:p>
      <w:pPr>
        <w:spacing w:before="40" w:after="60" w:line="259" w:lineRule="auto"/>
        <w:ind w:left="317" w:right="173"/>
        <w:shd w:fill="E8EEF5"/>
      </w:pPr>
      <w:r>
        <w:rPr>
          <w:rFonts w:ascii="Calibri" w:hAnsi="Calibri"/>
          <w:i/>
          <w:color w:val="1F4D78"/>
          <w:sz w:val="21"/>
        </w:rPr>
        <w:t>“this is hoping we do go ahead with this option to be decided next week”</w:t>
      </w:r>
      <w:r>
        <w:rPr>
          <w:rFonts w:ascii="Calibri" w:hAnsi="Calibri"/>
          <w:color w:val="667580"/>
          <w:sz w:val="18"/>
        </w:rPr>
        <w:t xml:space="preserve">  — Kate, email ‘Finance changes to forms’, 28 August 2026</w:t>
      </w:r>
    </w:p>
    <w:p>
      <w:pPr>
        <w:spacing w:after="100"/>
      </w:pPr>
      <w:r>
        <w:rPr>
          <w:rFonts w:ascii="Calibri" w:hAnsi="Calibri"/>
          <w:b/>
          <w:color w:val="1F4D78"/>
          <w:sz w:val="21"/>
        </w:rPr>
        <w:t xml:space="preserve">Current solution. </w:t>
      </w:r>
      <w:r>
        <w:rPr>
          <w:rFonts w:ascii="Calibri" w:hAnsi="Calibri"/>
          <w:color w:val="243746"/>
          <w:sz w:val="21"/>
        </w:rPr>
        <w:t>The forms and Salesforce model can record Stripe as the payment route. A scoped proposal exists for payment-link creation and webhook status, but the integration itself is not present in the current solution.</w:t>
      </w:r>
    </w:p>
    <w:p>
      <w:pPr>
        <w:spacing w:after="100"/>
      </w:pPr>
      <w:r>
        <w:rPr>
          <w:rFonts w:ascii="Calibri" w:hAnsi="Calibri"/>
          <w:b/>
          <w:color w:val="1F4D78"/>
          <w:sz w:val="21"/>
        </w:rPr>
        <w:t xml:space="preserve">Client need. </w:t>
      </w:r>
      <w:r>
        <w:rPr>
          <w:rFonts w:ascii="Calibri" w:hAnsi="Calibri"/>
          <w:color w:val="243746"/>
          <w:sz w:val="21"/>
        </w:rPr>
        <w:t>Finance asked whether a Stripe link could be placed in the provisional-booking process; Kate later said approval was still pending and linked the decision to launch timing and final terms.</w:t>
      </w:r>
    </w:p>
    <w:p>
      <w:pPr>
        <w:spacing w:after="100"/>
      </w:pPr>
      <w:r>
        <w:rPr>
          <w:rFonts w:ascii="Calibri" w:hAnsi="Calibri"/>
          <w:b/>
          <w:color w:val="1F4D78"/>
          <w:sz w:val="21"/>
        </w:rPr>
        <w:t xml:space="preserve">Why this was necessary. </w:t>
      </w:r>
      <w:r>
        <w:rPr>
          <w:rFonts w:ascii="Calibri" w:hAnsi="Calibri"/>
          <w:color w:val="243746"/>
          <w:sz w:val="21"/>
        </w:rPr>
        <w:t>Modelling the route early avoids redesigning finance fields later, but activating it before trustee approval, terms and webhook testing would be premature.</w:t>
      </w:r>
    </w:p>
    <w:p>
      <w:pPr>
        <w:spacing w:after="140"/>
      </w:pPr>
      <w:r>
        <w:rPr>
          <w:rFonts w:ascii="Calibri" w:hAnsi="Calibri"/>
          <w:b/>
          <w:color w:val="1F4D78"/>
          <w:sz w:val="21"/>
        </w:rPr>
        <w:t xml:space="preserve">Assessment. </w:t>
      </w:r>
      <w:r>
        <w:rPr>
          <w:rFonts w:ascii="Calibri" w:hAnsi="Calibri"/>
          <w:color w:val="243746"/>
          <w:sz w:val="21"/>
        </w:rPr>
        <w:t>Correctly incomplete. Do not represent the current build as taking Stripe payments.</w:t>
      </w:r>
    </w:p>
    <w:p>
      <w:pPr>
        <w:pStyle w:val="Heading3"/>
        <w:spacing w:before="200" w:after="60"/>
      </w:pPr>
      <w:r>
        <w:rPr>
          <w:rFonts w:ascii="Calibri" w:hAnsi="Calibri"/>
          <w:b/>
          <w:color w:val="1F4D78"/>
          <w:sz w:val="24"/>
        </w:rPr>
        <w:t>D40 — Final confirmation must follow payment for paid bookings</w:t>
      </w:r>
    </w:p>
    <w:p>
      <w:pPr>
        <w:spacing w:after="80"/>
      </w:pPr>
      <w:r>
        <w:rPr>
          <w:rFonts w:ascii="Calibri" w:hAnsi="Calibri"/>
          <w:b/>
          <w:color w:val="9B1C1C"/>
          <w:sz w:val="19"/>
        </w:rPr>
        <w:t>Not aligned</w:t>
      </w:r>
      <w:r>
        <w:rPr>
          <w:rFonts w:ascii="Calibri" w:hAnsi="Calibri"/>
          <w:color w:val="667580"/>
          <w:sz w:val="18"/>
        </w:rPr>
        <w:t xml:space="preserve">  |  E10; E13; E18; R1</w:t>
      </w:r>
    </w:p>
    <w:p>
      <w:pPr>
        <w:spacing w:before="40" w:after="60" w:line="259" w:lineRule="auto"/>
        <w:ind w:left="317" w:right="173"/>
        <w:shd w:fill="E8EEF5"/>
      </w:pPr>
      <w:r>
        <w:rPr>
          <w:rFonts w:ascii="Calibri" w:hAnsi="Calibri"/>
          <w:i/>
          <w:color w:val="1F4D78"/>
          <w:sz w:val="21"/>
        </w:rPr>
        <w:t>“Finance don’t want us to confirm the booking until they have paid”</w:t>
      </w:r>
      <w:r>
        <w:rPr>
          <w:rFonts w:ascii="Calibri" w:hAnsi="Calibri"/>
          <w:color w:val="667580"/>
          <w:sz w:val="18"/>
        </w:rPr>
        <w:t xml:space="preserve">  — Kate, email ‘Stripe payment option?’, 19 August 2026</w:t>
      </w:r>
    </w:p>
    <w:p>
      <w:pPr>
        <w:spacing w:after="100"/>
      </w:pPr>
      <w:r>
        <w:rPr>
          <w:rFonts w:ascii="Calibri" w:hAnsi="Calibri"/>
          <w:b/>
          <w:color w:val="1F4D78"/>
          <w:sz w:val="21"/>
        </w:rPr>
        <w:t xml:space="preserve">Current solution. </w:t>
      </w:r>
      <w:r>
        <w:rPr>
          <w:rFonts w:ascii="Calibri" w:hAnsi="Calibri"/>
          <w:color w:val="243746"/>
          <w:sz w:val="21"/>
        </w:rPr>
        <w:t>The panel can identify payment complete, but the Exhibitor approval service sends a ‘place is confirmed’ email on Lead conversion, and the Partner/Sponsor application acknowledgement says the partnership is confirmed immediately on submission.</w:t>
      </w:r>
    </w:p>
    <w:p>
      <w:pPr>
        <w:spacing w:after="100"/>
      </w:pPr>
      <w:r>
        <w:rPr>
          <w:rFonts w:ascii="Calibri" w:hAnsi="Calibri"/>
          <w:b/>
          <w:color w:val="1F4D78"/>
          <w:sz w:val="21"/>
        </w:rPr>
        <w:t xml:space="preserve">Client need. </w:t>
      </w:r>
      <w:r>
        <w:rPr>
          <w:rFonts w:ascii="Calibri" w:hAnsi="Calibri"/>
          <w:color w:val="243746"/>
          <w:sz w:val="21"/>
        </w:rPr>
        <w:t>The later process is provisional allocation/space, finance action and payment, then confirmation and the separate staff form. The 1 September email explicitly asks for a provisional-space template before the confirmation-of-space message.</w:t>
      </w:r>
    </w:p>
    <w:p>
      <w:pPr>
        <w:spacing w:after="100"/>
      </w:pPr>
      <w:r>
        <w:rPr>
          <w:rFonts w:ascii="Calibri" w:hAnsi="Calibri"/>
          <w:b/>
          <w:color w:val="1F4D78"/>
          <w:sz w:val="21"/>
        </w:rPr>
        <w:t xml:space="preserve">Why this was necessary. </w:t>
      </w:r>
      <w:r>
        <w:rPr>
          <w:rFonts w:ascii="Calibri" w:hAnsi="Calibri"/>
          <w:color w:val="243746"/>
          <w:sz w:val="21"/>
        </w:rPr>
        <w:t>Confirmation language can create an expectation that space is secured even when payment is outstanding, undermining the client’s attempt to prevent bad debt.</w:t>
      </w:r>
    </w:p>
    <w:p>
      <w:pPr>
        <w:spacing w:after="140"/>
      </w:pPr>
      <w:r>
        <w:rPr>
          <w:rFonts w:ascii="Calibri" w:hAnsi="Calibri"/>
          <w:b/>
          <w:color w:val="1F4D78"/>
          <w:sz w:val="21"/>
        </w:rPr>
        <w:t xml:space="preserve">Assessment. </w:t>
      </w:r>
      <w:r>
        <w:rPr>
          <w:rFonts w:ascii="Calibri" w:hAnsi="Calibri"/>
          <w:color w:val="243746"/>
          <w:sz w:val="21"/>
        </w:rPr>
        <w:t>This is the most important current process mismatch. Email names, triggers and wording must be split into application receipt, provisional allocation/payment request and final paid confirmation.</w:t>
      </w:r>
    </w:p>
    <w:p>
      <w:pPr>
        <w:pStyle w:val="Heading2"/>
        <w:keepNext/>
      </w:pPr>
      <w:r>
        <w:t>4.4 Staff, logistics, artwork, communications and reporting</w:t>
      </w:r>
    </w:p>
    <w:p>
      <w:pPr>
        <w:pStyle w:val="Heading3"/>
        <w:spacing w:before="200" w:after="60"/>
      </w:pPr>
      <w:r>
        <w:rPr>
          <w:rFonts w:ascii="Calibri" w:hAnsi="Calibri"/>
          <w:b/>
          <w:color w:val="1F4D78"/>
          <w:sz w:val="24"/>
        </w:rPr>
        <w:t>D41 — Initial applications collect staff counts, not final names</w:t>
      </w:r>
    </w:p>
    <w:p>
      <w:pPr>
        <w:spacing w:after="80"/>
      </w:pPr>
      <w:r>
        <w:rPr>
          <w:rFonts w:ascii="Calibri" w:hAnsi="Calibri"/>
          <w:b/>
          <w:color w:val="2F6B4F"/>
          <w:sz w:val="19"/>
        </w:rPr>
        <w:t>Aligned</w:t>
      </w:r>
      <w:r>
        <w:rPr>
          <w:rFonts w:ascii="Calibri" w:hAnsi="Calibri"/>
          <w:color w:val="667580"/>
          <w:sz w:val="18"/>
        </w:rPr>
        <w:t xml:space="preserve">  |  M1 00:13:42; E12; E13; R1</w:t>
      </w:r>
    </w:p>
    <w:p>
      <w:pPr>
        <w:spacing w:after="100"/>
      </w:pPr>
      <w:r>
        <w:rPr>
          <w:rFonts w:ascii="Calibri" w:hAnsi="Calibri"/>
          <w:b/>
          <w:color w:val="1F4D78"/>
          <w:sz w:val="21"/>
        </w:rPr>
        <w:t xml:space="preserve">Current solution. </w:t>
      </w:r>
      <w:r>
        <w:rPr>
          <w:rFonts w:ascii="Calibri" w:hAnsi="Calibri"/>
          <w:color w:val="243746"/>
          <w:sz w:val="21"/>
        </w:rPr>
        <w:t>Commercial applications record the planned number of people. Final names are requested in a later dedicated form.</w:t>
      </w:r>
    </w:p>
    <w:p>
      <w:pPr>
        <w:spacing w:after="100"/>
      </w:pPr>
      <w:r>
        <w:rPr>
          <w:rFonts w:ascii="Calibri" w:hAnsi="Calibri"/>
          <w:b/>
          <w:color w:val="1F4D78"/>
          <w:sz w:val="21"/>
        </w:rPr>
        <w:t xml:space="preserve">Client need. </w:t>
      </w:r>
      <w:r>
        <w:rPr>
          <w:rFonts w:ascii="Calibri" w:hAnsi="Calibri"/>
          <w:color w:val="243746"/>
          <w:sz w:val="21"/>
        </w:rPr>
        <w:t>The client said organisations often do not know the individuals at booking time and accepted the later-form model on 24 August.</w:t>
      </w:r>
    </w:p>
    <w:p>
      <w:pPr>
        <w:spacing w:after="100"/>
      </w:pPr>
      <w:r>
        <w:rPr>
          <w:rFonts w:ascii="Calibri" w:hAnsi="Calibri"/>
          <w:b/>
          <w:color w:val="1F4D78"/>
          <w:sz w:val="21"/>
        </w:rPr>
        <w:t xml:space="preserve">Why this was necessary. </w:t>
      </w:r>
      <w:r>
        <w:rPr>
          <w:rFonts w:ascii="Calibri" w:hAnsi="Calibri"/>
          <w:color w:val="243746"/>
          <w:sz w:val="21"/>
        </w:rPr>
        <w:t>Requiring final names months early would produce placeholder data that must be corrected. A count is sufficient for price/capacity planning while the later roster supports accreditation.</w:t>
      </w:r>
    </w:p>
    <w:p>
      <w:pPr>
        <w:spacing w:after="140"/>
      </w:pPr>
      <w:r>
        <w:rPr>
          <w:rFonts w:ascii="Calibri" w:hAnsi="Calibri"/>
          <w:b/>
          <w:color w:val="1F4D78"/>
          <w:sz w:val="21"/>
        </w:rPr>
        <w:t xml:space="preserve">Assessment. </w:t>
      </w:r>
      <w:r>
        <w:rPr>
          <w:rFonts w:ascii="Calibri" w:hAnsi="Calibri"/>
          <w:color w:val="243746"/>
          <w:sz w:val="21"/>
        </w:rPr>
        <w:t>The 1 September split-staff implementation follows the latest recorded decision.</w:t>
      </w:r>
    </w:p>
    <w:p>
      <w:pPr>
        <w:pStyle w:val="Heading3"/>
        <w:spacing w:before="200" w:after="60"/>
      </w:pPr>
      <w:r>
        <w:rPr>
          <w:rFonts w:ascii="Calibri" w:hAnsi="Calibri"/>
          <w:b/>
          <w:color w:val="1F4D78"/>
          <w:sz w:val="24"/>
        </w:rPr>
        <w:t>D42 — Partner/Sponsor and Exhibitor staff updates have different rules</w:t>
      </w:r>
    </w:p>
    <w:p>
      <w:pPr>
        <w:spacing w:after="80"/>
      </w:pPr>
      <w:r>
        <w:rPr>
          <w:rFonts w:ascii="Calibri" w:hAnsi="Calibri"/>
          <w:b/>
          <w:color w:val="2F6B4F"/>
          <w:sz w:val="19"/>
        </w:rPr>
        <w:t>Aligned</w:t>
      </w:r>
      <w:r>
        <w:rPr>
          <w:rFonts w:ascii="Calibri" w:hAnsi="Calibri"/>
          <w:color w:val="667580"/>
          <w:sz w:val="18"/>
        </w:rPr>
        <w:t xml:space="preserve">  |  E12; E13; R1</w:t>
      </w:r>
    </w:p>
    <w:p>
      <w:pPr>
        <w:spacing w:after="100"/>
      </w:pPr>
      <w:r>
        <w:rPr>
          <w:rFonts w:ascii="Calibri" w:hAnsi="Calibri"/>
          <w:b/>
          <w:color w:val="1F4D78"/>
          <w:sz w:val="21"/>
        </w:rPr>
        <w:t xml:space="preserve">Current solution. </w:t>
      </w:r>
      <w:r>
        <w:rPr>
          <w:rFonts w:ascii="Calibri" w:hAnsi="Calibri"/>
          <w:color w:val="243746"/>
          <w:sz w:val="21"/>
        </w:rPr>
        <w:t>Exhibitors provide included names and any paid top-up names/count; Partners/Sponsors provide their package/agreement-based total and names without the exhibitor surcharge formula.</w:t>
      </w:r>
    </w:p>
    <w:p>
      <w:pPr>
        <w:spacing w:after="100"/>
      </w:pPr>
      <w:r>
        <w:rPr>
          <w:rFonts w:ascii="Calibri" w:hAnsi="Calibri"/>
          <w:b/>
          <w:color w:val="1F4D78"/>
          <w:sz w:val="21"/>
        </w:rPr>
        <w:t xml:space="preserve">Client need. </w:t>
      </w:r>
      <w:r>
        <w:rPr>
          <w:rFonts w:ascii="Calibri" w:hAnsi="Calibri"/>
          <w:color w:val="243746"/>
          <w:sz w:val="21"/>
        </w:rPr>
        <w:t>Kate differentiated single/double Exhibitor allocations from Partner/Sponsor and Delivery Partner agreement terms.</w:t>
      </w:r>
    </w:p>
    <w:p>
      <w:pPr>
        <w:spacing w:after="100"/>
      </w:pPr>
      <w:r>
        <w:rPr>
          <w:rFonts w:ascii="Calibri" w:hAnsi="Calibri"/>
          <w:b/>
          <w:color w:val="1F4D78"/>
          <w:sz w:val="21"/>
        </w:rPr>
        <w:t xml:space="preserve">Why this was necessary. </w:t>
      </w:r>
      <w:r>
        <w:rPr>
          <w:rFonts w:ascii="Calibri" w:hAnsi="Calibri"/>
          <w:color w:val="243746"/>
          <w:sz w:val="21"/>
        </w:rPr>
        <w:t>The distinction prevents the wrong charging model and produces reports that show both total attendance and additional revenue.</w:t>
      </w:r>
    </w:p>
    <w:p>
      <w:pPr>
        <w:spacing w:after="140"/>
      </w:pPr>
      <w:r>
        <w:rPr>
          <w:rFonts w:ascii="Calibri" w:hAnsi="Calibri"/>
          <w:b/>
          <w:color w:val="1F4D78"/>
          <w:sz w:val="21"/>
        </w:rPr>
        <w:t xml:space="preserve">Assessment. </w:t>
      </w:r>
      <w:r>
        <w:rPr>
          <w:rFonts w:ascii="Calibri" w:hAnsi="Calibri"/>
          <w:color w:val="243746"/>
          <w:sz w:val="21"/>
        </w:rPr>
        <w:t>The route split is justified; final allocation values remain a client input.</w:t>
      </w:r>
    </w:p>
    <w:p>
      <w:pPr>
        <w:pStyle w:val="Heading3"/>
        <w:spacing w:before="200" w:after="60"/>
      </w:pPr>
      <w:r>
        <w:rPr>
          <w:rFonts w:ascii="Calibri" w:hAnsi="Calibri"/>
          <w:b/>
          <w:color w:val="1F4D78"/>
          <w:sz w:val="24"/>
        </w:rPr>
        <w:t>D43 — The staff deadline is enforced operationally rather than through editable submissions</w:t>
      </w:r>
    </w:p>
    <w:p>
      <w:pPr>
        <w:spacing w:after="80"/>
      </w:pPr>
      <w:r>
        <w:rPr>
          <w:rFonts w:ascii="Calibri" w:hAnsi="Calibri"/>
          <w:b/>
          <w:color w:val="7A5A00"/>
          <w:sz w:val="19"/>
        </w:rPr>
        <w:t>Partial</w:t>
      </w:r>
      <w:r>
        <w:rPr>
          <w:rFonts w:ascii="Calibri" w:hAnsi="Calibri"/>
          <w:color w:val="667580"/>
          <w:sz w:val="18"/>
        </w:rPr>
        <w:t xml:space="preserve">  |  E12; E13</w:t>
      </w:r>
    </w:p>
    <w:p>
      <w:pPr>
        <w:spacing w:after="100"/>
      </w:pPr>
      <w:r>
        <w:rPr>
          <w:rFonts w:ascii="Calibri" w:hAnsi="Calibri"/>
          <w:b/>
          <w:color w:val="1F4D78"/>
          <w:sz w:val="21"/>
        </w:rPr>
        <w:t xml:space="preserve">Current solution. </w:t>
      </w:r>
      <w:r>
        <w:rPr>
          <w:rFonts w:ascii="Calibri" w:hAnsi="Calibri"/>
          <w:color w:val="243746"/>
          <w:sz w:val="21"/>
        </w:rPr>
        <w:t>The update form can be distributed approximately one to two weeks before the event and withdrawn at a deadline; reminders can target outstanding records. The original submission is not reopened repeatedly.</w:t>
      </w:r>
    </w:p>
    <w:p>
      <w:pPr>
        <w:spacing w:after="100"/>
      </w:pPr>
      <w:r>
        <w:rPr>
          <w:rFonts w:ascii="Calibri" w:hAnsi="Calibri"/>
          <w:b/>
          <w:color w:val="1F4D78"/>
          <w:sz w:val="21"/>
        </w:rPr>
        <w:t xml:space="preserve">Client need. </w:t>
      </w:r>
      <w:r>
        <w:rPr>
          <w:rFonts w:ascii="Calibri" w:hAnsi="Calibri"/>
          <w:color w:val="243746"/>
          <w:sz w:val="21"/>
        </w:rPr>
        <w:t>Kate proposed a Friday 26 February 17:00 cut-off and asked whether people could change names during the final two weeks.</w:t>
      </w:r>
    </w:p>
    <w:p>
      <w:pPr>
        <w:spacing w:after="100"/>
      </w:pPr>
      <w:r>
        <w:rPr>
          <w:rFonts w:ascii="Calibri" w:hAnsi="Calibri"/>
          <w:b/>
          <w:color w:val="1F4D78"/>
          <w:sz w:val="21"/>
        </w:rPr>
        <w:t xml:space="preserve">Why this was necessary. </w:t>
      </w:r>
      <w:r>
        <w:rPr>
          <w:rFonts w:ascii="Calibri" w:hAnsi="Calibri"/>
          <w:color w:val="243746"/>
          <w:sz w:val="21"/>
        </w:rPr>
        <w:t>Native Web-to-Lead does not provide authenticated save/reopen. Sending a time-bounded update form is simpler and avoids exposing the original commercial record.</w:t>
      </w:r>
    </w:p>
    <w:p>
      <w:pPr>
        <w:spacing w:after="140"/>
      </w:pPr>
      <w:r>
        <w:rPr>
          <w:rFonts w:ascii="Calibri" w:hAnsi="Calibri"/>
          <w:b/>
          <w:color w:val="1F4D78"/>
          <w:sz w:val="21"/>
        </w:rPr>
        <w:t xml:space="preserve">Assessment. </w:t>
      </w:r>
      <w:r>
        <w:rPr>
          <w:rFonts w:ascii="Calibri" w:hAnsi="Calibri"/>
          <w:color w:val="243746"/>
          <w:sz w:val="21"/>
        </w:rPr>
        <w:t>The operating model was accepted, but the final deadline, correction process after submission and who closes/reopens the page need documenting.</w:t>
      </w:r>
    </w:p>
    <w:p>
      <w:pPr>
        <w:pStyle w:val="Heading3"/>
        <w:spacing w:before="200" w:after="60"/>
      </w:pPr>
      <w:r>
        <w:rPr>
          <w:rFonts w:ascii="Calibri" w:hAnsi="Calibri"/>
          <w:b/>
          <w:color w:val="1F4D78"/>
          <w:sz w:val="24"/>
        </w:rPr>
        <w:t>D44 — Heavy-vehicle information is requested later</w:t>
      </w:r>
    </w:p>
    <w:p>
      <w:pPr>
        <w:spacing w:after="80"/>
      </w:pPr>
      <w:r>
        <w:rPr>
          <w:rFonts w:ascii="Calibri" w:hAnsi="Calibri"/>
          <w:b/>
          <w:color w:val="2F6B4F"/>
          <w:sz w:val="19"/>
        </w:rPr>
        <w:t>Aligned</w:t>
      </w:r>
      <w:r>
        <w:rPr>
          <w:rFonts w:ascii="Calibri" w:hAnsi="Calibri"/>
          <w:color w:val="667580"/>
          <w:sz w:val="18"/>
        </w:rPr>
        <w:t xml:space="preserve">  |  E2; M3; E6</w:t>
      </w:r>
    </w:p>
    <w:p>
      <w:pPr>
        <w:spacing w:before="40" w:after="60" w:line="259" w:lineRule="auto"/>
        <w:ind w:left="317" w:right="173"/>
        <w:shd w:fill="E8EEF5"/>
      </w:pPr>
      <w:r>
        <w:rPr>
          <w:rFonts w:ascii="Calibri" w:hAnsi="Calibri"/>
          <w:i/>
          <w:color w:val="1F4D78"/>
          <w:sz w:val="21"/>
        </w:rPr>
        <w:t>“They won’t usually have the information at this stage, so again it may need to be sent nearer the event.”</w:t>
      </w:r>
      <w:r>
        <w:rPr>
          <w:rFonts w:ascii="Calibri" w:hAnsi="Calibri"/>
          <w:color w:val="667580"/>
          <w:sz w:val="18"/>
        </w:rPr>
        <w:t xml:space="preserve">  — Kate, email ‘Web to lead forms’, 7 August 2026</w:t>
      </w:r>
    </w:p>
    <w:p>
      <w:pPr>
        <w:spacing w:after="100"/>
      </w:pPr>
      <w:r>
        <w:rPr>
          <w:rFonts w:ascii="Calibri" w:hAnsi="Calibri"/>
          <w:b/>
          <w:color w:val="1F4D78"/>
          <w:sz w:val="21"/>
        </w:rPr>
        <w:t xml:space="preserve">Current solution. </w:t>
      </w:r>
      <w:r>
        <w:rPr>
          <w:rFonts w:ascii="Calibri" w:hAnsi="Calibri"/>
          <w:color w:val="243746"/>
          <w:sz w:val="21"/>
        </w:rPr>
        <w:t>The application records whether heavy logistics may be needed; a separate later form captures vehicle/item, model, dimensions/weight and haulier details against the booking reference.</w:t>
      </w:r>
    </w:p>
    <w:p>
      <w:pPr>
        <w:spacing w:after="100"/>
      </w:pPr>
      <w:r>
        <w:rPr>
          <w:rFonts w:ascii="Calibri" w:hAnsi="Calibri"/>
          <w:b/>
          <w:color w:val="1F4D78"/>
          <w:sz w:val="21"/>
        </w:rPr>
        <w:t xml:space="preserve">Client need. </w:t>
      </w:r>
      <w:r>
        <w:rPr>
          <w:rFonts w:ascii="Calibri" w:hAnsi="Calibri"/>
          <w:color w:val="243746"/>
          <w:sz w:val="21"/>
        </w:rPr>
        <w:t>Applicants cannot provide reliable vehicle details at initial booking, but Mission Community must supply them for event logistics.</w:t>
      </w:r>
    </w:p>
    <w:p>
      <w:pPr>
        <w:spacing w:after="100"/>
      </w:pPr>
      <w:r>
        <w:rPr>
          <w:rFonts w:ascii="Calibri" w:hAnsi="Calibri"/>
          <w:b/>
          <w:color w:val="1F4D78"/>
          <w:sz w:val="21"/>
        </w:rPr>
        <w:t xml:space="preserve">Why this was necessary. </w:t>
      </w:r>
      <w:r>
        <w:rPr>
          <w:rFonts w:ascii="Calibri" w:hAnsi="Calibri"/>
          <w:color w:val="243746"/>
          <w:sz w:val="21"/>
        </w:rPr>
        <w:t>Separating intention from final detail avoids blocking an application and gives operations a clear outstanding-update queue.</w:t>
      </w:r>
    </w:p>
    <w:p>
      <w:pPr>
        <w:spacing w:after="140"/>
      </w:pPr>
      <w:r>
        <w:rPr>
          <w:rFonts w:ascii="Calibri" w:hAnsi="Calibri"/>
          <w:b/>
          <w:color w:val="1F4D78"/>
          <w:sz w:val="21"/>
        </w:rPr>
        <w:t xml:space="preserve">Assessment. </w:t>
      </w:r>
      <w:r>
        <w:rPr>
          <w:rFonts w:ascii="Calibri" w:hAnsi="Calibri"/>
          <w:color w:val="243746"/>
          <w:sz w:val="21"/>
        </w:rPr>
        <w:t>Aligned. The fixed maximum of three items is a practical assumption that should be confirmed.</w:t>
      </w:r>
    </w:p>
    <w:p>
      <w:pPr>
        <w:pStyle w:val="Heading3"/>
        <w:spacing w:before="200" w:after="60"/>
      </w:pPr>
      <w:r>
        <w:rPr>
          <w:rFonts w:ascii="Calibri" w:hAnsi="Calibri"/>
          <w:b/>
          <w:color w:val="1F4D78"/>
          <w:sz w:val="24"/>
        </w:rPr>
        <w:t>D45 — Logo files stay in SharePoint; Salesforce tracks receipt</w:t>
      </w:r>
    </w:p>
    <w:p>
      <w:pPr>
        <w:spacing w:after="80"/>
      </w:pPr>
      <w:r>
        <w:rPr>
          <w:rFonts w:ascii="Calibri" w:hAnsi="Calibri"/>
          <w:b/>
          <w:color w:val="9B1C1C"/>
          <w:sz w:val="19"/>
        </w:rPr>
        <w:t>Pending</w:t>
      </w:r>
      <w:r>
        <w:rPr>
          <w:rFonts w:ascii="Calibri" w:hAnsi="Calibri"/>
          <w:color w:val="667580"/>
          <w:sz w:val="18"/>
        </w:rPr>
        <w:t xml:space="preserve">  |  M3; M4 00:26:15; E6; E17</w:t>
      </w:r>
    </w:p>
    <w:p>
      <w:pPr>
        <w:spacing w:before="40" w:after="60" w:line="259" w:lineRule="auto"/>
        <w:ind w:left="317" w:right="173"/>
        <w:shd w:fill="E8EEF5"/>
      </w:pPr>
      <w:r>
        <w:rPr>
          <w:rFonts w:ascii="Calibri" w:hAnsi="Calibri"/>
          <w:i/>
          <w:color w:val="1F4D78"/>
          <w:sz w:val="21"/>
        </w:rPr>
        <w:t>“If we can have a tick box to say we’ve received the artwork … and the date.”</w:t>
      </w:r>
      <w:r>
        <w:rPr>
          <w:rFonts w:ascii="Calibri" w:hAnsi="Calibri"/>
          <w:color w:val="667580"/>
          <w:sz w:val="18"/>
        </w:rPr>
        <w:t xml:space="preserve">  — Kate, M4 transcript, 21 August 2026, 00:26:15</w:t>
      </w:r>
    </w:p>
    <w:p>
      <w:pPr>
        <w:spacing w:after="100"/>
      </w:pPr>
      <w:r>
        <w:rPr>
          <w:rFonts w:ascii="Calibri" w:hAnsi="Calibri"/>
          <w:b/>
          <w:color w:val="1F4D78"/>
          <w:sz w:val="21"/>
        </w:rPr>
        <w:t xml:space="preserve">Current solution. </w:t>
      </w:r>
      <w:r>
        <w:rPr>
          <w:rFonts w:ascii="Calibri" w:hAnsi="Calibri"/>
          <w:color w:val="243746"/>
          <w:sz w:val="21"/>
        </w:rPr>
        <w:t>The solution avoids storing artwork files in Salesforce. It holds an upload link/reference and receipt status/date so staff can see completion.</w:t>
      </w:r>
    </w:p>
    <w:p>
      <w:pPr>
        <w:spacing w:after="100"/>
      </w:pPr>
      <w:r>
        <w:rPr>
          <w:rFonts w:ascii="Calibri" w:hAnsi="Calibri"/>
          <w:b/>
          <w:color w:val="1F4D78"/>
          <w:sz w:val="21"/>
        </w:rPr>
        <w:t xml:space="preserve">Client need. </w:t>
      </w:r>
      <w:r>
        <w:rPr>
          <w:rFonts w:ascii="Calibri" w:hAnsi="Calibri"/>
          <w:color w:val="243746"/>
          <w:sz w:val="21"/>
        </w:rPr>
        <w:t>Kate wanted external contributors to upload their latest logo and wanted an at-a-glance Salesforce receipt status. The agreed storage system is SharePoint.</w:t>
      </w:r>
    </w:p>
    <w:p>
      <w:pPr>
        <w:spacing w:after="100"/>
      </w:pPr>
      <w:r>
        <w:rPr>
          <w:rFonts w:ascii="Calibri" w:hAnsi="Calibri"/>
          <w:b/>
          <w:color w:val="1F4D78"/>
          <w:sz w:val="21"/>
        </w:rPr>
        <w:t xml:space="preserve">Why this was necessary. </w:t>
      </w:r>
      <w:r>
        <w:rPr>
          <w:rFonts w:ascii="Calibri" w:hAnsi="Calibri"/>
          <w:color w:val="243746"/>
          <w:sz w:val="21"/>
        </w:rPr>
        <w:t>SharePoint is better suited to files and managed external upload; Salesforce is better suited to booking status. The split avoids costly file storage and integration scope.</w:t>
      </w:r>
    </w:p>
    <w:p>
      <w:pPr>
        <w:spacing w:after="140"/>
      </w:pPr>
      <w:r>
        <w:rPr>
          <w:rFonts w:ascii="Calibri" w:hAnsi="Calibri"/>
          <w:b/>
          <w:color w:val="1F4D78"/>
          <w:sz w:val="21"/>
        </w:rPr>
        <w:t xml:space="preserve">Assessment. </w:t>
      </w:r>
      <w:r>
        <w:rPr>
          <w:rFonts w:ascii="Calibri" w:hAnsi="Calibri"/>
          <w:color w:val="243746"/>
          <w:sz w:val="21"/>
        </w:rPr>
        <w:t>The architecture is right, but the supplied link requires a Mission Community login. The public File Request URL is still blank, and the current form can mark ‘provided’ without proving upload.</w:t>
      </w:r>
    </w:p>
    <w:p>
      <w:pPr>
        <w:pStyle w:val="Heading3"/>
        <w:spacing w:before="200" w:after="60"/>
      </w:pPr>
      <w:r>
        <w:rPr>
          <w:rFonts w:ascii="Calibri" w:hAnsi="Calibri"/>
          <w:b/>
          <w:color w:val="1F4D78"/>
          <w:sz w:val="24"/>
        </w:rPr>
        <w:t>D46 — Application and update emails contain a usable record of what was submitted</w:t>
      </w:r>
    </w:p>
    <w:p>
      <w:pPr>
        <w:spacing w:after="80"/>
      </w:pPr>
      <w:r>
        <w:rPr>
          <w:rFonts w:ascii="Calibri" w:hAnsi="Calibri"/>
          <w:b/>
          <w:color w:val="2F6B4F"/>
          <w:sz w:val="19"/>
        </w:rPr>
        <w:t>Aligned</w:t>
      </w:r>
      <w:r>
        <w:rPr>
          <w:rFonts w:ascii="Calibri" w:hAnsi="Calibri"/>
          <w:color w:val="667580"/>
          <w:sz w:val="18"/>
        </w:rPr>
        <w:t xml:space="preserve">  |  E3; E6; R1</w:t>
      </w:r>
    </w:p>
    <w:p>
      <w:pPr>
        <w:spacing w:after="100"/>
      </w:pPr>
      <w:r>
        <w:rPr>
          <w:rFonts w:ascii="Calibri" w:hAnsi="Calibri"/>
          <w:b/>
          <w:color w:val="1F4D78"/>
          <w:sz w:val="21"/>
        </w:rPr>
        <w:t xml:space="preserve">Current solution. </w:t>
      </w:r>
      <w:r>
        <w:rPr>
          <w:rFonts w:ascii="Calibri" w:hAnsi="Calibri"/>
          <w:color w:val="243746"/>
          <w:sz w:val="21"/>
        </w:rPr>
        <w:t>The build includes applicant acknowledgements, internal notifications and operational update acknowledgements with structured summaries and personalised greeting fields.</w:t>
      </w:r>
    </w:p>
    <w:p>
      <w:pPr>
        <w:spacing w:after="100"/>
      </w:pPr>
      <w:r>
        <w:rPr>
          <w:rFonts w:ascii="Calibri" w:hAnsi="Calibri"/>
          <w:b/>
          <w:color w:val="1F4D78"/>
          <w:sz w:val="21"/>
        </w:rPr>
        <w:t xml:space="preserve">Client need. </w:t>
      </w:r>
      <w:r>
        <w:rPr>
          <w:rFonts w:ascii="Calibri" w:hAnsi="Calibri"/>
          <w:color w:val="243746"/>
          <w:sz w:val="21"/>
        </w:rPr>
        <w:t>Kate supplied auto-response and confirmation templates and approved the initial ‘received’ and internal notification layouts.</w:t>
      </w:r>
    </w:p>
    <w:p>
      <w:pPr>
        <w:spacing w:after="100"/>
      </w:pPr>
      <w:r>
        <w:rPr>
          <w:rFonts w:ascii="Calibri" w:hAnsi="Calibri"/>
          <w:b/>
          <w:color w:val="1F4D78"/>
          <w:sz w:val="21"/>
        </w:rPr>
        <w:t xml:space="preserve">Why this was necessary. </w:t>
      </w:r>
      <w:r>
        <w:rPr>
          <w:rFonts w:ascii="Calibri" w:hAnsi="Calibri"/>
          <w:color w:val="243746"/>
          <w:sz w:val="21"/>
        </w:rPr>
        <w:t>Applicants need a receipt they can check; staff need the same key information without searching raw fields; personalised names depend on structured first/surname capture.</w:t>
      </w:r>
    </w:p>
    <w:p>
      <w:pPr>
        <w:spacing w:after="140"/>
      </w:pPr>
      <w:r>
        <w:rPr>
          <w:rFonts w:ascii="Calibri" w:hAnsi="Calibri"/>
          <w:b/>
          <w:color w:val="1F4D78"/>
          <w:sz w:val="21"/>
        </w:rPr>
        <w:t xml:space="preserve">Assessment. </w:t>
      </w:r>
      <w:r>
        <w:rPr>
          <w:rFonts w:ascii="Calibri" w:hAnsi="Calibri"/>
          <w:color w:val="243746"/>
          <w:sz w:val="21"/>
        </w:rPr>
        <w:t>The summary behaviour is justified. Final sender, reply-to, production links and payment-stage wording still require release approval.</w:t>
      </w:r>
    </w:p>
    <w:p>
      <w:pPr>
        <w:pStyle w:val="Heading3"/>
        <w:spacing w:before="200" w:after="60"/>
      </w:pPr>
      <w:r>
        <w:rPr>
          <w:rFonts w:ascii="Calibri" w:hAnsi="Calibri"/>
          <w:b/>
          <w:color w:val="1F4D78"/>
          <w:sz w:val="24"/>
        </w:rPr>
        <w:t>D47 — Paid, complimentary and Partner/Sponsor messages are distinct</w:t>
      </w:r>
    </w:p>
    <w:p>
      <w:pPr>
        <w:spacing w:after="80"/>
      </w:pPr>
      <w:r>
        <w:rPr>
          <w:rFonts w:ascii="Calibri" w:hAnsi="Calibri"/>
          <w:b/>
          <w:color w:val="7A5A00"/>
          <w:sz w:val="19"/>
        </w:rPr>
        <w:t>Partial</w:t>
      </w:r>
      <w:r>
        <w:rPr>
          <w:rFonts w:ascii="Calibri" w:hAnsi="Calibri"/>
          <w:color w:val="667580"/>
          <w:sz w:val="18"/>
        </w:rPr>
        <w:t xml:space="preserve">  |  E3; E6; E10; E18; R1</w:t>
      </w:r>
    </w:p>
    <w:p>
      <w:pPr>
        <w:spacing w:after="100"/>
      </w:pPr>
      <w:r>
        <w:rPr>
          <w:rFonts w:ascii="Calibri" w:hAnsi="Calibri"/>
          <w:b/>
          <w:color w:val="1F4D78"/>
          <w:sz w:val="21"/>
        </w:rPr>
        <w:t xml:space="preserve">Current solution. </w:t>
      </w:r>
      <w:r>
        <w:rPr>
          <w:rFonts w:ascii="Calibri" w:hAnsi="Calibri"/>
          <w:color w:val="243746"/>
          <w:sz w:val="21"/>
        </w:rPr>
        <w:t>Separate templates exist for standard Exhibitor, complimentary Exhibitor and Partner/Sponsor outcomes, plus application acknowledgements.</w:t>
      </w:r>
    </w:p>
    <w:p>
      <w:pPr>
        <w:spacing w:after="100"/>
      </w:pPr>
      <w:r>
        <w:rPr>
          <w:rFonts w:ascii="Calibri" w:hAnsi="Calibri"/>
          <w:b/>
          <w:color w:val="1F4D78"/>
          <w:sz w:val="21"/>
        </w:rPr>
        <w:t xml:space="preserve">Client need. </w:t>
      </w:r>
      <w:r>
        <w:rPr>
          <w:rFonts w:ascii="Calibri" w:hAnsi="Calibri"/>
          <w:color w:val="243746"/>
          <w:sz w:val="21"/>
        </w:rPr>
        <w:t>Kate supplied different email content for paid exhibitors, free organisations and partners/sponsors and asked for package/arrangement details in the latter.</w:t>
      </w:r>
    </w:p>
    <w:p>
      <w:pPr>
        <w:spacing w:after="100"/>
      </w:pPr>
      <w:r>
        <w:rPr>
          <w:rFonts w:ascii="Calibri" w:hAnsi="Calibri"/>
          <w:b/>
          <w:color w:val="1F4D78"/>
          <w:sz w:val="21"/>
        </w:rPr>
        <w:t xml:space="preserve">Why this was necessary. </w:t>
      </w:r>
      <w:r>
        <w:rPr>
          <w:rFonts w:ascii="Calibri" w:hAnsi="Calibri"/>
          <w:color w:val="243746"/>
          <w:sz w:val="21"/>
        </w:rPr>
        <w:t>Each audience has a different commercial position and next action. A single generic confirmation would either mention payment to free participants or omit essential finance information for paid ones.</w:t>
      </w:r>
    </w:p>
    <w:p>
      <w:pPr>
        <w:spacing w:after="140"/>
      </w:pPr>
      <w:r>
        <w:rPr>
          <w:rFonts w:ascii="Calibri" w:hAnsi="Calibri"/>
          <w:b/>
          <w:color w:val="1F4D78"/>
          <w:sz w:val="21"/>
        </w:rPr>
        <w:t xml:space="preserve">Assessment. </w:t>
      </w:r>
      <w:r>
        <w:rPr>
          <w:rFonts w:ascii="Calibri" w:hAnsi="Calibri"/>
          <w:color w:val="243746"/>
          <w:sz w:val="21"/>
        </w:rPr>
        <w:t>The audience split is right, but the current trigger/copy conflates provisional allocation and final confirmation. That must be corrected before sending live.</w:t>
      </w:r>
    </w:p>
    <w:p>
      <w:pPr>
        <w:pStyle w:val="Heading3"/>
        <w:spacing w:before="200" w:after="60"/>
      </w:pPr>
      <w:r>
        <w:rPr>
          <w:rFonts w:ascii="Calibri" w:hAnsi="Calibri"/>
          <w:b/>
          <w:color w:val="1F4D78"/>
          <w:sz w:val="24"/>
        </w:rPr>
        <w:t>D48 — Reports support finance, staff, logistics, guests and readiness</w:t>
      </w:r>
    </w:p>
    <w:p>
      <w:pPr>
        <w:spacing w:after="80"/>
      </w:pPr>
      <w:r>
        <w:rPr>
          <w:rFonts w:ascii="Calibri" w:hAnsi="Calibri"/>
          <w:b/>
          <w:color w:val="2F6B4F"/>
          <w:sz w:val="19"/>
        </w:rPr>
        <w:t>Aligned</w:t>
      </w:r>
      <w:r>
        <w:rPr>
          <w:rFonts w:ascii="Calibri" w:hAnsi="Calibri"/>
          <w:color w:val="667580"/>
          <w:sz w:val="18"/>
        </w:rPr>
        <w:t xml:space="preserve">  |  M4 00:05:11–00:07:58; E16; R1</w:t>
      </w:r>
    </w:p>
    <w:p>
      <w:pPr>
        <w:spacing w:after="100"/>
      </w:pPr>
      <w:r>
        <w:rPr>
          <w:rFonts w:ascii="Calibri" w:hAnsi="Calibri"/>
          <w:b/>
          <w:color w:val="1F4D78"/>
          <w:sz w:val="21"/>
        </w:rPr>
        <w:t xml:space="preserve">Current solution. </w:t>
      </w:r>
      <w:r>
        <w:rPr>
          <w:rFonts w:ascii="Calibri" w:hAnsi="Calibri"/>
          <w:color w:val="243746"/>
          <w:sz w:val="21"/>
        </w:rPr>
        <w:t>The package contains finance/invoicing, staff/accreditation, heavy vehicle/logistics, guest, application pipeline and event-readiness reports alongside dashboard metrics.</w:t>
      </w:r>
    </w:p>
    <w:p>
      <w:pPr>
        <w:spacing w:after="100"/>
      </w:pPr>
      <w:r>
        <w:rPr>
          <w:rFonts w:ascii="Calibri" w:hAnsi="Calibri"/>
          <w:b/>
          <w:color w:val="1F4D78"/>
          <w:sz w:val="21"/>
        </w:rPr>
        <w:t xml:space="preserve">Client need. </w:t>
      </w:r>
      <w:r>
        <w:rPr>
          <w:rFonts w:ascii="Calibri" w:hAnsi="Calibri"/>
          <w:color w:val="243746"/>
          <w:sz w:val="21"/>
        </w:rPr>
        <w:t>Kate asked for finance reports, a dashboard, check-in visibility, later staff names and operational progress at a glance.</w:t>
      </w:r>
    </w:p>
    <w:p>
      <w:pPr>
        <w:spacing w:after="100"/>
      </w:pPr>
      <w:r>
        <w:rPr>
          <w:rFonts w:ascii="Calibri" w:hAnsi="Calibri"/>
          <w:b/>
          <w:color w:val="1F4D78"/>
          <w:sz w:val="21"/>
        </w:rPr>
        <w:t xml:space="preserve">Why this was necessary. </w:t>
      </w:r>
      <w:r>
        <w:rPr>
          <w:rFonts w:ascii="Calibri" w:hAnsi="Calibri"/>
          <w:color w:val="243746"/>
          <w:sz w:val="21"/>
        </w:rPr>
        <w:t>The client’s pain is not only collecting data; it is knowing what is missing and acting on it. Reports turn form submissions into daily operating queues.</w:t>
      </w:r>
    </w:p>
    <w:p>
      <w:pPr>
        <w:spacing w:after="140"/>
      </w:pPr>
      <w:r>
        <w:rPr>
          <w:rFonts w:ascii="Calibri" w:hAnsi="Calibri"/>
          <w:b/>
          <w:color w:val="1F4D78"/>
          <w:sz w:val="21"/>
        </w:rPr>
        <w:t xml:space="preserve">Assessment. </w:t>
      </w:r>
      <w:r>
        <w:rPr>
          <w:rFonts w:ascii="Calibri" w:hAnsi="Calibri"/>
          <w:color w:val="243746"/>
          <w:sz w:val="21"/>
        </w:rPr>
        <w:t>The report suite is justified. Report columns, access and scale must be validated with production data and actual users.</w:t>
      </w:r>
    </w:p>
    <w:p>
      <w:pPr>
        <w:pStyle w:val="Heading3"/>
        <w:spacing w:before="200" w:after="60"/>
      </w:pPr>
      <w:r>
        <w:rPr>
          <w:rFonts w:ascii="Calibri" w:hAnsi="Calibri"/>
          <w:b/>
          <w:color w:val="1F4D78"/>
          <w:sz w:val="24"/>
        </w:rPr>
        <w:t>D49 — Mass outreach uses Salesforce filters and the retained relationship database</w:t>
      </w:r>
    </w:p>
    <w:p>
      <w:pPr>
        <w:spacing w:after="80"/>
      </w:pPr>
      <w:r>
        <w:rPr>
          <w:rFonts w:ascii="Calibri" w:hAnsi="Calibri"/>
          <w:b/>
          <w:color w:val="7A5A00"/>
          <w:sz w:val="19"/>
        </w:rPr>
        <w:t>Partial</w:t>
      </w:r>
      <w:r>
        <w:rPr>
          <w:rFonts w:ascii="Calibri" w:hAnsi="Calibri"/>
          <w:color w:val="667580"/>
          <w:sz w:val="18"/>
        </w:rPr>
        <w:t xml:space="preserve">  |  M1 00:18:14; M4 00:30:44–00:35:00; E14–E18</w:t>
      </w:r>
    </w:p>
    <w:p>
      <w:pPr>
        <w:spacing w:after="100"/>
      </w:pPr>
      <w:r>
        <w:rPr>
          <w:rFonts w:ascii="Calibri" w:hAnsi="Calibri"/>
          <w:b/>
          <w:color w:val="1F4D78"/>
          <w:sz w:val="21"/>
        </w:rPr>
        <w:t xml:space="preserve">Current solution. </w:t>
      </w:r>
      <w:r>
        <w:rPr>
          <w:rFonts w:ascii="Calibri" w:hAnsi="Calibri"/>
          <w:color w:val="243746"/>
          <w:sz w:val="21"/>
        </w:rPr>
        <w:t>List views and Contact/Account history support target selection and exclusion. Standard Salesforce email capability can provide a central activity record.</w:t>
      </w:r>
    </w:p>
    <w:p>
      <w:pPr>
        <w:spacing w:after="100"/>
      </w:pPr>
      <w:r>
        <w:rPr>
          <w:rFonts w:ascii="Calibri" w:hAnsi="Calibri"/>
          <w:b/>
          <w:color w:val="1F4D78"/>
          <w:sz w:val="21"/>
        </w:rPr>
        <w:t xml:space="preserve">Client need. </w:t>
      </w:r>
      <w:r>
        <w:rPr>
          <w:rFonts w:ascii="Calibri" w:hAnsi="Calibri"/>
          <w:color w:val="243746"/>
          <w:sz w:val="21"/>
        </w:rPr>
        <w:t>Kate wanted joining instructions and webinar invitations sent in bulk from a central record rather than individual Outlook messages.</w:t>
      </w:r>
    </w:p>
    <w:p>
      <w:pPr>
        <w:spacing w:after="100"/>
      </w:pPr>
      <w:r>
        <w:rPr>
          <w:rFonts w:ascii="Calibri" w:hAnsi="Calibri"/>
          <w:b/>
          <w:color w:val="1F4D78"/>
          <w:sz w:val="21"/>
        </w:rPr>
        <w:t xml:space="preserve">Why this was necessary. </w:t>
      </w:r>
      <w:r>
        <w:rPr>
          <w:rFonts w:ascii="Calibri" w:hAnsi="Calibri"/>
          <w:color w:val="243746"/>
          <w:sz w:val="21"/>
        </w:rPr>
        <w:t>Central targeting avoids sending to excluded organisations and creates a reusable relationship history. It also reduces manual spreadsheet joins.</w:t>
      </w:r>
    </w:p>
    <w:p>
      <w:pPr>
        <w:spacing w:after="140"/>
      </w:pPr>
      <w:r>
        <w:rPr>
          <w:rFonts w:ascii="Calibri" w:hAnsi="Calibri"/>
          <w:b/>
          <w:color w:val="1F4D78"/>
          <w:sz w:val="21"/>
        </w:rPr>
        <w:t xml:space="preserve">Assessment. </w:t>
      </w:r>
      <w:r>
        <w:rPr>
          <w:rFonts w:ascii="Calibri" w:hAnsi="Calibri"/>
          <w:color w:val="243746"/>
          <w:sz w:val="21"/>
        </w:rPr>
        <w:t>The filtering foundation exists, but production contact cleanup, email deliverability limits, consent/lawful-basis review and final single-webinar lists are not evidenced complete.</w:t>
      </w:r>
    </w:p>
    <w:p>
      <w:pPr>
        <w:pStyle w:val="Heading3"/>
        <w:spacing w:before="200" w:after="60"/>
      </w:pPr>
      <w:r>
        <w:rPr>
          <w:rFonts w:ascii="Calibri" w:hAnsi="Calibri"/>
          <w:b/>
          <w:color w:val="1F4D78"/>
          <w:sz w:val="24"/>
        </w:rPr>
        <w:t>D50 — Artwork entitlement is tracked as a status rather than automatically read from SharePoint</w:t>
      </w:r>
    </w:p>
    <w:p>
      <w:pPr>
        <w:spacing w:after="80"/>
      </w:pPr>
      <w:r>
        <w:rPr>
          <w:rFonts w:ascii="Calibri" w:hAnsi="Calibri"/>
          <w:b/>
          <w:color w:val="2F6B4F"/>
          <w:sz w:val="19"/>
        </w:rPr>
        <w:t>Aligned</w:t>
      </w:r>
      <w:r>
        <w:rPr>
          <w:rFonts w:ascii="Calibri" w:hAnsi="Calibri"/>
          <w:color w:val="667580"/>
          <w:sz w:val="18"/>
        </w:rPr>
        <w:t xml:space="preserve">  |  M4 00:26:15</w:t>
      </w:r>
    </w:p>
    <w:p>
      <w:pPr>
        <w:spacing w:after="100"/>
      </w:pPr>
      <w:r>
        <w:rPr>
          <w:rFonts w:ascii="Calibri" w:hAnsi="Calibri"/>
          <w:b/>
          <w:color w:val="1F4D78"/>
          <w:sz w:val="21"/>
        </w:rPr>
        <w:t xml:space="preserve">Current solution. </w:t>
      </w:r>
      <w:r>
        <w:rPr>
          <w:rFonts w:ascii="Calibri" w:hAnsi="Calibri"/>
          <w:color w:val="243746"/>
          <w:sz w:val="21"/>
        </w:rPr>
        <w:t>Salesforce records whether relevant artwork has been received and when; staff manually check the SharePoint folder.</w:t>
      </w:r>
    </w:p>
    <w:p>
      <w:pPr>
        <w:spacing w:after="100"/>
      </w:pPr>
      <w:r>
        <w:rPr>
          <w:rFonts w:ascii="Calibri" w:hAnsi="Calibri"/>
          <w:b/>
          <w:color w:val="1F4D78"/>
          <w:sz w:val="21"/>
        </w:rPr>
        <w:t xml:space="preserve">Client need. </w:t>
      </w:r>
      <w:r>
        <w:rPr>
          <w:rFonts w:ascii="Calibri" w:hAnsi="Calibri"/>
          <w:color w:val="243746"/>
          <w:sz w:val="21"/>
        </w:rPr>
        <w:t>Kate asked for a tick box/date to avoid searching correspondence, and accepted that Salesforce would not automatically detect SharePoint files.</w:t>
      </w:r>
    </w:p>
    <w:p>
      <w:pPr>
        <w:spacing w:after="100"/>
      </w:pPr>
      <w:r>
        <w:rPr>
          <w:rFonts w:ascii="Calibri" w:hAnsi="Calibri"/>
          <w:b/>
          <w:color w:val="1F4D78"/>
          <w:sz w:val="21"/>
        </w:rPr>
        <w:t xml:space="preserve">Why this was necessary. </w:t>
      </w:r>
      <w:r>
        <w:rPr>
          <w:rFonts w:ascii="Calibri" w:hAnsi="Calibri"/>
          <w:color w:val="243746"/>
          <w:sz w:val="21"/>
        </w:rPr>
        <w:t>A direct integration was not part of scope and would add authentication, API and matching complexity. A manual milestone provides the operational visibility the client asked for at much lower risk.</w:t>
      </w:r>
    </w:p>
    <w:p>
      <w:pPr>
        <w:spacing w:after="140"/>
      </w:pPr>
      <w:r>
        <w:rPr>
          <w:rFonts w:ascii="Calibri" w:hAnsi="Calibri"/>
          <w:b/>
          <w:color w:val="1F4D78"/>
          <w:sz w:val="21"/>
        </w:rPr>
        <w:t xml:space="preserve">Assessment. </w:t>
      </w:r>
      <w:r>
        <w:rPr>
          <w:rFonts w:ascii="Calibri" w:hAnsi="Calibri"/>
          <w:color w:val="243746"/>
          <w:sz w:val="21"/>
        </w:rPr>
        <w:t>Aligned, once the external upload link and false-completion issue are fixed.</w:t>
      </w:r>
    </w:p>
    <w:p>
      <w:pPr>
        <w:pStyle w:val="Heading2"/>
        <w:keepNext/>
      </w:pPr>
      <w:r>
        <w:t>4.5 Reliability, security and release choices</w:t>
      </w:r>
    </w:p>
    <w:p>
      <w:pPr>
        <w:pStyle w:val="Heading3"/>
        <w:spacing w:before="200" w:after="60"/>
      </w:pPr>
      <w:r>
        <w:rPr>
          <w:rFonts w:ascii="Calibri" w:hAnsi="Calibri"/>
          <w:b/>
          <w:color w:val="1F4D78"/>
          <w:sz w:val="24"/>
        </w:rPr>
        <w:t>D51 — The build is tested in an isolated Salesforce environment</w:t>
      </w:r>
    </w:p>
    <w:p>
      <w:pPr>
        <w:spacing w:after="80"/>
      </w:pPr>
      <w:r>
        <w:rPr>
          <w:rFonts w:ascii="Calibri" w:hAnsi="Calibri"/>
          <w:b/>
          <w:color w:val="2F6B4F"/>
          <w:sz w:val="19"/>
        </w:rPr>
        <w:t>Aligned</w:t>
      </w:r>
      <w:r>
        <w:rPr>
          <w:rFonts w:ascii="Calibri" w:hAnsi="Calibri"/>
          <w:color w:val="667580"/>
          <w:sz w:val="18"/>
        </w:rPr>
        <w:t xml:space="preserve">  |  M1 00:19:13; R1</w:t>
      </w:r>
    </w:p>
    <w:p>
      <w:pPr>
        <w:spacing w:after="100"/>
      </w:pPr>
      <w:r>
        <w:rPr>
          <w:rFonts w:ascii="Calibri" w:hAnsi="Calibri"/>
          <w:b/>
          <w:color w:val="1F4D78"/>
          <w:sz w:val="21"/>
        </w:rPr>
        <w:t xml:space="preserve">Current solution. </w:t>
      </w:r>
      <w:r>
        <w:rPr>
          <w:rFonts w:ascii="Calibri" w:hAnsi="Calibri"/>
          <w:color w:val="243746"/>
          <w:sz w:val="21"/>
        </w:rPr>
        <w:t>The active form configuration points to Salesforce test endpoints and sandbox field IDs; the metadata is packaged for controlled deployment.</w:t>
      </w:r>
    </w:p>
    <w:p>
      <w:pPr>
        <w:spacing w:after="100"/>
      </w:pPr>
      <w:r>
        <w:rPr>
          <w:rFonts w:ascii="Calibri" w:hAnsi="Calibri"/>
          <w:b/>
          <w:color w:val="1F4D78"/>
          <w:sz w:val="21"/>
        </w:rPr>
        <w:t xml:space="preserve">Client need. </w:t>
      </w:r>
      <w:r>
        <w:rPr>
          <w:rFonts w:ascii="Calibri" w:hAnsi="Calibri"/>
          <w:color w:val="243746"/>
          <w:sz w:val="21"/>
        </w:rPr>
        <w:t>The first meeting agreed to an isolated test environment that would not interfere with live business processes.</w:t>
      </w:r>
    </w:p>
    <w:p>
      <w:pPr>
        <w:spacing w:after="100"/>
      </w:pPr>
      <w:r>
        <w:rPr>
          <w:rFonts w:ascii="Calibri" w:hAnsi="Calibri"/>
          <w:b/>
          <w:color w:val="1F4D78"/>
          <w:sz w:val="21"/>
        </w:rPr>
        <w:t xml:space="preserve">Why this was necessary. </w:t>
      </w:r>
      <w:r>
        <w:rPr>
          <w:rFonts w:ascii="Calibri" w:hAnsi="Calibri"/>
          <w:color w:val="243746"/>
          <w:sz w:val="21"/>
        </w:rPr>
        <w:t>Forms create real records and automation sends email. Testing those actions against production would pollute the client database and could contact real people.</w:t>
      </w:r>
    </w:p>
    <w:p>
      <w:pPr>
        <w:spacing w:after="140"/>
      </w:pPr>
      <w:r>
        <w:rPr>
          <w:rFonts w:ascii="Calibri" w:hAnsi="Calibri"/>
          <w:b/>
          <w:color w:val="1F4D78"/>
          <w:sz w:val="21"/>
        </w:rPr>
        <w:t xml:space="preserve">Assessment. </w:t>
      </w:r>
      <w:r>
        <w:rPr>
          <w:rFonts w:ascii="Calibri" w:hAnsi="Calibri"/>
          <w:color w:val="243746"/>
          <w:sz w:val="21"/>
        </w:rPr>
        <w:t>Correct for development. The same sandbox settings are a production blocker and must be replaced deliberately, not carried forward.</w:t>
      </w:r>
    </w:p>
    <w:p>
      <w:pPr>
        <w:pStyle w:val="Heading3"/>
        <w:spacing w:before="200" w:after="60"/>
      </w:pPr>
      <w:r>
        <w:rPr>
          <w:rFonts w:ascii="Calibri" w:hAnsi="Calibri"/>
          <w:b/>
          <w:color w:val="1F4D78"/>
          <w:sz w:val="24"/>
        </w:rPr>
        <w:t>D52 — Client-side convenience is backed by server-side validation</w:t>
      </w:r>
    </w:p>
    <w:p>
      <w:pPr>
        <w:spacing w:after="80"/>
      </w:pPr>
      <w:r>
        <w:rPr>
          <w:rFonts w:ascii="Calibri" w:hAnsi="Calibri"/>
          <w:b/>
          <w:color w:val="7A5A00"/>
          <w:sz w:val="19"/>
        </w:rPr>
        <w:t>Partial</w:t>
      </w:r>
      <w:r>
        <w:rPr>
          <w:rFonts w:ascii="Calibri" w:hAnsi="Calibri"/>
          <w:color w:val="667580"/>
          <w:sz w:val="18"/>
        </w:rPr>
        <w:t xml:space="preserve">  |  R1; implicit from commercial accuracy requirement</w:t>
      </w:r>
    </w:p>
    <w:p>
      <w:pPr>
        <w:spacing w:after="100"/>
      </w:pPr>
      <w:r>
        <w:rPr>
          <w:rFonts w:ascii="Calibri" w:hAnsi="Calibri"/>
          <w:b/>
          <w:color w:val="1F4D78"/>
          <w:sz w:val="21"/>
        </w:rPr>
        <w:t xml:space="preserve">Current solution. </w:t>
      </w:r>
      <w:r>
        <w:rPr>
          <w:rFonts w:ascii="Calibri" w:hAnsi="Calibri"/>
          <w:color w:val="243746"/>
          <w:sz w:val="21"/>
        </w:rPr>
        <w:t>The browser validates required fields and calculates estimates; Apex revalidates the controlled price components and update matching inside Salesforce.</w:t>
      </w:r>
    </w:p>
    <w:p>
      <w:pPr>
        <w:spacing w:after="100"/>
      </w:pPr>
      <w:r>
        <w:rPr>
          <w:rFonts w:ascii="Calibri" w:hAnsi="Calibri"/>
          <w:b/>
          <w:color w:val="1F4D78"/>
          <w:sz w:val="21"/>
        </w:rPr>
        <w:t xml:space="preserve">Client need. </w:t>
      </w:r>
      <w:r>
        <w:rPr>
          <w:rFonts w:ascii="Calibri" w:hAnsi="Calibri"/>
          <w:color w:val="243746"/>
          <w:sz w:val="21"/>
        </w:rPr>
        <w:t>The client expects accurate booking totals and reliable updates from public forms.</w:t>
      </w:r>
    </w:p>
    <w:p>
      <w:pPr>
        <w:spacing w:after="100"/>
      </w:pPr>
      <w:r>
        <w:rPr>
          <w:rFonts w:ascii="Calibri" w:hAnsi="Calibri"/>
          <w:b/>
          <w:color w:val="1F4D78"/>
          <w:sz w:val="21"/>
        </w:rPr>
        <w:t xml:space="preserve">Why this was necessary. </w:t>
      </w:r>
      <w:r>
        <w:rPr>
          <w:rFonts w:ascii="Calibri" w:hAnsi="Calibri"/>
          <w:color w:val="243746"/>
          <w:sz w:val="21"/>
        </w:rPr>
        <w:t>Browser-only controls can be bypassed. Server validation is needed so reports and finance cannot be corrupted by a modified request.</w:t>
      </w:r>
    </w:p>
    <w:p>
      <w:pPr>
        <w:spacing w:after="140"/>
      </w:pPr>
      <w:r>
        <w:rPr>
          <w:rFonts w:ascii="Calibri" w:hAnsi="Calibri"/>
          <w:b/>
          <w:color w:val="1F4D78"/>
          <w:sz w:val="21"/>
        </w:rPr>
        <w:t xml:space="preserve">Assessment. </w:t>
      </w:r>
      <w:r>
        <w:rPr>
          <w:rFonts w:ascii="Calibri" w:hAnsi="Calibri"/>
          <w:color w:val="243746"/>
          <w:sz w:val="21"/>
        </w:rPr>
        <w:t>Pricing hardening exists, but the repository review still found direct-post, field-dependency and broader input-validation concerns that require production security testing.</w:t>
      </w:r>
    </w:p>
    <w:p>
      <w:pPr>
        <w:pStyle w:val="Heading3"/>
        <w:spacing w:before="200" w:after="60"/>
      </w:pPr>
      <w:r>
        <w:rPr>
          <w:rFonts w:ascii="Calibri" w:hAnsi="Calibri"/>
          <w:b/>
          <w:color w:val="1F4D78"/>
          <w:sz w:val="24"/>
        </w:rPr>
        <w:t>D53 — Email processing records success/failure and avoids duplicate sends</w:t>
      </w:r>
    </w:p>
    <w:p>
      <w:pPr>
        <w:spacing w:after="80"/>
      </w:pPr>
      <w:r>
        <w:rPr>
          <w:rFonts w:ascii="Calibri" w:hAnsi="Calibri"/>
          <w:b/>
          <w:color w:val="2F6B4F"/>
          <w:sz w:val="19"/>
        </w:rPr>
        <w:t>Aligned</w:t>
      </w:r>
      <w:r>
        <w:rPr>
          <w:rFonts w:ascii="Calibri" w:hAnsi="Calibri"/>
          <w:color w:val="667580"/>
          <w:sz w:val="18"/>
        </w:rPr>
        <w:t xml:space="preserve">  |  R1; implicit from E3/E6</w:t>
      </w:r>
    </w:p>
    <w:p>
      <w:pPr>
        <w:spacing w:after="100"/>
      </w:pPr>
      <w:r>
        <w:rPr>
          <w:rFonts w:ascii="Calibri" w:hAnsi="Calibri"/>
          <w:b/>
          <w:color w:val="1F4D78"/>
          <w:sz w:val="21"/>
        </w:rPr>
        <w:t xml:space="preserve">Current solution. </w:t>
      </w:r>
      <w:r>
        <w:rPr>
          <w:rFonts w:ascii="Calibri" w:hAnsi="Calibri"/>
          <w:color w:val="243746"/>
          <w:sz w:val="21"/>
        </w:rPr>
        <w:t>The approval email service uses audit Tasks, duplicate-send guards and failure records; current working-tree changes also improve batching/retry behaviour.</w:t>
      </w:r>
    </w:p>
    <w:p>
      <w:pPr>
        <w:spacing w:after="100"/>
      </w:pPr>
      <w:r>
        <w:rPr>
          <w:rFonts w:ascii="Calibri" w:hAnsi="Calibri"/>
          <w:b/>
          <w:color w:val="1F4D78"/>
          <w:sz w:val="21"/>
        </w:rPr>
        <w:t xml:space="preserve">Client need. </w:t>
      </w:r>
      <w:r>
        <w:rPr>
          <w:rFonts w:ascii="Calibri" w:hAnsi="Calibri"/>
          <w:color w:val="243746"/>
          <w:sz w:val="21"/>
        </w:rPr>
        <w:t>The client relies on automated acknowledgements and confirmations to replace manual Outlook work.</w:t>
      </w:r>
    </w:p>
    <w:p>
      <w:pPr>
        <w:spacing w:after="100"/>
      </w:pPr>
      <w:r>
        <w:rPr>
          <w:rFonts w:ascii="Calibri" w:hAnsi="Calibri"/>
          <w:b/>
          <w:color w:val="1F4D78"/>
          <w:sz w:val="21"/>
        </w:rPr>
        <w:t xml:space="preserve">Why this was necessary. </w:t>
      </w:r>
      <w:r>
        <w:rPr>
          <w:rFonts w:ascii="Calibri" w:hAnsi="Calibri"/>
          <w:color w:val="243746"/>
          <w:sz w:val="21"/>
        </w:rPr>
        <w:t>An automation that silently drops or duplicates a confirmation creates more work and can damage trust. An audit record gives staff somewhere to see and recover failure.</w:t>
      </w:r>
    </w:p>
    <w:p>
      <w:pPr>
        <w:spacing w:after="140"/>
      </w:pPr>
      <w:r>
        <w:rPr>
          <w:rFonts w:ascii="Calibri" w:hAnsi="Calibri"/>
          <w:b/>
          <w:color w:val="1F4D78"/>
          <w:sz w:val="21"/>
        </w:rPr>
        <w:t xml:space="preserve">Assessment. </w:t>
      </w:r>
      <w:r>
        <w:rPr>
          <w:rFonts w:ascii="Calibri" w:hAnsi="Calibri"/>
          <w:color w:val="243746"/>
          <w:sz w:val="21"/>
        </w:rPr>
        <w:t>This is a necessary downstream implementation decision. The latest uncommitted changes were reviewed but are not treated as deployed; production email deliverability still needs testing.</w:t>
      </w:r>
    </w:p>
    <w:p>
      <w:pPr>
        <w:pStyle w:val="Heading3"/>
        <w:spacing w:before="200" w:after="60"/>
      </w:pPr>
      <w:r>
        <w:rPr>
          <w:rFonts w:ascii="Calibri" w:hAnsi="Calibri"/>
          <w:b/>
          <w:color w:val="1F4D78"/>
          <w:sz w:val="24"/>
        </w:rPr>
        <w:t>D54 — The forms use a honeypot and lightweight public-form protections</w:t>
      </w:r>
    </w:p>
    <w:p>
      <w:pPr>
        <w:spacing w:after="80"/>
      </w:pPr>
      <w:r>
        <w:rPr>
          <w:rFonts w:ascii="Calibri" w:hAnsi="Calibri"/>
          <w:b/>
          <w:color w:val="7A5A00"/>
          <w:sz w:val="19"/>
        </w:rPr>
        <w:t>Partial</w:t>
      </w:r>
      <w:r>
        <w:rPr>
          <w:rFonts w:ascii="Calibri" w:hAnsi="Calibri"/>
          <w:color w:val="667580"/>
          <w:sz w:val="18"/>
        </w:rPr>
        <w:t xml:space="preserve">  |  R1; implicit public-form requirement</w:t>
      </w:r>
    </w:p>
    <w:p>
      <w:pPr>
        <w:spacing w:after="100"/>
      </w:pPr>
      <w:r>
        <w:rPr>
          <w:rFonts w:ascii="Calibri" w:hAnsi="Calibri"/>
          <w:b/>
          <w:color w:val="1F4D78"/>
          <w:sz w:val="21"/>
        </w:rPr>
        <w:t xml:space="preserve">Current solution. </w:t>
      </w:r>
      <w:r>
        <w:rPr>
          <w:rFonts w:ascii="Calibri" w:hAnsi="Calibri"/>
          <w:color w:val="243746"/>
          <w:sz w:val="21"/>
        </w:rPr>
        <w:t>A hidden bot field is present and form JavaScript checks configuration and expected inputs before submission.</w:t>
      </w:r>
    </w:p>
    <w:p>
      <w:pPr>
        <w:spacing w:after="100"/>
      </w:pPr>
      <w:r>
        <w:rPr>
          <w:rFonts w:ascii="Calibri" w:hAnsi="Calibri"/>
          <w:b/>
          <w:color w:val="1F4D78"/>
          <w:sz w:val="21"/>
        </w:rPr>
        <w:t xml:space="preserve">Client need. </w:t>
      </w:r>
      <w:r>
        <w:rPr>
          <w:rFonts w:ascii="Calibri" w:hAnsi="Calibri"/>
          <w:color w:val="243746"/>
          <w:sz w:val="21"/>
        </w:rPr>
        <w:t>The client wants publicly reachable EOI/guest/volunteer routes and direct-link commercial forms that create Salesforce records.</w:t>
      </w:r>
    </w:p>
    <w:p>
      <w:pPr>
        <w:spacing w:after="100"/>
      </w:pPr>
      <w:r>
        <w:rPr>
          <w:rFonts w:ascii="Calibri" w:hAnsi="Calibri"/>
          <w:b/>
          <w:color w:val="1F4D78"/>
          <w:sz w:val="21"/>
        </w:rPr>
        <w:t xml:space="preserve">Why this was necessary. </w:t>
      </w:r>
      <w:r>
        <w:rPr>
          <w:rFonts w:ascii="Calibri" w:hAnsi="Calibri"/>
          <w:color w:val="243746"/>
          <w:sz w:val="21"/>
        </w:rPr>
        <w:t>Without abuse controls, automated submissions can fill Salesforce with spam, trigger email and consume operational time.</w:t>
      </w:r>
    </w:p>
    <w:p>
      <w:pPr>
        <w:spacing w:after="140"/>
      </w:pPr>
      <w:r>
        <w:rPr>
          <w:rFonts w:ascii="Calibri" w:hAnsi="Calibri"/>
          <w:b/>
          <w:color w:val="1F4D78"/>
          <w:sz w:val="21"/>
        </w:rPr>
        <w:t xml:space="preserve">Assessment. </w:t>
      </w:r>
      <w:r>
        <w:rPr>
          <w:rFonts w:ascii="Calibri" w:hAnsi="Calibri"/>
          <w:color w:val="243746"/>
          <w:sz w:val="21"/>
        </w:rPr>
        <w:t>The existing protection is minimal. Rate limiting, stronger bot protection, monitoring and an incident/recovery process are not evidenced and should be decided before public launch.</w:t>
      </w:r>
    </w:p>
    <w:p>
      <w:pPr>
        <w:pStyle w:val="Heading3"/>
        <w:spacing w:before="200" w:after="60"/>
      </w:pPr>
      <w:r>
        <w:rPr>
          <w:rFonts w:ascii="Calibri" w:hAnsi="Calibri"/>
          <w:b/>
          <w:color w:val="1F4D78"/>
          <w:sz w:val="24"/>
        </w:rPr>
        <w:t>D55 — The browser form suite is covered by repeatable tests</w:t>
      </w:r>
    </w:p>
    <w:p>
      <w:pPr>
        <w:spacing w:after="80"/>
      </w:pPr>
      <w:r>
        <w:rPr>
          <w:rFonts w:ascii="Calibri" w:hAnsi="Calibri"/>
          <w:b/>
          <w:color w:val="2F6B4F"/>
          <w:sz w:val="19"/>
        </w:rPr>
        <w:t>Aligned</w:t>
      </w:r>
      <w:r>
        <w:rPr>
          <w:rFonts w:ascii="Calibri" w:hAnsi="Calibri"/>
          <w:color w:val="667580"/>
          <w:sz w:val="18"/>
        </w:rPr>
        <w:t xml:space="preserve">  |  R1</w:t>
      </w:r>
    </w:p>
    <w:p>
      <w:pPr>
        <w:spacing w:after="100"/>
      </w:pPr>
      <w:r>
        <w:rPr>
          <w:rFonts w:ascii="Calibri" w:hAnsi="Calibri"/>
          <w:b/>
          <w:color w:val="1F4D78"/>
          <w:sz w:val="21"/>
        </w:rPr>
        <w:t xml:space="preserve">Current solution. </w:t>
      </w:r>
      <w:r>
        <w:rPr>
          <w:rFonts w:ascii="Calibri" w:hAnsi="Calibri"/>
          <w:color w:val="243746"/>
          <w:sz w:val="21"/>
        </w:rPr>
        <w:t>The repository includes a Node form test suite covering key pricing and submission behaviours; it passed during this review on 1 September 2026.</w:t>
      </w:r>
    </w:p>
    <w:p>
      <w:pPr>
        <w:spacing w:after="100"/>
      </w:pPr>
      <w:r>
        <w:rPr>
          <w:rFonts w:ascii="Calibri" w:hAnsi="Calibri"/>
          <w:b/>
          <w:color w:val="1F4D78"/>
          <w:sz w:val="21"/>
        </w:rPr>
        <w:t xml:space="preserve">Client need. </w:t>
      </w:r>
      <w:r>
        <w:rPr>
          <w:rFonts w:ascii="Calibri" w:hAnsi="Calibri"/>
          <w:color w:val="243746"/>
          <w:sz w:val="21"/>
        </w:rPr>
        <w:t>Kate explicitly preferred enough time for testing and refinements over rushing launch.</w:t>
      </w:r>
    </w:p>
    <w:p>
      <w:pPr>
        <w:spacing w:after="100"/>
      </w:pPr>
      <w:r>
        <w:rPr>
          <w:rFonts w:ascii="Calibri" w:hAnsi="Calibri"/>
          <w:b/>
          <w:color w:val="1F4D78"/>
          <w:sz w:val="21"/>
        </w:rPr>
        <w:t xml:space="preserve">Why this was necessary. </w:t>
      </w:r>
      <w:r>
        <w:rPr>
          <w:rFonts w:ascii="Calibri" w:hAnsi="Calibri"/>
          <w:color w:val="243746"/>
          <w:sz w:val="21"/>
        </w:rPr>
        <w:t>Rapid brief changes—especially staff and finance—make regressions likely. Repeatable tests show whether later edits break previously accepted behaviour.</w:t>
      </w:r>
    </w:p>
    <w:p>
      <w:pPr>
        <w:spacing w:after="140"/>
      </w:pPr>
      <w:r>
        <w:rPr>
          <w:rFonts w:ascii="Calibri" w:hAnsi="Calibri"/>
          <w:b/>
          <w:color w:val="1F4D78"/>
          <w:sz w:val="21"/>
        </w:rPr>
        <w:t xml:space="preserve">Assessment. </w:t>
      </w:r>
      <w:r>
        <w:rPr>
          <w:rFonts w:ascii="Calibri" w:hAnsi="Calibri"/>
          <w:color w:val="243746"/>
          <w:sz w:val="21"/>
        </w:rPr>
        <w:t>The browser suite passed. This does not replace Salesforce org validation, Apex tests, email deliverability checks, accessibility testing, security testing or client UAT.</w:t>
      </w:r>
    </w:p>
    <w:p>
      <w:pPr>
        <w:pStyle w:val="Heading3"/>
        <w:spacing w:before="200" w:after="60"/>
      </w:pPr>
      <w:r>
        <w:rPr>
          <w:rFonts w:ascii="Calibri" w:hAnsi="Calibri"/>
          <w:b/>
          <w:color w:val="1F4D78"/>
          <w:sz w:val="24"/>
        </w:rPr>
        <w:t>D56 — Annual event configuration rolls forward rather than duplicating the whole app</w:t>
      </w:r>
    </w:p>
    <w:p>
      <w:pPr>
        <w:spacing w:after="80"/>
      </w:pPr>
      <w:r>
        <w:rPr>
          <w:rFonts w:ascii="Calibri" w:hAnsi="Calibri"/>
          <w:b/>
          <w:color w:val="6A4C93"/>
          <w:sz w:val="19"/>
        </w:rPr>
        <w:t>Review</w:t>
      </w:r>
      <w:r>
        <w:rPr>
          <w:rFonts w:ascii="Calibri" w:hAnsi="Calibri"/>
          <w:color w:val="667580"/>
          <w:sz w:val="18"/>
        </w:rPr>
        <w:t xml:space="preserve">  |  R1; implicit from M4 annual model</w:t>
      </w:r>
    </w:p>
    <w:p>
      <w:pPr>
        <w:spacing w:after="100"/>
      </w:pPr>
      <w:r>
        <w:rPr>
          <w:rFonts w:ascii="Calibri" w:hAnsi="Calibri"/>
          <w:b/>
          <w:color w:val="1F4D78"/>
          <w:sz w:val="21"/>
        </w:rPr>
        <w:t xml:space="preserve">Current solution. </w:t>
      </w:r>
      <w:r>
        <w:rPr>
          <w:rFonts w:ascii="Calibri" w:hAnsi="Calibri"/>
          <w:color w:val="243746"/>
          <w:sz w:val="21"/>
        </w:rPr>
        <w:t>The repository includes event-code/date behaviour intended to support future NTE editions, while many NTE27 prices, links and dates remain configured in code/assets.</w:t>
      </w:r>
    </w:p>
    <w:p>
      <w:pPr>
        <w:spacing w:after="100"/>
      </w:pPr>
      <w:r>
        <w:rPr>
          <w:rFonts w:ascii="Calibri" w:hAnsi="Calibri"/>
          <w:b/>
          <w:color w:val="1F4D78"/>
          <w:sz w:val="21"/>
        </w:rPr>
        <w:t xml:space="preserve">Client need. </w:t>
      </w:r>
      <w:r>
        <w:rPr>
          <w:rFonts w:ascii="Calibri" w:hAnsi="Calibri"/>
          <w:color w:val="243746"/>
          <w:sz w:val="21"/>
        </w:rPr>
        <w:t>The annual Opportunity model explicitly anticipates NTE27, NTE28 and later participation.</w:t>
      </w:r>
    </w:p>
    <w:p>
      <w:pPr>
        <w:spacing w:after="100"/>
      </w:pPr>
      <w:r>
        <w:rPr>
          <w:rFonts w:ascii="Calibri" w:hAnsi="Calibri"/>
          <w:b/>
          <w:color w:val="1F4D78"/>
          <w:sz w:val="21"/>
        </w:rPr>
        <w:t xml:space="preserve">Why this was necessary. </w:t>
      </w:r>
      <w:r>
        <w:rPr>
          <w:rFonts w:ascii="Calibri" w:hAnsi="Calibri"/>
          <w:color w:val="243746"/>
          <w:sz w:val="21"/>
        </w:rPr>
        <w:t>Reusing the app avoids rebuilding the CRM each year, but annual prices, dates, terms and forms must be versioned so a new edition cannot alter historical meaning.</w:t>
      </w:r>
    </w:p>
    <w:p>
      <w:pPr>
        <w:spacing w:after="140"/>
      </w:pPr>
      <w:r>
        <w:rPr>
          <w:rFonts w:ascii="Calibri" w:hAnsi="Calibri"/>
          <w:b/>
          <w:color w:val="1F4D78"/>
          <w:sz w:val="21"/>
        </w:rPr>
        <w:t xml:space="preserve">Assessment. </w:t>
      </w:r>
      <w:r>
        <w:rPr>
          <w:rFonts w:ascii="Calibri" w:hAnsi="Calibri"/>
          <w:color w:val="243746"/>
          <w:sz w:val="21"/>
        </w:rPr>
        <w:t>Reusability is a valid downstream implication, but automatic rollover rules and ownership were not explicitly agreed. They appear again in the final review section.</w:t>
      </w:r>
    </w:p>
    <w:p>
      <w:r>
        <w:br w:type="page"/>
      </w:r>
    </w:p>
    <w:p>
      <w:pPr>
        <w:pStyle w:val="Heading1"/>
        <w:keepNext/>
      </w:pPr>
      <w:r>
        <w:t>5. Supersession register — do not carry these forward</w:t>
      </w:r>
    </w:p>
    <w:p>
      <w:pPr>
        <w:spacing w:after="100"/>
      </w:pPr>
      <w:r>
        <w:rPr>
          <w:rFonts w:ascii="Calibri" w:hAnsi="Calibri"/>
          <w:b/>
          <w:color w:val="1F4D78"/>
          <w:sz w:val="21"/>
        </w:rPr>
        <w:t xml:space="preserve">Why this register exists. </w:t>
      </w:r>
      <w:r>
        <w:rPr>
          <w:rFonts w:ascii="Calibri" w:hAnsi="Calibri"/>
          <w:color w:val="243746"/>
          <w:sz w:val="21"/>
        </w:rPr>
        <w:t>The project changed quickly. The items below were reasonable at the time but are no longer the latest brief. They must not be used to justify new delivery unless the client explicitly revives them.</w:t>
      </w:r>
    </w:p>
    <w:p>
      <w:pPr>
        <w:pStyle w:val="Heading3"/>
      </w:pPr>
      <w:r>
        <w:rPr>
          <w:rFonts w:ascii="Calibri" w:hAnsi="Calibri"/>
          <w:b/>
          <w:color w:val="9B1C1C"/>
          <w:sz w:val="24"/>
        </w:rPr>
        <w:t>One dynamic commercial form</w:t>
      </w:r>
    </w:p>
    <w:p>
      <w:pPr>
        <w:spacing w:after="100"/>
      </w:pPr>
      <w:r>
        <w:rPr>
          <w:rFonts w:ascii="Calibri" w:hAnsi="Calibri"/>
          <w:b/>
          <w:color w:val="1F4D78"/>
          <w:sz w:val="21"/>
        </w:rPr>
        <w:t xml:space="preserve">Latest position. </w:t>
      </w:r>
      <w:r>
        <w:rPr>
          <w:rFonts w:ascii="Calibri" w:hAnsi="Calibri"/>
          <w:color w:val="243746"/>
          <w:sz w:val="21"/>
        </w:rPr>
        <w:t>Agreed in the 29 July meeting, then explicitly replaced on 7 August by separate Partner/Sponsor and Exhibitor applications. Do not merge them back.</w:t>
      </w:r>
    </w:p>
    <w:p>
      <w:pPr>
        <w:pStyle w:val="Heading3"/>
      </w:pPr>
      <w:r>
        <w:rPr>
          <w:rFonts w:ascii="Calibri" w:hAnsi="Calibri"/>
          <w:b/>
          <w:color w:val="9B1C1C"/>
          <w:sz w:val="24"/>
        </w:rPr>
        <w:t>Partner/Sponsor application as an expression of interest</w:t>
      </w:r>
    </w:p>
    <w:p>
      <w:pPr>
        <w:spacing w:after="100"/>
      </w:pPr>
      <w:r>
        <w:rPr>
          <w:rFonts w:ascii="Calibri" w:hAnsi="Calibri"/>
          <w:b/>
          <w:color w:val="1F4D78"/>
          <w:sz w:val="21"/>
        </w:rPr>
        <w:t xml:space="preserve">Latest position. </w:t>
      </w:r>
      <w:r>
        <w:rPr>
          <w:rFonts w:ascii="Calibri" w:hAnsi="Calibri"/>
          <w:color w:val="243746"/>
          <w:sz w:val="21"/>
        </w:rPr>
        <w:t>The 7 August email says it is onboarding after acceptance, not an interest form. The later Salesforce EOI remains a separate journey.</w:t>
      </w:r>
    </w:p>
    <w:p>
      <w:pPr>
        <w:pStyle w:val="Heading3"/>
      </w:pPr>
      <w:r>
        <w:rPr>
          <w:rFonts w:ascii="Calibri" w:hAnsi="Calibri"/>
          <w:b/>
          <w:color w:val="9B1C1C"/>
          <w:sz w:val="24"/>
        </w:rPr>
        <w:t>Applicants reopen the original application</w:t>
      </w:r>
    </w:p>
    <w:p>
      <w:pPr>
        <w:spacing w:after="100"/>
      </w:pPr>
      <w:r>
        <w:rPr>
          <w:rFonts w:ascii="Calibri" w:hAnsi="Calibri"/>
          <w:b/>
          <w:color w:val="1F4D78"/>
          <w:sz w:val="21"/>
        </w:rPr>
        <w:t xml:space="preserve">Latest position. </w:t>
      </w:r>
      <w:r>
        <w:rPr>
          <w:rFonts w:ascii="Calibri" w:hAnsi="Calibri"/>
          <w:color w:val="243746"/>
          <w:sz w:val="21"/>
        </w:rPr>
        <w:t>The 21–24 August exchange settled on separate staff/logistics update forms. Do not expose or rewrite the approved commercial application.</w:t>
      </w:r>
    </w:p>
    <w:p>
      <w:pPr>
        <w:pStyle w:val="Heading3"/>
      </w:pPr>
      <w:r>
        <w:rPr>
          <w:rFonts w:ascii="Calibri" w:hAnsi="Calibri"/>
          <w:b/>
          <w:color w:val="9B1C1C"/>
          <w:sz w:val="24"/>
        </w:rPr>
        <w:t>Click-to-add staff rows and repeated edits</w:t>
      </w:r>
    </w:p>
    <w:p>
      <w:pPr>
        <w:spacing w:after="100"/>
      </w:pPr>
      <w:r>
        <w:rPr>
          <w:rFonts w:ascii="Calibri" w:hAnsi="Calibri"/>
          <w:b/>
          <w:color w:val="1F4D78"/>
          <w:sz w:val="21"/>
        </w:rPr>
        <w:t xml:space="preserve">Latest position. </w:t>
      </w:r>
      <w:r>
        <w:rPr>
          <w:rFonts w:ascii="Calibri" w:hAnsi="Calibri"/>
          <w:color w:val="243746"/>
          <w:sz w:val="21"/>
        </w:rPr>
        <w:t>Kate accepted the database-oriented alternative on 24 August: a later, deadline-driven staff form, with extras invoiced if the roster exceeds allocation.</w:t>
      </w:r>
    </w:p>
    <w:p>
      <w:pPr>
        <w:pStyle w:val="Heading3"/>
      </w:pPr>
      <w:r>
        <w:rPr>
          <w:rFonts w:ascii="Calibri" w:hAnsi="Calibri"/>
          <w:b/>
          <w:color w:val="9B1C1C"/>
          <w:sz w:val="24"/>
        </w:rPr>
        <w:t>Automatic Partner/Sponsor agreement generation or removal</w:t>
      </w:r>
    </w:p>
    <w:p>
      <w:pPr>
        <w:spacing w:after="100"/>
      </w:pPr>
      <w:r>
        <w:rPr>
          <w:rFonts w:ascii="Calibri" w:hAnsi="Calibri"/>
          <w:b/>
          <w:color w:val="1F4D78"/>
          <w:sz w:val="21"/>
        </w:rPr>
        <w:t xml:space="preserve">Latest position. </w:t>
      </w:r>
      <w:r>
        <w:rPr>
          <w:rFonts w:ascii="Calibri" w:hAnsi="Calibri"/>
          <w:color w:val="243746"/>
          <w:sz w:val="21"/>
        </w:rPr>
        <w:t>The 19 August emails explored both ideas. The later 21 August meeting records Finance’s decision that agreements remain separate documents. Do not assume the agreement is scrapped.</w:t>
      </w:r>
    </w:p>
    <w:p>
      <w:pPr>
        <w:pStyle w:val="Heading3"/>
      </w:pPr>
      <w:r>
        <w:rPr>
          <w:rFonts w:ascii="Calibri" w:hAnsi="Calibri"/>
          <w:b/>
          <w:color w:val="9B1C1C"/>
          <w:sz w:val="24"/>
        </w:rPr>
        <w:t>Confirmation immediately on approval regardless of payment</w:t>
      </w:r>
    </w:p>
    <w:p>
      <w:pPr>
        <w:spacing w:after="100"/>
      </w:pPr>
      <w:r>
        <w:rPr>
          <w:rFonts w:ascii="Calibri" w:hAnsi="Calibri"/>
          <w:b/>
          <w:color w:val="1F4D78"/>
          <w:sz w:val="21"/>
        </w:rPr>
        <w:t xml:space="preserve">Latest position. </w:t>
      </w:r>
      <w:r>
        <w:rPr>
          <w:rFonts w:ascii="Calibri" w:hAnsi="Calibri"/>
          <w:color w:val="243746"/>
          <w:sz w:val="21"/>
        </w:rPr>
        <w:t>The 19 August and 1 September finance/launch updates require provisional allocation/payment first and final confirmation after payment for paid bookings.</w:t>
      </w:r>
    </w:p>
    <w:p>
      <w:pPr>
        <w:pStyle w:val="Heading3"/>
      </w:pPr>
      <w:r>
        <w:rPr>
          <w:rFonts w:ascii="Calibri" w:hAnsi="Calibri"/>
          <w:b/>
          <w:color w:val="9B1C1C"/>
          <w:sz w:val="24"/>
        </w:rPr>
        <w:t>Three separate launch webinars as the final campaign plan</w:t>
      </w:r>
    </w:p>
    <w:p>
      <w:pPr>
        <w:spacing w:after="100"/>
      </w:pPr>
      <w:r>
        <w:rPr>
          <w:rFonts w:ascii="Calibri" w:hAnsi="Calibri"/>
          <w:b/>
          <w:color w:val="1F4D78"/>
          <w:sz w:val="21"/>
        </w:rPr>
        <w:t xml:space="preserve">Latest position. </w:t>
      </w:r>
      <w:r>
        <w:rPr>
          <w:rFonts w:ascii="Calibri" w:hAnsi="Calibri"/>
          <w:color w:val="243746"/>
          <w:sz w:val="21"/>
        </w:rPr>
        <w:t>The 25 August segmentation email described three messages/webinars. On 1 September Kate said there will be one launch webinar for Partners/Sponsors and Exhibitors. Historic/category segmentation still matters, but the send plan must be redrawn.</w:t>
      </w:r>
    </w:p>
    <w:p>
      <w:pPr>
        <w:pStyle w:val="Heading3"/>
      </w:pPr>
      <w:r>
        <w:rPr>
          <w:rFonts w:ascii="Calibri" w:hAnsi="Calibri"/>
          <w:b/>
          <w:color w:val="9B1C1C"/>
          <w:sz w:val="24"/>
        </w:rPr>
        <w:t>Direct Salesforce–SharePoint file integration</w:t>
      </w:r>
    </w:p>
    <w:p>
      <w:pPr>
        <w:spacing w:after="100"/>
      </w:pPr>
      <w:r>
        <w:rPr>
          <w:rFonts w:ascii="Calibri" w:hAnsi="Calibri"/>
          <w:b/>
          <w:color w:val="1F4D78"/>
          <w:sz w:val="21"/>
        </w:rPr>
        <w:t xml:space="preserve">Latest position. </w:t>
      </w:r>
      <w:r>
        <w:rPr>
          <w:rFonts w:ascii="Calibri" w:hAnsi="Calibri"/>
          <w:color w:val="243746"/>
          <w:sz w:val="21"/>
        </w:rPr>
        <w:t>The 21 August meeting settled on external SharePoint storage and manual Salesforce receipt tracking.</w:t>
      </w:r>
    </w:p>
    <w:p>
      <w:pPr>
        <w:pStyle w:val="Heading3"/>
      </w:pPr>
      <w:r>
        <w:rPr>
          <w:rFonts w:ascii="Calibri" w:hAnsi="Calibri"/>
          <w:b/>
          <w:color w:val="9B1C1C"/>
          <w:sz w:val="24"/>
        </w:rPr>
        <w:t>September launch as a fixed commitment</w:t>
      </w:r>
    </w:p>
    <w:p>
      <w:pPr>
        <w:spacing w:after="100"/>
      </w:pPr>
      <w:r>
        <w:rPr>
          <w:rFonts w:ascii="Calibri" w:hAnsi="Calibri"/>
          <w:b/>
          <w:color w:val="1F4D78"/>
          <w:sz w:val="21"/>
        </w:rPr>
        <w:t xml:space="preserve">Latest position. </w:t>
      </w:r>
      <w:r>
        <w:rPr>
          <w:rFonts w:ascii="Calibri" w:hAnsi="Calibri"/>
          <w:color w:val="243746"/>
          <w:sz w:val="21"/>
        </w:rPr>
        <w:t>The first meeting targeted September. By 1 September, 15 September was provisional and 5/6 October was under discussion to allow approval and testing.</w:t>
      </w:r>
    </w:p>
    <w:p>
      <w:r>
        <w:br w:type="page"/>
      </w:r>
    </w:p>
    <w:p>
      <w:pPr>
        <w:pStyle w:val="Heading1"/>
        <w:keepNext/>
      </w:pPr>
      <w:r>
        <w:t>6. Evidence register</w:t>
      </w:r>
    </w:p>
    <w:p>
      <w:pPr>
        <w:spacing w:after="100"/>
      </w:pPr>
      <w:r>
        <w:rPr>
          <w:rFonts w:ascii="Calibri" w:hAnsi="Calibri"/>
          <w:b/>
          <w:color w:val="1F4D78"/>
          <w:sz w:val="19"/>
        </w:rPr>
        <w:t xml:space="preserve">Source convention. </w:t>
      </w:r>
      <w:r>
        <w:rPr>
          <w:rFonts w:ascii="Calibri" w:hAnsi="Calibri"/>
          <w:color w:val="667580"/>
          <w:sz w:val="19"/>
        </w:rPr>
        <w:t>The codes below are used throughout the matrix and rationale. Meeting quotations come from Gemini-generated notes/transcripts; email quotations are from the corresponding thread. Dates are in 2026.</w:t>
      </w:r>
    </w:p>
    <w:tbl>
      <w:tblPr>
        <w:tblW w:type="dxa" w:w="9360"/>
        <w:jc w:val="left"/>
        <w:tblLayout w:type="fixed"/>
        <w:tblLook w:firstColumn="1" w:firstRow="1" w:lastColumn="0" w:lastRow="0" w:noHBand="0" w:noVBand="1" w:val="04A0"/>
        <w:tblInd w:w="120" w:type="dxa"/>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Pr>
      <w:tblGrid>
        <w:gridCol w:w="720"/>
        <w:gridCol w:w="1080"/>
        <w:gridCol w:w="3060"/>
        <w:gridCol w:w="4500"/>
      </w:tblGrid>
      <w:tr>
        <w:trPr>
          <w:tblHeader w:val="true"/>
        </w:trPr>
        <w:tc>
          <w:tcPr>
            <w:tcW w:type="dxa" w:w="720"/>
            <w:tcMar>
              <w:top w:w="80" w:type="dxa"/>
              <w:start w:w="120" w:type="dxa"/>
              <w:bottom w:w="80" w:type="dxa"/>
              <w:end w:w="120" w:type="dxa"/>
            </w:tcMar>
            <w:shd w:fill="F2F4F7"/>
          </w:tcPr>
          <w:p>
            <w:pPr>
              <w:spacing w:after="0"/>
            </w:pPr>
            <w:r>
              <w:rPr>
                <w:rFonts w:ascii="Calibri" w:hAnsi="Calibri"/>
                <w:b/>
                <w:color w:val="243746"/>
                <w:sz w:val="18"/>
              </w:rPr>
              <w:t>Code</w:t>
            </w:r>
          </w:p>
        </w:tc>
        <w:tc>
          <w:tcPr>
            <w:tcW w:type="dxa" w:w="1080"/>
            <w:tcMar>
              <w:top w:w="80" w:type="dxa"/>
              <w:start w:w="120" w:type="dxa"/>
              <w:bottom w:w="80" w:type="dxa"/>
              <w:end w:w="120" w:type="dxa"/>
            </w:tcMar>
            <w:shd w:fill="F2F4F7"/>
          </w:tcPr>
          <w:p>
            <w:pPr>
              <w:spacing w:after="0"/>
            </w:pPr>
            <w:r>
              <w:rPr>
                <w:rFonts w:ascii="Calibri" w:hAnsi="Calibri"/>
                <w:b/>
                <w:color w:val="243746"/>
                <w:sz w:val="18"/>
              </w:rPr>
              <w:t>Date</w:t>
            </w:r>
          </w:p>
        </w:tc>
        <w:tc>
          <w:tcPr>
            <w:tcW w:type="dxa" w:w="3060"/>
            <w:tcMar>
              <w:top w:w="80" w:type="dxa"/>
              <w:start w:w="120" w:type="dxa"/>
              <w:bottom w:w="80" w:type="dxa"/>
              <w:end w:w="120" w:type="dxa"/>
            </w:tcMar>
            <w:shd w:fill="F2F4F7"/>
          </w:tcPr>
          <w:p>
            <w:pPr>
              <w:spacing w:after="0"/>
            </w:pPr>
            <w:r>
              <w:rPr>
                <w:rFonts w:ascii="Calibri" w:hAnsi="Calibri"/>
                <w:b/>
                <w:color w:val="243746"/>
                <w:sz w:val="18"/>
              </w:rPr>
              <w:t>Source</w:t>
            </w:r>
          </w:p>
        </w:tc>
        <w:tc>
          <w:tcPr>
            <w:tcW w:type="dxa" w:w="4500"/>
            <w:tcMar>
              <w:top w:w="80" w:type="dxa"/>
              <w:start w:w="120" w:type="dxa"/>
              <w:bottom w:w="80" w:type="dxa"/>
              <w:end w:w="120" w:type="dxa"/>
            </w:tcMar>
            <w:shd w:fill="F2F4F7"/>
          </w:tcPr>
          <w:p>
            <w:pPr>
              <w:spacing w:after="0"/>
            </w:pPr>
            <w:r>
              <w:rPr>
                <w:rFonts w:ascii="Calibri" w:hAnsi="Calibri"/>
                <w:b/>
                <w:color w:val="243746"/>
                <w:sz w:val="18"/>
              </w:rPr>
              <w:t>Used for</w:t>
            </w:r>
          </w:p>
        </w:tc>
      </w:tr>
      <w:tr>
        <w:trPr>
          <w:cantSplit/>
        </w:trPr>
        <w:tc>
          <w:tcPr>
            <w:tcW w:type="dxa" w:w="720"/>
          </w:tcPr>
          <w:p>
            <w:pPr>
              <w:spacing w:after="0"/>
            </w:pPr>
            <w:r>
              <w:rPr>
                <w:rFonts w:ascii="Calibri" w:hAnsi="Calibri"/>
                <w:b/>
                <w:color w:val="243746"/>
                <w:sz w:val="17"/>
              </w:rPr>
              <w:t>M1</w:t>
            </w:r>
          </w:p>
        </w:tc>
        <w:tc>
          <w:tcPr>
            <w:tcW w:type="dxa" w:w="1080"/>
          </w:tcPr>
          <w:p>
            <w:pPr>
              <w:spacing w:after="0"/>
            </w:pPr>
            <w:r>
              <w:rPr>
                <w:rFonts w:ascii="Calibri" w:hAnsi="Calibri"/>
                <w:b w:val="0"/>
                <w:color w:val="243746"/>
                <w:sz w:val="17"/>
              </w:rPr>
              <w:t>29 Jul 2026</w:t>
            </w:r>
          </w:p>
        </w:tc>
        <w:tc>
          <w:tcPr>
            <w:tcW w:type="dxa" w:w="3060"/>
          </w:tcPr>
          <w:p>
            <w:pPr>
              <w:spacing w:after="0"/>
            </w:pPr>
            <w:r>
              <w:rPr>
                <w:rFonts w:ascii="Calibri" w:hAnsi="Calibri"/>
                <w:b w:val="0"/>
                <w:color w:val="243746"/>
                <w:sz w:val="17"/>
              </w:rPr>
              <w:t>Gemini notes/transcript — ‘Salesforce at Missionmotorsport’</w:t>
            </w:r>
          </w:p>
        </w:tc>
        <w:tc>
          <w:tcPr>
            <w:tcW w:type="dxa" w:w="4500"/>
          </w:tcPr>
          <w:p>
            <w:pPr>
              <w:spacing w:after="0"/>
            </w:pPr>
            <w:r>
              <w:rPr>
                <w:rFonts w:ascii="Calibri" w:hAnsi="Calibri"/>
                <w:b w:val="0"/>
                <w:color w:val="243746"/>
                <w:sz w:val="17"/>
              </w:rPr>
              <w:t>Initial pain, scope, lifecycle, invite-only approval, communications, isolation.</w:t>
            </w:r>
          </w:p>
        </w:tc>
      </w:tr>
      <w:tr>
        <w:trPr>
          <w:cantSplit/>
        </w:trPr>
        <w:tc>
          <w:tcPr>
            <w:tcW w:type="dxa" w:w="720"/>
          </w:tcPr>
          <w:p>
            <w:pPr>
              <w:spacing w:after="0"/>
            </w:pPr>
            <w:r>
              <w:rPr>
                <w:rFonts w:ascii="Calibri" w:hAnsi="Calibri"/>
                <w:b/>
                <w:color w:val="243746"/>
                <w:sz w:val="17"/>
              </w:rPr>
              <w:t>M2</w:t>
            </w:r>
          </w:p>
        </w:tc>
        <w:tc>
          <w:tcPr>
            <w:tcW w:type="dxa" w:w="1080"/>
          </w:tcPr>
          <w:p>
            <w:pPr>
              <w:spacing w:after="0"/>
            </w:pPr>
            <w:r>
              <w:rPr>
                <w:rFonts w:ascii="Calibri" w:hAnsi="Calibri"/>
                <w:b w:val="0"/>
                <w:color w:val="243746"/>
                <w:sz w:val="17"/>
              </w:rPr>
              <w:t>7 Aug 2026</w:t>
            </w:r>
          </w:p>
        </w:tc>
        <w:tc>
          <w:tcPr>
            <w:tcW w:type="dxa" w:w="3060"/>
          </w:tcPr>
          <w:p>
            <w:pPr>
              <w:spacing w:after="0"/>
            </w:pPr>
            <w:r>
              <w:rPr>
                <w:rFonts w:ascii="Calibri" w:hAnsi="Calibri"/>
                <w:b w:val="0"/>
                <w:color w:val="243746"/>
                <w:sz w:val="17"/>
              </w:rPr>
              <w:t>Gemini notes — ‘Demo of intake form’</w:t>
            </w:r>
          </w:p>
        </w:tc>
        <w:tc>
          <w:tcPr>
            <w:tcW w:type="dxa" w:w="4500"/>
          </w:tcPr>
          <w:p>
            <w:pPr>
              <w:spacing w:after="0"/>
            </w:pPr>
            <w:r>
              <w:rPr>
                <w:rFonts w:ascii="Calibri" w:hAnsi="Calibri"/>
                <w:b w:val="0"/>
                <w:color w:val="243746"/>
                <w:sz w:val="17"/>
              </w:rPr>
              <w:t>Demo feedback context; email E2 is the authoritative detailed revision.</w:t>
            </w:r>
          </w:p>
        </w:tc>
      </w:tr>
      <w:tr>
        <w:trPr>
          <w:cantSplit/>
        </w:trPr>
        <w:tc>
          <w:tcPr>
            <w:tcW w:type="dxa" w:w="720"/>
          </w:tcPr>
          <w:p>
            <w:pPr>
              <w:spacing w:after="0"/>
            </w:pPr>
            <w:r>
              <w:rPr>
                <w:rFonts w:ascii="Calibri" w:hAnsi="Calibri"/>
                <w:b/>
                <w:color w:val="243746"/>
                <w:sz w:val="17"/>
              </w:rPr>
              <w:t>M3</w:t>
            </w:r>
          </w:p>
        </w:tc>
        <w:tc>
          <w:tcPr>
            <w:tcW w:type="dxa" w:w="1080"/>
          </w:tcPr>
          <w:p>
            <w:pPr>
              <w:spacing w:after="0"/>
            </w:pPr>
            <w:r>
              <w:rPr>
                <w:rFonts w:ascii="Calibri" w:hAnsi="Calibri"/>
                <w:b w:val="0"/>
                <w:color w:val="243746"/>
                <w:sz w:val="17"/>
              </w:rPr>
              <w:t>13 Aug 2026</w:t>
            </w:r>
          </w:p>
        </w:tc>
        <w:tc>
          <w:tcPr>
            <w:tcW w:type="dxa" w:w="3060"/>
          </w:tcPr>
          <w:p>
            <w:pPr>
              <w:spacing w:after="0"/>
            </w:pPr>
            <w:r>
              <w:rPr>
                <w:rFonts w:ascii="Calibri" w:hAnsi="Calibri"/>
                <w:b w:val="0"/>
                <w:color w:val="243746"/>
                <w:sz w:val="17"/>
              </w:rPr>
              <w:t>Gemini notes/transcript — ‘Progress Update’</w:t>
            </w:r>
          </w:p>
        </w:tc>
        <w:tc>
          <w:tcPr>
            <w:tcW w:type="dxa" w:w="4500"/>
          </w:tcPr>
          <w:p>
            <w:pPr>
              <w:spacing w:after="0"/>
            </w:pPr>
            <w:r>
              <w:rPr>
                <w:rFonts w:ascii="Calibri" w:hAnsi="Calibri"/>
                <w:b w:val="0"/>
                <w:color w:val="243746"/>
                <w:sz w:val="17"/>
              </w:rPr>
              <w:t>Forms, staff/heavy updates, logo handling, database and sandbox review.</w:t>
            </w:r>
          </w:p>
        </w:tc>
      </w:tr>
      <w:tr>
        <w:trPr>
          <w:cantSplit/>
        </w:trPr>
        <w:tc>
          <w:tcPr>
            <w:tcW w:type="dxa" w:w="720"/>
          </w:tcPr>
          <w:p>
            <w:pPr>
              <w:spacing w:after="0"/>
            </w:pPr>
            <w:r>
              <w:rPr>
                <w:rFonts w:ascii="Calibri" w:hAnsi="Calibri"/>
                <w:b/>
                <w:color w:val="243746"/>
                <w:sz w:val="17"/>
              </w:rPr>
              <w:t>M4</w:t>
            </w:r>
          </w:p>
        </w:tc>
        <w:tc>
          <w:tcPr>
            <w:tcW w:type="dxa" w:w="1080"/>
          </w:tcPr>
          <w:p>
            <w:pPr>
              <w:spacing w:after="0"/>
            </w:pPr>
            <w:r>
              <w:rPr>
                <w:rFonts w:ascii="Calibri" w:hAnsi="Calibri"/>
                <w:b w:val="0"/>
                <w:color w:val="243746"/>
                <w:sz w:val="17"/>
              </w:rPr>
              <w:t>21 Aug 2026</w:t>
            </w:r>
          </w:p>
        </w:tc>
        <w:tc>
          <w:tcPr>
            <w:tcW w:type="dxa" w:w="3060"/>
          </w:tcPr>
          <w:p>
            <w:pPr>
              <w:spacing w:after="0"/>
            </w:pPr>
            <w:r>
              <w:rPr>
                <w:rFonts w:ascii="Calibri" w:hAnsi="Calibri"/>
                <w:b w:val="0"/>
                <w:color w:val="243746"/>
                <w:sz w:val="17"/>
              </w:rPr>
              <w:t>Gemini notes/transcript — ‘Progress Update’</w:t>
            </w:r>
          </w:p>
        </w:tc>
        <w:tc>
          <w:tcPr>
            <w:tcW w:type="dxa" w:w="4500"/>
          </w:tcPr>
          <w:p>
            <w:pPr>
              <w:spacing w:after="0"/>
            </w:pPr>
            <w:r>
              <w:rPr>
                <w:rFonts w:ascii="Calibri" w:hAnsi="Calibri"/>
                <w:b w:val="0"/>
                <w:color w:val="243746"/>
                <w:sz w:val="17"/>
              </w:rPr>
              <w:t>Accepted data model/app, finance stages, separate updates, references, artwork, EOI, do-not-invite, mass email, volunteer.</w:t>
            </w:r>
          </w:p>
        </w:tc>
      </w:tr>
      <w:tr>
        <w:trPr>
          <w:cantSplit/>
        </w:trPr>
        <w:tc>
          <w:tcPr>
            <w:tcW w:type="dxa" w:w="720"/>
          </w:tcPr>
          <w:p>
            <w:pPr>
              <w:spacing w:after="0"/>
            </w:pPr>
            <w:r>
              <w:rPr>
                <w:rFonts w:ascii="Calibri" w:hAnsi="Calibri"/>
                <w:b/>
                <w:color w:val="243746"/>
                <w:sz w:val="17"/>
              </w:rPr>
              <w:t>E1</w:t>
            </w:r>
          </w:p>
        </w:tc>
        <w:tc>
          <w:tcPr>
            <w:tcW w:type="dxa" w:w="1080"/>
          </w:tcPr>
          <w:p>
            <w:pPr>
              <w:spacing w:after="0"/>
            </w:pPr>
            <w:r>
              <w:rPr>
                <w:rFonts w:ascii="Calibri" w:hAnsi="Calibri"/>
                <w:b w:val="0"/>
                <w:color w:val="243746"/>
                <w:sz w:val="17"/>
              </w:rPr>
              <w:t>30 Jul 2026</w:t>
            </w:r>
          </w:p>
        </w:tc>
        <w:tc>
          <w:tcPr>
            <w:tcW w:type="dxa" w:w="3060"/>
          </w:tcPr>
          <w:p>
            <w:pPr>
              <w:spacing w:after="0"/>
            </w:pPr>
            <w:r>
              <w:rPr>
                <w:rFonts w:ascii="Calibri" w:hAnsi="Calibri"/>
                <w:b w:val="0"/>
                <w:color w:val="243746"/>
                <w:sz w:val="17"/>
              </w:rPr>
              <w:t>Kate — ‘Following up actions from our meeting this afternoon’</w:t>
            </w:r>
          </w:p>
        </w:tc>
        <w:tc>
          <w:tcPr>
            <w:tcW w:type="dxa" w:w="4500"/>
          </w:tcPr>
          <w:p>
            <w:pPr>
              <w:spacing w:after="0"/>
            </w:pPr>
            <w:r>
              <w:rPr>
                <w:rFonts w:ascii="Calibri" w:hAnsi="Calibri"/>
                <w:b w:val="0"/>
                <w:color w:val="243746"/>
                <w:sz w:val="17"/>
              </w:rPr>
              <w:t>Current Exhibitor and Partner/Sponsor source forms.</w:t>
            </w:r>
          </w:p>
        </w:tc>
      </w:tr>
      <w:tr>
        <w:trPr>
          <w:cantSplit/>
        </w:trPr>
        <w:tc>
          <w:tcPr>
            <w:tcW w:type="dxa" w:w="720"/>
          </w:tcPr>
          <w:p>
            <w:pPr>
              <w:spacing w:after="0"/>
            </w:pPr>
            <w:r>
              <w:rPr>
                <w:rFonts w:ascii="Calibri" w:hAnsi="Calibri"/>
                <w:b/>
                <w:color w:val="243746"/>
                <w:sz w:val="17"/>
              </w:rPr>
              <w:t>E2</w:t>
            </w:r>
          </w:p>
        </w:tc>
        <w:tc>
          <w:tcPr>
            <w:tcW w:type="dxa" w:w="1080"/>
          </w:tcPr>
          <w:p>
            <w:pPr>
              <w:spacing w:after="0"/>
            </w:pPr>
            <w:r>
              <w:rPr>
                <w:rFonts w:ascii="Calibri" w:hAnsi="Calibri"/>
                <w:b w:val="0"/>
                <w:color w:val="243746"/>
                <w:sz w:val="17"/>
              </w:rPr>
              <w:t>7 Aug 2026</w:t>
            </w:r>
          </w:p>
        </w:tc>
        <w:tc>
          <w:tcPr>
            <w:tcW w:type="dxa" w:w="3060"/>
          </w:tcPr>
          <w:p>
            <w:pPr>
              <w:spacing w:after="0"/>
            </w:pPr>
            <w:r>
              <w:rPr>
                <w:rFonts w:ascii="Calibri" w:hAnsi="Calibri"/>
                <w:b w:val="0"/>
                <w:color w:val="243746"/>
                <w:sz w:val="17"/>
              </w:rPr>
              <w:t>Kate — ‘Web to lead forms’</w:t>
            </w:r>
          </w:p>
        </w:tc>
        <w:tc>
          <w:tcPr>
            <w:tcW w:type="dxa" w:w="4500"/>
          </w:tcPr>
          <w:p>
            <w:pPr>
              <w:spacing w:after="0"/>
            </w:pPr>
            <w:r>
              <w:rPr>
                <w:rFonts w:ascii="Calibri" w:hAnsi="Calibri"/>
                <w:b w:val="0"/>
                <w:color w:val="243746"/>
                <w:sz w:val="17"/>
              </w:rPr>
              <w:t>Separate forms, hidden onboarding link, prices, staff, heavy items, accessibility, power.</w:t>
            </w:r>
          </w:p>
        </w:tc>
      </w:tr>
      <w:tr>
        <w:trPr>
          <w:cantSplit/>
        </w:trPr>
        <w:tc>
          <w:tcPr>
            <w:tcW w:type="dxa" w:w="720"/>
          </w:tcPr>
          <w:p>
            <w:pPr>
              <w:spacing w:after="0"/>
            </w:pPr>
            <w:r>
              <w:rPr>
                <w:rFonts w:ascii="Calibri" w:hAnsi="Calibri"/>
                <w:b/>
                <w:color w:val="243746"/>
                <w:sz w:val="17"/>
              </w:rPr>
              <w:t>E3</w:t>
            </w:r>
          </w:p>
        </w:tc>
        <w:tc>
          <w:tcPr>
            <w:tcW w:type="dxa" w:w="1080"/>
          </w:tcPr>
          <w:p>
            <w:pPr>
              <w:spacing w:after="0"/>
            </w:pPr>
            <w:r>
              <w:rPr>
                <w:rFonts w:ascii="Calibri" w:hAnsi="Calibri"/>
                <w:b w:val="0"/>
                <w:color w:val="243746"/>
                <w:sz w:val="17"/>
              </w:rPr>
              <w:t>11 Aug 2026</w:t>
            </w:r>
          </w:p>
        </w:tc>
        <w:tc>
          <w:tcPr>
            <w:tcW w:type="dxa" w:w="3060"/>
          </w:tcPr>
          <w:p>
            <w:pPr>
              <w:spacing w:after="0"/>
            </w:pPr>
            <w:r>
              <w:rPr>
                <w:rFonts w:ascii="Calibri" w:hAnsi="Calibri"/>
                <w:b w:val="0"/>
                <w:color w:val="243746"/>
                <w:sz w:val="17"/>
              </w:rPr>
              <w:t>Kate — ‘Guest questions, auto response and email templates’</w:t>
            </w:r>
          </w:p>
        </w:tc>
        <w:tc>
          <w:tcPr>
            <w:tcW w:type="dxa" w:w="4500"/>
          </w:tcPr>
          <w:p>
            <w:pPr>
              <w:spacing w:after="0"/>
            </w:pPr>
            <w:r>
              <w:rPr>
                <w:rFonts w:ascii="Calibri" w:hAnsi="Calibri"/>
                <w:b w:val="0"/>
                <w:color w:val="243746"/>
                <w:sz w:val="17"/>
              </w:rPr>
              <w:t>Guest and message source material.</w:t>
            </w:r>
          </w:p>
        </w:tc>
      </w:tr>
      <w:tr>
        <w:trPr>
          <w:cantSplit/>
        </w:trPr>
        <w:tc>
          <w:tcPr>
            <w:tcW w:type="dxa" w:w="720"/>
          </w:tcPr>
          <w:p>
            <w:pPr>
              <w:spacing w:after="0"/>
            </w:pPr>
            <w:r>
              <w:rPr>
                <w:rFonts w:ascii="Calibri" w:hAnsi="Calibri"/>
                <w:b/>
                <w:color w:val="243746"/>
                <w:sz w:val="17"/>
              </w:rPr>
              <w:t>E4</w:t>
            </w:r>
          </w:p>
        </w:tc>
        <w:tc>
          <w:tcPr>
            <w:tcW w:type="dxa" w:w="1080"/>
          </w:tcPr>
          <w:p>
            <w:pPr>
              <w:spacing w:after="0"/>
            </w:pPr>
            <w:r>
              <w:rPr>
                <w:rFonts w:ascii="Calibri" w:hAnsi="Calibri"/>
                <w:b w:val="0"/>
                <w:color w:val="243746"/>
                <w:sz w:val="17"/>
              </w:rPr>
              <w:t>12 Aug 2026</w:t>
            </w:r>
          </w:p>
        </w:tc>
        <w:tc>
          <w:tcPr>
            <w:tcW w:type="dxa" w:w="3060"/>
          </w:tcPr>
          <w:p>
            <w:pPr>
              <w:spacing w:after="0"/>
            </w:pPr>
            <w:r>
              <w:rPr>
                <w:rFonts w:ascii="Calibri" w:hAnsi="Calibri"/>
                <w:b w:val="0"/>
                <w:color w:val="243746"/>
                <w:sz w:val="17"/>
              </w:rPr>
              <w:t>Kate — ‘NTE Database’</w:t>
            </w:r>
          </w:p>
        </w:tc>
        <w:tc>
          <w:tcPr>
            <w:tcW w:type="dxa" w:w="4500"/>
          </w:tcPr>
          <w:p>
            <w:pPr>
              <w:spacing w:after="0"/>
            </w:pPr>
            <w:r>
              <w:rPr>
                <w:rFonts w:ascii="Calibri" w:hAnsi="Calibri"/>
                <w:b w:val="0"/>
                <w:color w:val="243746"/>
                <w:sz w:val="17"/>
              </w:rPr>
              <w:t>Consolidated historical database and migration request.</w:t>
            </w:r>
          </w:p>
        </w:tc>
      </w:tr>
      <w:tr>
        <w:trPr>
          <w:cantSplit/>
        </w:trPr>
        <w:tc>
          <w:tcPr>
            <w:tcW w:type="dxa" w:w="720"/>
          </w:tcPr>
          <w:p>
            <w:pPr>
              <w:spacing w:after="0"/>
            </w:pPr>
            <w:r>
              <w:rPr>
                <w:rFonts w:ascii="Calibri" w:hAnsi="Calibri"/>
                <w:b/>
                <w:color w:val="243746"/>
                <w:sz w:val="17"/>
              </w:rPr>
              <w:t>E5</w:t>
            </w:r>
          </w:p>
        </w:tc>
        <w:tc>
          <w:tcPr>
            <w:tcW w:type="dxa" w:w="1080"/>
          </w:tcPr>
          <w:p>
            <w:pPr>
              <w:spacing w:after="0"/>
            </w:pPr>
            <w:r>
              <w:rPr>
                <w:rFonts w:ascii="Calibri" w:hAnsi="Calibri"/>
                <w:b w:val="0"/>
                <w:color w:val="243746"/>
                <w:sz w:val="17"/>
              </w:rPr>
              <w:t>13 Aug 2026</w:t>
            </w:r>
          </w:p>
        </w:tc>
        <w:tc>
          <w:tcPr>
            <w:tcW w:type="dxa" w:w="3060"/>
          </w:tcPr>
          <w:p>
            <w:pPr>
              <w:spacing w:after="0"/>
            </w:pPr>
            <w:r>
              <w:rPr>
                <w:rFonts w:ascii="Calibri" w:hAnsi="Calibri"/>
                <w:b w:val="0"/>
                <w:color w:val="243746"/>
                <w:sz w:val="17"/>
              </w:rPr>
              <w:t>Delivery recap — ‘Links to all Forms and confirming proposed database migration steps’</w:t>
            </w:r>
          </w:p>
        </w:tc>
        <w:tc>
          <w:tcPr>
            <w:tcW w:type="dxa" w:w="4500"/>
          </w:tcPr>
          <w:p>
            <w:pPr>
              <w:spacing w:after="0"/>
            </w:pPr>
            <w:r>
              <w:rPr>
                <w:rFonts w:ascii="Calibri" w:hAnsi="Calibri"/>
                <w:b w:val="0"/>
                <w:color w:val="243746"/>
                <w:sz w:val="17"/>
              </w:rPr>
              <w:t>Form routes, migration cleanup findings, outstanding terms/brochure/File Request link.</w:t>
            </w:r>
          </w:p>
        </w:tc>
      </w:tr>
      <w:tr>
        <w:trPr>
          <w:cantSplit/>
        </w:trPr>
        <w:tc>
          <w:tcPr>
            <w:tcW w:type="dxa" w:w="720"/>
          </w:tcPr>
          <w:p>
            <w:pPr>
              <w:spacing w:after="0"/>
            </w:pPr>
            <w:r>
              <w:rPr>
                <w:rFonts w:ascii="Calibri" w:hAnsi="Calibri"/>
                <w:b/>
                <w:color w:val="243746"/>
                <w:sz w:val="17"/>
              </w:rPr>
              <w:t>E6</w:t>
            </w:r>
          </w:p>
        </w:tc>
        <w:tc>
          <w:tcPr>
            <w:tcW w:type="dxa" w:w="1080"/>
          </w:tcPr>
          <w:p>
            <w:pPr>
              <w:spacing w:after="0"/>
            </w:pPr>
            <w:r>
              <w:rPr>
                <w:rFonts w:ascii="Calibri" w:hAnsi="Calibri"/>
                <w:b w:val="0"/>
                <w:color w:val="243746"/>
                <w:sz w:val="17"/>
              </w:rPr>
              <w:t>18 Aug 2026</w:t>
            </w:r>
          </w:p>
        </w:tc>
        <w:tc>
          <w:tcPr>
            <w:tcW w:type="dxa" w:w="3060"/>
          </w:tcPr>
          <w:p>
            <w:pPr>
              <w:spacing w:after="0"/>
            </w:pPr>
            <w:r>
              <w:rPr>
                <w:rFonts w:ascii="Calibri" w:hAnsi="Calibri"/>
                <w:b w:val="0"/>
                <w:color w:val="243746"/>
                <w:sz w:val="17"/>
              </w:rPr>
              <w:t>Kate — ‘Forms’</w:t>
            </w:r>
          </w:p>
        </w:tc>
        <w:tc>
          <w:tcPr>
            <w:tcW w:type="dxa" w:w="4500"/>
          </w:tcPr>
          <w:p>
            <w:pPr>
              <w:spacing w:after="0"/>
            </w:pPr>
            <w:r>
              <w:rPr>
                <w:rFonts w:ascii="Calibri" w:hAnsi="Calibri"/>
                <w:b w:val="0"/>
                <w:color w:val="243746"/>
                <w:sz w:val="17"/>
              </w:rPr>
              <w:t>Detailed field/copy changes, integrated finance, declarations, separate updates, logo naming.</w:t>
            </w:r>
          </w:p>
        </w:tc>
      </w:tr>
      <w:tr>
        <w:trPr>
          <w:cantSplit/>
        </w:trPr>
        <w:tc>
          <w:tcPr>
            <w:tcW w:type="dxa" w:w="720"/>
          </w:tcPr>
          <w:p>
            <w:pPr>
              <w:spacing w:after="0"/>
            </w:pPr>
            <w:r>
              <w:rPr>
                <w:rFonts w:ascii="Calibri" w:hAnsi="Calibri"/>
                <w:b/>
                <w:color w:val="243746"/>
                <w:sz w:val="17"/>
              </w:rPr>
              <w:t>E7</w:t>
            </w:r>
          </w:p>
        </w:tc>
        <w:tc>
          <w:tcPr>
            <w:tcW w:type="dxa" w:w="1080"/>
          </w:tcPr>
          <w:p>
            <w:pPr>
              <w:spacing w:after="0"/>
            </w:pPr>
            <w:r>
              <w:rPr>
                <w:rFonts w:ascii="Calibri" w:hAnsi="Calibri"/>
                <w:b w:val="0"/>
                <w:color w:val="243746"/>
                <w:sz w:val="17"/>
              </w:rPr>
              <w:t>18 Aug 2026</w:t>
            </w:r>
          </w:p>
        </w:tc>
        <w:tc>
          <w:tcPr>
            <w:tcW w:type="dxa" w:w="3060"/>
          </w:tcPr>
          <w:p>
            <w:pPr>
              <w:spacing w:after="0"/>
            </w:pPr>
            <w:r>
              <w:rPr>
                <w:rFonts w:ascii="Calibri" w:hAnsi="Calibri"/>
                <w:b w:val="0"/>
                <w:color w:val="243746"/>
                <w:sz w:val="17"/>
              </w:rPr>
              <w:t>Kate/Delivery — database migration thread</w:t>
            </w:r>
          </w:p>
        </w:tc>
        <w:tc>
          <w:tcPr>
            <w:tcW w:type="dxa" w:w="4500"/>
          </w:tcPr>
          <w:p>
            <w:pPr>
              <w:spacing w:after="0"/>
            </w:pPr>
            <w:r>
              <w:rPr>
                <w:rFonts w:ascii="Calibri" w:hAnsi="Calibri"/>
                <w:b w:val="0"/>
                <w:color w:val="243746"/>
                <w:sz w:val="17"/>
              </w:rPr>
              <w:t>Duplicate, unnamed-contact and liaison handling.</w:t>
            </w:r>
          </w:p>
        </w:tc>
      </w:tr>
      <w:tr>
        <w:trPr>
          <w:cantSplit/>
        </w:trPr>
        <w:tc>
          <w:tcPr>
            <w:tcW w:type="dxa" w:w="720"/>
          </w:tcPr>
          <w:p>
            <w:pPr>
              <w:spacing w:after="0"/>
            </w:pPr>
            <w:r>
              <w:rPr>
                <w:rFonts w:ascii="Calibri" w:hAnsi="Calibri"/>
                <w:b/>
                <w:color w:val="243746"/>
                <w:sz w:val="17"/>
              </w:rPr>
              <w:t>E8–E9</w:t>
            </w:r>
          </w:p>
        </w:tc>
        <w:tc>
          <w:tcPr>
            <w:tcW w:type="dxa" w:w="1080"/>
          </w:tcPr>
          <w:p>
            <w:pPr>
              <w:spacing w:after="0"/>
            </w:pPr>
            <w:r>
              <w:rPr>
                <w:rFonts w:ascii="Calibri" w:hAnsi="Calibri"/>
                <w:b w:val="0"/>
                <w:color w:val="243746"/>
                <w:sz w:val="17"/>
              </w:rPr>
              <w:t>18–21 Aug 2026</w:t>
            </w:r>
          </w:p>
        </w:tc>
        <w:tc>
          <w:tcPr>
            <w:tcW w:type="dxa" w:w="3060"/>
          </w:tcPr>
          <w:p>
            <w:pPr>
              <w:spacing w:after="0"/>
            </w:pPr>
            <w:r>
              <w:rPr>
                <w:rFonts w:ascii="Calibri" w:hAnsi="Calibri"/>
                <w:b w:val="0"/>
                <w:color w:val="243746"/>
                <w:sz w:val="17"/>
              </w:rPr>
              <w:t>Partner/Sponsor benefits/agreement thread and M4</w:t>
            </w:r>
          </w:p>
        </w:tc>
        <w:tc>
          <w:tcPr>
            <w:tcW w:type="dxa" w:w="4500"/>
          </w:tcPr>
          <w:p>
            <w:pPr>
              <w:spacing w:after="0"/>
            </w:pPr>
            <w:r>
              <w:rPr>
                <w:rFonts w:ascii="Calibri" w:hAnsi="Calibri"/>
                <w:b w:val="0"/>
                <w:color w:val="243746"/>
                <w:sz w:val="17"/>
              </w:rPr>
              <w:t>Document generation explored, then latest decision: agreements separate.</w:t>
            </w:r>
          </w:p>
        </w:tc>
      </w:tr>
      <w:tr>
        <w:trPr>
          <w:cantSplit/>
        </w:trPr>
        <w:tc>
          <w:tcPr>
            <w:tcW w:type="dxa" w:w="720"/>
          </w:tcPr>
          <w:p>
            <w:pPr>
              <w:spacing w:after="0"/>
            </w:pPr>
            <w:r>
              <w:rPr>
                <w:rFonts w:ascii="Calibri" w:hAnsi="Calibri"/>
                <w:b/>
                <w:color w:val="243746"/>
                <w:sz w:val="17"/>
              </w:rPr>
              <w:t>E10</w:t>
            </w:r>
          </w:p>
        </w:tc>
        <w:tc>
          <w:tcPr>
            <w:tcW w:type="dxa" w:w="1080"/>
          </w:tcPr>
          <w:p>
            <w:pPr>
              <w:spacing w:after="0"/>
            </w:pPr>
            <w:r>
              <w:rPr>
                <w:rFonts w:ascii="Calibri" w:hAnsi="Calibri"/>
                <w:b w:val="0"/>
                <w:color w:val="243746"/>
                <w:sz w:val="17"/>
              </w:rPr>
              <w:t>19 Aug 2026</w:t>
            </w:r>
          </w:p>
        </w:tc>
        <w:tc>
          <w:tcPr>
            <w:tcW w:type="dxa" w:w="3060"/>
          </w:tcPr>
          <w:p>
            <w:pPr>
              <w:spacing w:after="0"/>
            </w:pPr>
            <w:r>
              <w:rPr>
                <w:rFonts w:ascii="Calibri" w:hAnsi="Calibri"/>
                <w:b w:val="0"/>
                <w:color w:val="243746"/>
                <w:sz w:val="17"/>
              </w:rPr>
              <w:t>Kate — ‘Stripe payment option?’</w:t>
            </w:r>
          </w:p>
        </w:tc>
        <w:tc>
          <w:tcPr>
            <w:tcW w:type="dxa" w:w="4500"/>
          </w:tcPr>
          <w:p>
            <w:pPr>
              <w:spacing w:after="0"/>
            </w:pPr>
            <w:r>
              <w:rPr>
                <w:rFonts w:ascii="Calibri" w:hAnsi="Calibri"/>
                <w:b w:val="0"/>
                <w:color w:val="243746"/>
                <w:sz w:val="17"/>
              </w:rPr>
              <w:t>Provisional booking, payment link request, no final confirmation before payment.</w:t>
            </w:r>
          </w:p>
        </w:tc>
      </w:tr>
      <w:tr>
        <w:trPr>
          <w:cantSplit/>
        </w:trPr>
        <w:tc>
          <w:tcPr>
            <w:tcW w:type="dxa" w:w="720"/>
          </w:tcPr>
          <w:p>
            <w:pPr>
              <w:spacing w:after="0"/>
            </w:pPr>
            <w:r>
              <w:rPr>
                <w:rFonts w:ascii="Calibri" w:hAnsi="Calibri"/>
                <w:b/>
                <w:color w:val="243746"/>
                <w:sz w:val="17"/>
              </w:rPr>
              <w:t>E11</w:t>
            </w:r>
          </w:p>
        </w:tc>
        <w:tc>
          <w:tcPr>
            <w:tcW w:type="dxa" w:w="1080"/>
          </w:tcPr>
          <w:p>
            <w:pPr>
              <w:spacing w:after="0"/>
            </w:pPr>
            <w:r>
              <w:rPr>
                <w:rFonts w:ascii="Calibri" w:hAnsi="Calibri"/>
                <w:b w:val="0"/>
                <w:color w:val="243746"/>
                <w:sz w:val="17"/>
              </w:rPr>
              <w:t>21 Aug 2026</w:t>
            </w:r>
          </w:p>
        </w:tc>
        <w:tc>
          <w:tcPr>
            <w:tcW w:type="dxa" w:w="3060"/>
          </w:tcPr>
          <w:p>
            <w:pPr>
              <w:spacing w:after="0"/>
            </w:pPr>
            <w:r>
              <w:rPr>
                <w:rFonts w:ascii="Calibri" w:hAnsi="Calibri"/>
                <w:b w:val="0"/>
                <w:color w:val="243746"/>
                <w:sz w:val="17"/>
              </w:rPr>
              <w:t>Kate — ‘EOI form’</w:t>
            </w:r>
          </w:p>
        </w:tc>
        <w:tc>
          <w:tcPr>
            <w:tcW w:type="dxa" w:w="4500"/>
          </w:tcPr>
          <w:p>
            <w:pPr>
              <w:spacing w:after="0"/>
            </w:pPr>
            <w:r>
              <w:rPr>
                <w:rFonts w:ascii="Calibri" w:hAnsi="Calibri"/>
                <w:b w:val="0"/>
                <w:color w:val="243746"/>
                <w:sz w:val="17"/>
              </w:rPr>
              <w:t>Salesforce-linked EOI request.</w:t>
            </w:r>
          </w:p>
        </w:tc>
      </w:tr>
      <w:tr>
        <w:trPr>
          <w:cantSplit/>
        </w:trPr>
        <w:tc>
          <w:tcPr>
            <w:tcW w:type="dxa" w:w="720"/>
          </w:tcPr>
          <w:p>
            <w:pPr>
              <w:spacing w:after="0"/>
            </w:pPr>
            <w:r>
              <w:rPr>
                <w:rFonts w:ascii="Calibri" w:hAnsi="Calibri"/>
                <w:b/>
                <w:color w:val="243746"/>
                <w:sz w:val="17"/>
              </w:rPr>
              <w:t>E12–E13</w:t>
            </w:r>
          </w:p>
        </w:tc>
        <w:tc>
          <w:tcPr>
            <w:tcW w:type="dxa" w:w="1080"/>
          </w:tcPr>
          <w:p>
            <w:pPr>
              <w:spacing w:after="0"/>
            </w:pPr>
            <w:r>
              <w:rPr>
                <w:rFonts w:ascii="Calibri" w:hAnsi="Calibri"/>
                <w:b w:val="0"/>
                <w:color w:val="243746"/>
                <w:sz w:val="17"/>
              </w:rPr>
              <w:t>21–24 Aug 2026</w:t>
            </w:r>
          </w:p>
        </w:tc>
        <w:tc>
          <w:tcPr>
            <w:tcW w:type="dxa" w:w="3060"/>
          </w:tcPr>
          <w:p>
            <w:pPr>
              <w:spacing w:after="0"/>
            </w:pPr>
            <w:r>
              <w:rPr>
                <w:rFonts w:ascii="Calibri" w:hAnsi="Calibri"/>
                <w:b w:val="0"/>
                <w:color w:val="243746"/>
                <w:sz w:val="17"/>
              </w:rPr>
              <w:t>Staff name collection thread</w:t>
            </w:r>
          </w:p>
        </w:tc>
        <w:tc>
          <w:tcPr>
            <w:tcW w:type="dxa" w:w="4500"/>
          </w:tcPr>
          <w:p>
            <w:pPr>
              <w:spacing w:after="0"/>
            </w:pPr>
            <w:r>
              <w:rPr>
                <w:rFonts w:ascii="Calibri" w:hAnsi="Calibri"/>
                <w:b w:val="0"/>
                <w:color w:val="243746"/>
                <w:sz w:val="17"/>
              </w:rPr>
              <w:t>Later staff form, deadline, included allocations and chargeable extras; accepted separate-form model.</w:t>
            </w:r>
          </w:p>
        </w:tc>
      </w:tr>
      <w:tr>
        <w:trPr>
          <w:cantSplit/>
        </w:trPr>
        <w:tc>
          <w:tcPr>
            <w:tcW w:type="dxa" w:w="720"/>
          </w:tcPr>
          <w:p>
            <w:pPr>
              <w:spacing w:after="0"/>
            </w:pPr>
            <w:r>
              <w:rPr>
                <w:rFonts w:ascii="Calibri" w:hAnsi="Calibri"/>
                <w:b/>
                <w:color w:val="243746"/>
                <w:sz w:val="17"/>
              </w:rPr>
              <w:t>E14–E15</w:t>
            </w:r>
          </w:p>
        </w:tc>
        <w:tc>
          <w:tcPr>
            <w:tcW w:type="dxa" w:w="1080"/>
          </w:tcPr>
          <w:p>
            <w:pPr>
              <w:spacing w:after="0"/>
            </w:pPr>
            <w:r>
              <w:rPr>
                <w:rFonts w:ascii="Calibri" w:hAnsi="Calibri"/>
                <w:b w:val="0"/>
                <w:color w:val="243746"/>
                <w:sz w:val="17"/>
              </w:rPr>
              <w:t>25 Aug 2026</w:t>
            </w:r>
          </w:p>
        </w:tc>
        <w:tc>
          <w:tcPr>
            <w:tcW w:type="dxa" w:w="3060"/>
          </w:tcPr>
          <w:p>
            <w:pPr>
              <w:spacing w:after="0"/>
            </w:pPr>
            <w:r>
              <w:rPr>
                <w:rFonts w:ascii="Calibri" w:hAnsi="Calibri"/>
                <w:b w:val="0"/>
                <w:color w:val="243746"/>
                <w:sz w:val="17"/>
              </w:rPr>
              <w:t>Legacy database/list emails</w:t>
            </w:r>
          </w:p>
        </w:tc>
        <w:tc>
          <w:tcPr>
            <w:tcW w:type="dxa" w:w="4500"/>
          </w:tcPr>
          <w:p>
            <w:pPr>
              <w:spacing w:after="0"/>
            </w:pPr>
            <w:r>
              <w:rPr>
                <w:rFonts w:ascii="Calibri" w:hAnsi="Calibri"/>
                <w:b w:val="0"/>
                <w:color w:val="243746"/>
                <w:sz w:val="17"/>
              </w:rPr>
              <w:t>Relationship/category segments and do-not-invite exclusion.</w:t>
            </w:r>
          </w:p>
        </w:tc>
      </w:tr>
      <w:tr>
        <w:trPr>
          <w:cantSplit/>
        </w:trPr>
        <w:tc>
          <w:tcPr>
            <w:tcW w:type="dxa" w:w="720"/>
          </w:tcPr>
          <w:p>
            <w:pPr>
              <w:spacing w:after="0"/>
            </w:pPr>
            <w:r>
              <w:rPr>
                <w:rFonts w:ascii="Calibri" w:hAnsi="Calibri"/>
                <w:b/>
                <w:color w:val="243746"/>
                <w:sz w:val="17"/>
              </w:rPr>
              <w:t>E16</w:t>
            </w:r>
          </w:p>
        </w:tc>
        <w:tc>
          <w:tcPr>
            <w:tcW w:type="dxa" w:w="1080"/>
          </w:tcPr>
          <w:p>
            <w:pPr>
              <w:spacing w:after="0"/>
            </w:pPr>
            <w:r>
              <w:rPr>
                <w:rFonts w:ascii="Calibri" w:hAnsi="Calibri"/>
                <w:b w:val="0"/>
                <w:color w:val="243746"/>
                <w:sz w:val="17"/>
              </w:rPr>
              <w:t>28 Aug 2026</w:t>
            </w:r>
          </w:p>
        </w:tc>
        <w:tc>
          <w:tcPr>
            <w:tcW w:type="dxa" w:w="3060"/>
          </w:tcPr>
          <w:p>
            <w:pPr>
              <w:spacing w:after="0"/>
            </w:pPr>
            <w:r>
              <w:rPr>
                <w:rFonts w:ascii="Calibri" w:hAnsi="Calibri"/>
                <w:b w:val="0"/>
                <w:color w:val="243746"/>
                <w:sz w:val="17"/>
              </w:rPr>
              <w:t>Kate — ‘Finance changes to forms’ and reply</w:t>
            </w:r>
          </w:p>
        </w:tc>
        <w:tc>
          <w:tcPr>
            <w:tcW w:type="dxa" w:w="4500"/>
          </w:tcPr>
          <w:p>
            <w:pPr>
              <w:spacing w:after="0"/>
            </w:pPr>
            <w:r>
              <w:rPr>
                <w:rFonts w:ascii="Calibri" w:hAnsi="Calibri"/>
                <w:b w:val="0"/>
                <w:color w:val="243746"/>
                <w:sz w:val="17"/>
              </w:rPr>
              <w:t>Latest finance fields, reports, external Xero updates, licence constraint.</w:t>
            </w:r>
          </w:p>
        </w:tc>
      </w:tr>
      <w:tr>
        <w:trPr>
          <w:cantSplit/>
        </w:trPr>
        <w:tc>
          <w:tcPr>
            <w:tcW w:type="dxa" w:w="720"/>
          </w:tcPr>
          <w:p>
            <w:pPr>
              <w:spacing w:after="0"/>
            </w:pPr>
            <w:r>
              <w:rPr>
                <w:rFonts w:ascii="Calibri" w:hAnsi="Calibri"/>
                <w:b/>
                <w:color w:val="243746"/>
                <w:sz w:val="17"/>
              </w:rPr>
              <w:t>E17</w:t>
            </w:r>
          </w:p>
        </w:tc>
        <w:tc>
          <w:tcPr>
            <w:tcW w:type="dxa" w:w="1080"/>
          </w:tcPr>
          <w:p>
            <w:pPr>
              <w:spacing w:after="0"/>
            </w:pPr>
            <w:r>
              <w:rPr>
                <w:rFonts w:ascii="Calibri" w:hAnsi="Calibri"/>
                <w:b w:val="0"/>
                <w:color w:val="243746"/>
                <w:sz w:val="17"/>
              </w:rPr>
              <w:t>28 Aug 2026</w:t>
            </w:r>
          </w:p>
        </w:tc>
        <w:tc>
          <w:tcPr>
            <w:tcW w:type="dxa" w:w="3060"/>
          </w:tcPr>
          <w:p>
            <w:pPr>
              <w:spacing w:after="0"/>
            </w:pPr>
            <w:r>
              <w:rPr>
                <w:rFonts w:ascii="Calibri" w:hAnsi="Calibri"/>
                <w:b w:val="0"/>
                <w:color w:val="243746"/>
                <w:sz w:val="17"/>
              </w:rPr>
              <w:t>Logo/SharePoint thread</w:t>
            </w:r>
          </w:p>
        </w:tc>
        <w:tc>
          <w:tcPr>
            <w:tcW w:type="dxa" w:w="4500"/>
          </w:tcPr>
          <w:p>
            <w:pPr>
              <w:spacing w:after="0"/>
            </w:pPr>
            <w:r>
              <w:rPr>
                <w:rFonts w:ascii="Calibri" w:hAnsi="Calibri"/>
                <w:b w:val="0"/>
                <w:color w:val="243746"/>
                <w:sz w:val="17"/>
              </w:rPr>
              <w:t>Supplied link fails externally; brochure, final terms and staff allocations still owed; privacy URL supplied.</w:t>
            </w:r>
          </w:p>
        </w:tc>
      </w:tr>
      <w:tr>
        <w:trPr>
          <w:cantSplit/>
        </w:trPr>
        <w:tc>
          <w:tcPr>
            <w:tcW w:type="dxa" w:w="720"/>
          </w:tcPr>
          <w:p>
            <w:pPr>
              <w:spacing w:after="0"/>
            </w:pPr>
            <w:r>
              <w:rPr>
                <w:rFonts w:ascii="Calibri" w:hAnsi="Calibri"/>
                <w:b/>
                <w:color w:val="243746"/>
                <w:sz w:val="17"/>
              </w:rPr>
              <w:t>E18</w:t>
            </w:r>
          </w:p>
        </w:tc>
        <w:tc>
          <w:tcPr>
            <w:tcW w:type="dxa" w:w="1080"/>
          </w:tcPr>
          <w:p>
            <w:pPr>
              <w:spacing w:after="0"/>
            </w:pPr>
            <w:r>
              <w:rPr>
                <w:rFonts w:ascii="Calibri" w:hAnsi="Calibri"/>
                <w:b w:val="0"/>
                <w:color w:val="243746"/>
                <w:sz w:val="17"/>
              </w:rPr>
              <w:t>1 Sep 2026</w:t>
            </w:r>
          </w:p>
        </w:tc>
        <w:tc>
          <w:tcPr>
            <w:tcW w:type="dxa" w:w="3060"/>
          </w:tcPr>
          <w:p>
            <w:pPr>
              <w:spacing w:after="0"/>
            </w:pPr>
            <w:r>
              <w:rPr>
                <w:rFonts w:ascii="Calibri" w:hAnsi="Calibri"/>
                <w:b w:val="0"/>
                <w:color w:val="243746"/>
                <w:sz w:val="17"/>
              </w:rPr>
              <w:t>Kate — ‘Launch timings and Stripe payment’ plus replies</w:t>
            </w:r>
          </w:p>
        </w:tc>
        <w:tc>
          <w:tcPr>
            <w:tcW w:type="dxa" w:w="4500"/>
          </w:tcPr>
          <w:p>
            <w:pPr>
              <w:spacing w:after="0"/>
            </w:pPr>
            <w:r>
              <w:rPr>
                <w:rFonts w:ascii="Calibri" w:hAnsi="Calibri"/>
                <w:b w:val="0"/>
                <w:color w:val="243746"/>
                <w:sz w:val="17"/>
              </w:rPr>
              <w:t>Single webinar, urgent database/lists, forms/provisional email, Stripe and 15 Sep vs 5/6 Oct timing.</w:t>
            </w:r>
          </w:p>
        </w:tc>
      </w:tr>
      <w:tr>
        <w:trPr>
          <w:cantSplit/>
        </w:trPr>
        <w:tc>
          <w:tcPr>
            <w:tcW w:type="dxa" w:w="720"/>
          </w:tcPr>
          <w:p>
            <w:pPr>
              <w:spacing w:after="0"/>
            </w:pPr>
            <w:r>
              <w:rPr>
                <w:rFonts w:ascii="Calibri" w:hAnsi="Calibri"/>
                <w:b/>
                <w:color w:val="243746"/>
                <w:sz w:val="17"/>
              </w:rPr>
              <w:t>A1–A4</w:t>
            </w:r>
          </w:p>
        </w:tc>
        <w:tc>
          <w:tcPr>
            <w:tcW w:type="dxa" w:w="1080"/>
          </w:tcPr>
          <w:p>
            <w:pPr>
              <w:spacing w:after="0"/>
            </w:pPr>
            <w:r>
              <w:rPr>
                <w:rFonts w:ascii="Calibri" w:hAnsi="Calibri"/>
                <w:b w:val="0"/>
                <w:color w:val="243746"/>
                <w:sz w:val="17"/>
              </w:rPr>
              <w:t>Jul–Aug 2026</w:t>
            </w:r>
          </w:p>
        </w:tc>
        <w:tc>
          <w:tcPr>
            <w:tcW w:type="dxa" w:w="3060"/>
          </w:tcPr>
          <w:p>
            <w:pPr>
              <w:spacing w:after="0"/>
            </w:pPr>
            <w:r>
              <w:rPr>
                <w:rFonts w:ascii="Calibri" w:hAnsi="Calibri"/>
                <w:b w:val="0"/>
                <w:color w:val="243746"/>
                <w:sz w:val="17"/>
              </w:rPr>
              <w:t>Client attachments</w:t>
            </w:r>
          </w:p>
        </w:tc>
        <w:tc>
          <w:tcPr>
            <w:tcW w:type="dxa" w:w="4500"/>
          </w:tcPr>
          <w:p>
            <w:pPr>
              <w:spacing w:after="0"/>
            </w:pPr>
            <w:r>
              <w:rPr>
                <w:rFonts w:ascii="Calibri" w:hAnsi="Calibri"/>
                <w:b w:val="0"/>
                <w:color w:val="243746"/>
                <w:sz w:val="17"/>
              </w:rPr>
              <w:t>Exhibitor workbook/process, guest questions, email templates, finance sheet, historic database, agreement and Stripe scope.</w:t>
            </w:r>
          </w:p>
        </w:tc>
      </w:tr>
      <w:tr>
        <w:trPr>
          <w:cantSplit/>
        </w:trPr>
        <w:tc>
          <w:tcPr>
            <w:tcW w:type="dxa" w:w="720"/>
          </w:tcPr>
          <w:p>
            <w:pPr>
              <w:spacing w:after="0"/>
            </w:pPr>
            <w:r>
              <w:rPr>
                <w:rFonts w:ascii="Calibri" w:hAnsi="Calibri"/>
                <w:b/>
                <w:color w:val="243746"/>
                <w:sz w:val="17"/>
              </w:rPr>
              <w:t>R1</w:t>
            </w:r>
          </w:p>
        </w:tc>
        <w:tc>
          <w:tcPr>
            <w:tcW w:type="dxa" w:w="1080"/>
          </w:tcPr>
          <w:p>
            <w:pPr>
              <w:spacing w:after="0"/>
            </w:pPr>
            <w:r>
              <w:rPr>
                <w:rFonts w:ascii="Calibri" w:hAnsi="Calibri"/>
                <w:b w:val="0"/>
                <w:color w:val="243746"/>
                <w:sz w:val="17"/>
              </w:rPr>
              <w:t>1 Sep 2026</w:t>
            </w:r>
          </w:p>
        </w:tc>
        <w:tc>
          <w:tcPr>
            <w:tcW w:type="dxa" w:w="3060"/>
          </w:tcPr>
          <w:p>
            <w:pPr>
              <w:spacing w:after="0"/>
            </w:pPr>
            <w:r>
              <w:rPr>
                <w:rFonts w:ascii="Calibri" w:hAnsi="Calibri"/>
                <w:b w:val="0"/>
                <w:color w:val="243746"/>
                <w:sz w:val="17"/>
              </w:rPr>
              <w:t>Current repository and working tree</w:t>
            </w:r>
          </w:p>
        </w:tc>
        <w:tc>
          <w:tcPr>
            <w:tcW w:type="dxa" w:w="4500"/>
          </w:tcPr>
          <w:p>
            <w:pPr>
              <w:spacing w:after="0"/>
            </w:pPr>
            <w:r>
              <w:rPr>
                <w:rFonts w:ascii="Calibri" w:hAnsi="Calibri"/>
                <w:b w:val="0"/>
                <w:color w:val="243746"/>
                <w:sz w:val="17"/>
              </w:rPr>
              <w:t>Forms, config, Salesforce metadata/Apex/flows/LWC, reports, email templates, documentation, commit history and tests.</w:t>
            </w:r>
          </w:p>
        </w:tc>
      </w:tr>
    </w:tbl>
    <w:p>
      <w:r>
        <w:br w:type="page"/>
      </w:r>
    </w:p>
    <w:p>
      <w:pPr>
        <w:pStyle w:val="Heading1"/>
        <w:keepNext/>
      </w:pPr>
      <w:r>
        <w:t>7. Outstanding implementation and client inputs</w:t>
      </w:r>
    </w:p>
    <w:tbl>
      <w:tblPr>
        <w:tblW w:type="dxa" w:w="9360"/>
        <w:jc w:val="left"/>
        <w:tblLayout w:type="fixed"/>
        <w:tblLook w:firstColumn="1" w:firstRow="1" w:lastColumn="0" w:lastRow="0" w:noHBand="0" w:noVBand="1" w:val="04A0"/>
        <w:tblInd w:w="120" w:type="dxa"/>
        <w:tblBorders>
          <w:top w:val="single" w:sz="6" w:space="0" w:color="9B1C1C"/>
          <w:left w:val="single" w:sz="6" w:space="0" w:color="9B1C1C"/>
          <w:bottom w:val="single" w:sz="6" w:space="0" w:color="9B1C1C"/>
          <w:right w:val="single" w:sz="6" w:space="0" w:color="9B1C1C"/>
          <w:insideH w:val="single" w:sz="6" w:space="0" w:color="9B1C1C"/>
          <w:insideV w:val="single" w:sz="6" w:space="0" w:color="9B1C1C"/>
        </w:tblBorders>
      </w:tblPr>
      <w:tblGrid>
        <w:gridCol w:w="9360"/>
      </w:tblGrid>
      <w:tr>
        <w:tc>
          <w:tcPr>
            <w:tcW w:type="dxa" w:w="9360"/>
            <w:tcMar>
              <w:top w:w="80" w:type="dxa"/>
              <w:start w:w="120" w:type="dxa"/>
              <w:bottom w:w="80" w:type="dxa"/>
              <w:end w:w="120" w:type="dxa"/>
            </w:tcMar>
            <w:shd w:fill="FCECEC"/>
          </w:tcPr>
          <w:p>
            <w:pPr>
              <w:spacing w:after="60"/>
            </w:pPr>
            <w:r>
              <w:rPr>
                <w:rFonts w:ascii="Calibri" w:hAnsi="Calibri"/>
                <w:b/>
                <w:color w:val="9B1C1C"/>
                <w:sz w:val="22"/>
              </w:rPr>
              <w:t>Release warning</w:t>
            </w:r>
          </w:p>
          <w:p>
            <w:pPr>
              <w:spacing w:after="0"/>
            </w:pPr>
            <w:r>
              <w:rPr>
                <w:rFonts w:ascii="Calibri" w:hAnsi="Calibri"/>
                <w:color w:val="243746"/>
                <w:sz w:val="21"/>
              </w:rPr>
              <w:t>The items in this section are the current outstanding position, not a backlog copied from earlier project notes. Complete the Critical items before any production launch or client-facing claim that the booking workflow is ready.</w:t>
            </w:r>
          </w:p>
        </w:tc>
      </w:tr>
    </w:tbl>
    <w:p>
      <w:pPr>
        <w:spacing w:after="0"/>
      </w:pPr>
    </w:p>
    <w:p>
      <w:pPr>
        <w:pStyle w:val="Heading3"/>
      </w:pPr>
      <w:r>
        <w:rPr>
          <w:rFonts w:ascii="Calibri" w:hAnsi="Calibri"/>
          <w:b/>
          <w:color w:val="1F4D78"/>
          <w:sz w:val="24"/>
        </w:rPr>
        <w:t>O01 — Correct the provisional/payment/final-confirmation sequence</w:t>
      </w:r>
    </w:p>
    <w:p>
      <w:pPr>
        <w:spacing w:after="60"/>
      </w:pPr>
      <w:r>
        <w:rPr>
          <w:rFonts w:ascii="Calibri" w:hAnsi="Calibri"/>
          <w:b/>
          <w:color w:val="9B1C1C"/>
          <w:sz w:val="19"/>
        </w:rPr>
        <w:t>Critical</w:t>
      </w:r>
      <w:r>
        <w:rPr>
          <w:rFonts w:ascii="Calibri" w:hAnsi="Calibri"/>
          <w:color w:val="667580"/>
          <w:sz w:val="18"/>
        </w:rPr>
        <w:t xml:space="preserve">  |  Owner: Delivery + Kate/Finance</w:t>
      </w:r>
    </w:p>
    <w:p>
      <w:pPr>
        <w:spacing w:before="40" w:after="60" w:line="259" w:lineRule="auto"/>
        <w:ind w:left="317" w:right="173"/>
        <w:shd w:fill="E8EEF5"/>
      </w:pPr>
      <w:r>
        <w:rPr>
          <w:rFonts w:ascii="Calibri" w:hAnsi="Calibri"/>
          <w:i/>
          <w:color w:val="1F4D78"/>
          <w:sz w:val="21"/>
        </w:rPr>
        <w:t>“Finance don’t want us to confirm the booking until they have paid.”</w:t>
      </w:r>
      <w:r>
        <w:rPr>
          <w:rFonts w:ascii="Calibri" w:hAnsi="Calibri"/>
          <w:color w:val="667580"/>
          <w:sz w:val="18"/>
        </w:rPr>
        <w:t xml:space="preserve">  — Kate, 19 Aug (E10)</w:t>
      </w:r>
    </w:p>
    <w:p>
      <w:pPr>
        <w:spacing w:after="160"/>
      </w:pPr>
      <w:r>
        <w:rPr>
          <w:rFonts w:ascii="Calibri" w:hAnsi="Calibri"/>
          <w:b/>
          <w:color w:val="1F4D78"/>
          <w:sz w:val="21"/>
        </w:rPr>
        <w:t xml:space="preserve">Required action. </w:t>
      </w:r>
      <w:r>
        <w:rPr>
          <w:rFonts w:ascii="Calibri" w:hAnsi="Calibri"/>
          <w:color w:val="243746"/>
          <w:sz w:val="21"/>
        </w:rPr>
        <w:t>Replace immediate ‘confirmed’ acknowledgements and conversion emails for paid bookings with: application received; approved/provisional allocation with quote/invoice or Stripe link; payment recorded; final space confirmation. Ensure automation cannot send the final confirmation before paid status. Complimentary bookings need their own bypass.</w:t>
      </w:r>
    </w:p>
    <w:p>
      <w:pPr>
        <w:pStyle w:val="Heading3"/>
      </w:pPr>
      <w:r>
        <w:rPr>
          <w:rFonts w:ascii="Calibri" w:hAnsi="Calibri"/>
          <w:b/>
          <w:color w:val="1F4D78"/>
          <w:sz w:val="24"/>
        </w:rPr>
        <w:t>O02 — Decide Stripe and launch date together</w:t>
      </w:r>
    </w:p>
    <w:p>
      <w:pPr>
        <w:spacing w:after="60"/>
      </w:pPr>
      <w:r>
        <w:rPr>
          <w:rFonts w:ascii="Calibri" w:hAnsi="Calibri"/>
          <w:b/>
          <w:color w:val="9B1C1C"/>
          <w:sz w:val="19"/>
        </w:rPr>
        <w:t>Critical</w:t>
      </w:r>
      <w:r>
        <w:rPr>
          <w:rFonts w:ascii="Calibri" w:hAnsi="Calibri"/>
          <w:color w:val="667580"/>
          <w:sz w:val="18"/>
        </w:rPr>
        <w:t xml:space="preserve">  |  Owner: Kate / Trustees / Finance</w:t>
      </w:r>
    </w:p>
    <w:p>
      <w:pPr>
        <w:spacing w:before="40" w:after="60" w:line="259" w:lineRule="auto"/>
        <w:ind w:left="317" w:right="173"/>
        <w:shd w:fill="E8EEF5"/>
      </w:pPr>
      <w:r>
        <w:rPr>
          <w:rFonts w:ascii="Calibri" w:hAnsi="Calibri"/>
          <w:i/>
          <w:color w:val="1F4D78"/>
          <w:sz w:val="21"/>
        </w:rPr>
        <w:t>“If we think this is too tight, I propose that we push back the launch webinar to Tuesday 6th October … rather than rush the process.”</w:t>
      </w:r>
      <w:r>
        <w:rPr>
          <w:rFonts w:ascii="Calibri" w:hAnsi="Calibri"/>
          <w:color w:val="667580"/>
          <w:sz w:val="18"/>
        </w:rPr>
        <w:t xml:space="preserve">  — Kate, 1 Sep (E18)</w:t>
      </w:r>
    </w:p>
    <w:p>
      <w:pPr>
        <w:spacing w:after="160"/>
      </w:pPr>
      <w:r>
        <w:rPr>
          <w:rFonts w:ascii="Calibri" w:hAnsi="Calibri"/>
          <w:b/>
          <w:color w:val="1F4D78"/>
          <w:sz w:val="21"/>
        </w:rPr>
        <w:t xml:space="preserve">Required action. </w:t>
      </w:r>
      <w:r>
        <w:rPr>
          <w:rFonts w:ascii="Calibri" w:hAnsi="Calibri"/>
          <w:color w:val="243746"/>
          <w:sz w:val="21"/>
        </w:rPr>
        <w:t>Record the trustee decision on Stripe, the approved scope and the final webinar/go-live date. Replies suggested 5 October while Kate proposed 6 October; no final answer was found. Stripe affects terms, email sequence and testing.</w:t>
      </w:r>
    </w:p>
    <w:p>
      <w:pPr>
        <w:pStyle w:val="Heading3"/>
      </w:pPr>
      <w:r>
        <w:rPr>
          <w:rFonts w:ascii="Calibri" w:hAnsi="Calibri"/>
          <w:b/>
          <w:color w:val="1F4D78"/>
          <w:sz w:val="24"/>
        </w:rPr>
        <w:t>O03 — Complete the production database and webinar lists</w:t>
      </w:r>
    </w:p>
    <w:p>
      <w:pPr>
        <w:spacing w:after="60"/>
      </w:pPr>
      <w:r>
        <w:rPr>
          <w:rFonts w:ascii="Calibri" w:hAnsi="Calibri"/>
          <w:b/>
          <w:color w:val="9B1C1C"/>
          <w:sz w:val="19"/>
        </w:rPr>
        <w:t>Critical</w:t>
      </w:r>
      <w:r>
        <w:rPr>
          <w:rFonts w:ascii="Calibri" w:hAnsi="Calibri"/>
          <w:color w:val="667580"/>
          <w:sz w:val="18"/>
        </w:rPr>
        <w:t xml:space="preserve">  |  Owner: Delivery + Kate</w:t>
      </w:r>
    </w:p>
    <w:p>
      <w:pPr>
        <w:spacing w:before="40" w:after="60" w:line="259" w:lineRule="auto"/>
        <w:ind w:left="317" w:right="173"/>
        <w:shd w:fill="E8EEF5"/>
      </w:pPr>
      <w:r>
        <w:rPr>
          <w:rFonts w:ascii="Calibri" w:hAnsi="Calibri"/>
          <w:i/>
          <w:color w:val="1F4D78"/>
          <w:sz w:val="21"/>
        </w:rPr>
        <w:t>“within the next day or two: the database and lists ready to email out the webinar invitation”</w:t>
      </w:r>
      <w:r>
        <w:rPr>
          <w:rFonts w:ascii="Calibri" w:hAnsi="Calibri"/>
          <w:color w:val="667580"/>
          <w:sz w:val="18"/>
        </w:rPr>
        <w:t xml:space="preserve">  — Kate, 1 Sep (E18)</w:t>
      </w:r>
    </w:p>
    <w:p>
      <w:pPr>
        <w:spacing w:after="160"/>
      </w:pPr>
      <w:r>
        <w:rPr>
          <w:rFonts w:ascii="Calibri" w:hAnsi="Calibri"/>
          <w:b/>
          <w:color w:val="1F4D78"/>
          <w:sz w:val="21"/>
        </w:rPr>
        <w:t xml:space="preserve">Required action. </w:t>
      </w:r>
      <w:r>
        <w:rPr>
          <w:rFonts w:ascii="Calibri" w:hAnsi="Calibri"/>
          <w:color w:val="243746"/>
          <w:sz w:val="21"/>
        </w:rPr>
        <w:t>Finish production migration, duplicate cleanup, main-contact selection, historic sponsorship flags, valid-email checks and do-not-invite exclusions. Reconcile the former three-list plan with the latest single webinar and produce auditable final recipient lists before sending.</w:t>
      </w:r>
    </w:p>
    <w:p>
      <w:pPr>
        <w:pStyle w:val="Heading3"/>
      </w:pPr>
      <w:r>
        <w:rPr>
          <w:rFonts w:ascii="Calibri" w:hAnsi="Calibri"/>
          <w:b/>
          <w:color w:val="1F4D78"/>
          <w:sz w:val="24"/>
        </w:rPr>
        <w:t>O04 — Replace all sandbox configuration for production</w:t>
      </w:r>
    </w:p>
    <w:p>
      <w:pPr>
        <w:spacing w:after="60"/>
      </w:pPr>
      <w:r>
        <w:rPr>
          <w:rFonts w:ascii="Calibri" w:hAnsi="Calibri"/>
          <w:b/>
          <w:color w:val="9B1C1C"/>
          <w:sz w:val="19"/>
        </w:rPr>
        <w:t>Critical</w:t>
      </w:r>
      <w:r>
        <w:rPr>
          <w:rFonts w:ascii="Calibri" w:hAnsi="Calibri"/>
          <w:color w:val="667580"/>
          <w:sz w:val="18"/>
        </w:rPr>
        <w:t xml:space="preserve">  |  Owner: Delivery</w:t>
      </w:r>
    </w:p>
    <w:p>
      <w:pPr>
        <w:spacing w:before="40" w:after="60" w:line="259" w:lineRule="auto"/>
        <w:ind w:left="317" w:right="173"/>
        <w:shd w:fill="E8EEF5"/>
      </w:pPr>
      <w:r>
        <w:rPr>
          <w:rFonts w:ascii="Calibri" w:hAnsi="Calibri"/>
          <w:i/>
          <w:color w:val="1F4D78"/>
          <w:sz w:val="21"/>
        </w:rPr>
        <w:t>“I would rather allow the time required for testing and any necessary refinements than rush the process.”</w:t>
      </w:r>
      <w:r>
        <w:rPr>
          <w:rFonts w:ascii="Calibri" w:hAnsi="Calibri"/>
          <w:color w:val="667580"/>
          <w:sz w:val="18"/>
        </w:rPr>
        <w:t xml:space="preserve">  — Kate, 1 Sep (E18)</w:t>
      </w:r>
    </w:p>
    <w:p>
      <w:pPr>
        <w:spacing w:after="160"/>
      </w:pPr>
      <w:r>
        <w:rPr>
          <w:rFonts w:ascii="Calibri" w:hAnsi="Calibri"/>
          <w:b/>
          <w:color w:val="1F4D78"/>
          <w:sz w:val="21"/>
        </w:rPr>
        <w:t xml:space="preserve">Required action. </w:t>
      </w:r>
      <w:r>
        <w:rPr>
          <w:rFonts w:ascii="Calibri" w:hAnsi="Calibri"/>
          <w:color w:val="243746"/>
          <w:sz w:val="21"/>
        </w:rPr>
        <w:t>Create the production Web-to-Lead configuration with production organisation/field IDs, return URLs, domains, event settings, sender configuration and production forms. The active config still targets test.salesforce.com and sandbox testing terms.</w:t>
      </w:r>
    </w:p>
    <w:p>
      <w:pPr>
        <w:pStyle w:val="Heading3"/>
      </w:pPr>
      <w:r>
        <w:rPr>
          <w:rFonts w:ascii="Calibri" w:hAnsi="Calibri"/>
          <w:b/>
          <w:color w:val="1F4D78"/>
          <w:sz w:val="24"/>
        </w:rPr>
        <w:t>O05 — Provide and wire final legal/supporting content</w:t>
      </w:r>
    </w:p>
    <w:p>
      <w:pPr>
        <w:spacing w:after="60"/>
      </w:pPr>
      <w:r>
        <w:rPr>
          <w:rFonts w:ascii="Calibri" w:hAnsi="Calibri"/>
          <w:b/>
          <w:color w:val="9B1C1C"/>
          <w:sz w:val="19"/>
        </w:rPr>
        <w:t>Critical</w:t>
      </w:r>
      <w:r>
        <w:rPr>
          <w:rFonts w:ascii="Calibri" w:hAnsi="Calibri"/>
          <w:color w:val="667580"/>
          <w:sz w:val="18"/>
        </w:rPr>
        <w:t xml:space="preserve">  |  Owner: Kate + Delivery</w:t>
      </w:r>
    </w:p>
    <w:p>
      <w:pPr>
        <w:spacing w:before="40" w:after="60" w:line="259" w:lineRule="auto"/>
        <w:ind w:left="317" w:right="173"/>
        <w:shd w:fill="E8EEF5"/>
      </w:pPr>
      <w:r>
        <w:rPr>
          <w:rFonts w:ascii="Calibri" w:hAnsi="Calibri"/>
          <w:i/>
          <w:color w:val="1F4D78"/>
          <w:sz w:val="21"/>
        </w:rPr>
        <w:t>“T&amp;Cs I won’t be able to complete until we know whether we are incorporating Stripe or not.”</w:t>
      </w:r>
      <w:r>
        <w:rPr>
          <w:rFonts w:ascii="Calibri" w:hAnsi="Calibri"/>
          <w:color w:val="667580"/>
          <w:sz w:val="18"/>
        </w:rPr>
        <w:t xml:space="preserve">  — Kate, 28 Aug (E17)</w:t>
      </w:r>
    </w:p>
    <w:p>
      <w:pPr>
        <w:spacing w:after="160"/>
      </w:pPr>
      <w:r>
        <w:rPr>
          <w:rFonts w:ascii="Calibri" w:hAnsi="Calibri"/>
          <w:b/>
          <w:color w:val="1F4D78"/>
          <w:sz w:val="21"/>
        </w:rPr>
        <w:t xml:space="preserve">Required action. </w:t>
      </w:r>
      <w:r>
        <w:rPr>
          <w:rFonts w:ascii="Calibri" w:hAnsi="Calibri"/>
          <w:color w:val="243746"/>
          <w:sz w:val="21"/>
        </w:rPr>
        <w:t>Supply final Exhibitor terms, Partner/Sponsor terms/agreement route and the Partner/Sponsor brochure; connect the approved privacy URL; show the correct links in each form and email. Store which version/date the applicant accepted.</w:t>
      </w:r>
    </w:p>
    <w:p>
      <w:pPr>
        <w:pStyle w:val="Heading3"/>
      </w:pPr>
      <w:r>
        <w:rPr>
          <w:rFonts w:ascii="Calibri" w:hAnsi="Calibri"/>
          <w:b/>
          <w:color w:val="1F4D78"/>
          <w:sz w:val="24"/>
        </w:rPr>
        <w:t>O06 — Create a true external SharePoint File Request and close the false-completion gap</w:t>
      </w:r>
    </w:p>
    <w:p>
      <w:pPr>
        <w:spacing w:after="60"/>
      </w:pPr>
      <w:r>
        <w:rPr>
          <w:rFonts w:ascii="Calibri" w:hAnsi="Calibri"/>
          <w:b/>
          <w:color w:val="9B1C1C"/>
          <w:sz w:val="19"/>
        </w:rPr>
        <w:t>Critical</w:t>
      </w:r>
      <w:r>
        <w:rPr>
          <w:rFonts w:ascii="Calibri" w:hAnsi="Calibri"/>
          <w:color w:val="667580"/>
          <w:sz w:val="18"/>
        </w:rPr>
        <w:t xml:space="preserve">  |  Owner: Mission Community IT + Delivery</w:t>
      </w:r>
    </w:p>
    <w:p>
      <w:pPr>
        <w:spacing w:before="40" w:after="60" w:line="259" w:lineRule="auto"/>
        <w:ind w:left="317" w:right="173"/>
        <w:shd w:fill="E8EEF5"/>
      </w:pPr>
      <w:r>
        <w:rPr>
          <w:rFonts w:ascii="Calibri" w:hAnsi="Calibri"/>
          <w:i/>
          <w:color w:val="1F4D78"/>
          <w:sz w:val="21"/>
        </w:rPr>
        <w:t>“That link you provided doesn’t work for me as it’s asking me to log in with a Mission Community account.”</w:t>
      </w:r>
      <w:r>
        <w:rPr>
          <w:rFonts w:ascii="Calibri" w:hAnsi="Calibri"/>
          <w:color w:val="667580"/>
          <w:sz w:val="18"/>
        </w:rPr>
        <w:t xml:space="preserve">  — Delivery reply, 28 Aug (E17)</w:t>
      </w:r>
    </w:p>
    <w:p>
      <w:pPr>
        <w:spacing w:after="160"/>
      </w:pPr>
      <w:r>
        <w:rPr>
          <w:rFonts w:ascii="Calibri" w:hAnsi="Calibri"/>
          <w:b/>
          <w:color w:val="1F4D78"/>
          <w:sz w:val="21"/>
        </w:rPr>
        <w:t xml:space="preserve">Required action. </w:t>
      </w:r>
      <w:r>
        <w:rPr>
          <w:rFonts w:ascii="Calibri" w:hAnsi="Calibri"/>
          <w:color w:val="243746"/>
          <w:sz w:val="21"/>
        </w:rPr>
        <w:t>Create and test a signed-out File Request URL, set logoFileRequestUrl, place it in relevant emails/forms, and stop the Salesforce receipt flag being set merely because an applicant ticks a confirmation box. Define staff’s manual verification step and filename convention.</w:t>
      </w:r>
    </w:p>
    <w:p>
      <w:pPr>
        <w:pStyle w:val="Heading3"/>
      </w:pPr>
      <w:r>
        <w:rPr>
          <w:rFonts w:ascii="Calibri" w:hAnsi="Calibri"/>
          <w:b/>
          <w:color w:val="1F4D78"/>
          <w:sz w:val="24"/>
        </w:rPr>
        <w:t>O07 — Confirm every included-staff allocation, VAT rule and capacity constraint</w:t>
      </w:r>
    </w:p>
    <w:p>
      <w:pPr>
        <w:spacing w:after="60"/>
      </w:pPr>
      <w:r>
        <w:rPr>
          <w:rFonts w:ascii="Calibri" w:hAnsi="Calibri"/>
          <w:b/>
          <w:color w:val="7A5A00"/>
          <w:sz w:val="19"/>
        </w:rPr>
        <w:t>High</w:t>
      </w:r>
      <w:r>
        <w:rPr>
          <w:rFonts w:ascii="Calibri" w:hAnsi="Calibri"/>
          <w:color w:val="667580"/>
          <w:sz w:val="18"/>
        </w:rPr>
        <w:t xml:space="preserve">  |  Owner: Kate / Finance / Event Ops</w:t>
      </w:r>
    </w:p>
    <w:p>
      <w:pPr>
        <w:spacing w:before="40" w:after="60" w:line="259" w:lineRule="auto"/>
        <w:ind w:left="317" w:right="173"/>
        <w:shd w:fill="E8EEF5"/>
      </w:pPr>
      <w:r>
        <w:rPr>
          <w:rFonts w:ascii="Calibri" w:hAnsi="Calibri"/>
          <w:i/>
          <w:color w:val="1F4D78"/>
          <w:sz w:val="21"/>
        </w:rPr>
        <w:t>“for each exhibitor space … let me know the maximum number of staff included in every package”</w:t>
      </w:r>
      <w:r>
        <w:rPr>
          <w:rFonts w:ascii="Calibri" w:hAnsi="Calibri"/>
          <w:color w:val="667580"/>
          <w:sz w:val="18"/>
        </w:rPr>
        <w:t xml:space="preserve">  — Delivery question, 28 Aug (E17)</w:t>
      </w:r>
    </w:p>
    <w:p>
      <w:pPr>
        <w:spacing w:after="160"/>
      </w:pPr>
      <w:r>
        <w:rPr>
          <w:rFonts w:ascii="Calibri" w:hAnsi="Calibri"/>
          <w:b/>
          <w:color w:val="1F4D78"/>
          <w:sz w:val="21"/>
        </w:rPr>
        <w:t xml:space="preserve">Required action. </w:t>
      </w:r>
      <w:r>
        <w:rPr>
          <w:rFonts w:ascii="Calibri" w:hAnsi="Calibri"/>
          <w:color w:val="243746"/>
          <w:sz w:val="21"/>
        </w:rPr>
        <w:t>Approve included staff for every Exhibitor space and Partner/Sponsor package, including POA/custom arrangements; confirm whether all listed prices are ex VAT and whether any category is VAT-exempt; define maximum inventory/capacity and incompatible package combinations.</w:t>
      </w:r>
    </w:p>
    <w:p>
      <w:pPr>
        <w:pStyle w:val="Heading3"/>
      </w:pPr>
      <w:r>
        <w:rPr>
          <w:rFonts w:ascii="Calibri" w:hAnsi="Calibri"/>
          <w:b/>
          <w:color w:val="1F4D78"/>
          <w:sz w:val="24"/>
        </w:rPr>
        <w:t>O08 — Finish the provisional-space email and all production email settings</w:t>
      </w:r>
    </w:p>
    <w:p>
      <w:pPr>
        <w:spacing w:after="60"/>
      </w:pPr>
      <w:r>
        <w:rPr>
          <w:rFonts w:ascii="Calibri" w:hAnsi="Calibri"/>
          <w:b/>
          <w:color w:val="7A5A00"/>
          <w:sz w:val="19"/>
        </w:rPr>
        <w:t>High</w:t>
      </w:r>
      <w:r>
        <w:rPr>
          <w:rFonts w:ascii="Calibri" w:hAnsi="Calibri"/>
          <w:color w:val="667580"/>
          <w:sz w:val="18"/>
        </w:rPr>
        <w:t xml:space="preserve">  |  Owner: Kate + Delivery</w:t>
      </w:r>
    </w:p>
    <w:p>
      <w:pPr>
        <w:spacing w:before="40" w:after="60" w:line="259" w:lineRule="auto"/>
        <w:ind w:left="317" w:right="173"/>
        <w:shd w:fill="E8EEF5"/>
      </w:pPr>
      <w:r>
        <w:rPr>
          <w:rFonts w:ascii="Calibri" w:hAnsi="Calibri"/>
          <w:i/>
          <w:color w:val="1F4D78"/>
          <w:sz w:val="21"/>
        </w:rPr>
        <w:t>“by 15th Sep the provisional space template email”</w:t>
      </w:r>
      <w:r>
        <w:rPr>
          <w:rFonts w:ascii="Calibri" w:hAnsi="Calibri"/>
          <w:color w:val="667580"/>
          <w:sz w:val="18"/>
        </w:rPr>
        <w:t xml:space="preserve">  — Kate, 1 Sep (E18)</w:t>
      </w:r>
    </w:p>
    <w:p>
      <w:pPr>
        <w:spacing w:after="160"/>
      </w:pPr>
      <w:r>
        <w:rPr>
          <w:rFonts w:ascii="Calibri" w:hAnsi="Calibri"/>
          <w:b/>
          <w:color w:val="1F4D78"/>
          <w:sz w:val="21"/>
        </w:rPr>
        <w:t xml:space="preserve">Required action. </w:t>
      </w:r>
      <w:r>
        <w:rPr>
          <w:rFonts w:ascii="Calibri" w:hAnsi="Calibri"/>
          <w:color w:val="243746"/>
          <w:sz w:val="21"/>
        </w:rPr>
        <w:t>Approve recipient copy for application receipt, provisional allocation, finance request, paid confirmation, complimentary confirmation, staff/logistics reminders and failed-update recovery. Confirm sender display name, from/reply-to addresses, internal recipients and whether communications must be logged against Contact/Opportunity.</w:t>
      </w:r>
    </w:p>
    <w:p>
      <w:pPr>
        <w:pStyle w:val="Heading3"/>
      </w:pPr>
      <w:r>
        <w:rPr>
          <w:rFonts w:ascii="Calibri" w:hAnsi="Calibri"/>
          <w:b/>
          <w:color w:val="1F4D78"/>
          <w:sz w:val="24"/>
        </w:rPr>
        <w:t>O09 — Confirm the Partner/Sponsor agreement and signature process</w:t>
      </w:r>
    </w:p>
    <w:p>
      <w:pPr>
        <w:spacing w:after="60"/>
      </w:pPr>
      <w:r>
        <w:rPr>
          <w:rFonts w:ascii="Calibri" w:hAnsi="Calibri"/>
          <w:b/>
          <w:color w:val="7A5A00"/>
          <w:sz w:val="19"/>
        </w:rPr>
        <w:t>High</w:t>
      </w:r>
      <w:r>
        <w:rPr>
          <w:rFonts w:ascii="Calibri" w:hAnsi="Calibri"/>
          <w:color w:val="667580"/>
          <w:sz w:val="18"/>
        </w:rPr>
        <w:t xml:space="preserve">  |  Owner: Kate / Finance / Legal</w:t>
      </w:r>
    </w:p>
    <w:p>
      <w:pPr>
        <w:spacing w:before="40" w:after="60" w:line="259" w:lineRule="auto"/>
        <w:ind w:left="317" w:right="173"/>
        <w:shd w:fill="E8EEF5"/>
      </w:pPr>
      <w:r>
        <w:rPr>
          <w:rFonts w:ascii="Calibri" w:hAnsi="Calibri"/>
          <w:i/>
          <w:color w:val="1F4D78"/>
          <w:sz w:val="21"/>
        </w:rPr>
        <w:t>“finance don’t want to lose them totally … I think I’m going to have to do that separately”</w:t>
      </w:r>
      <w:r>
        <w:rPr>
          <w:rFonts w:ascii="Calibri" w:hAnsi="Calibri"/>
          <w:color w:val="667580"/>
          <w:sz w:val="18"/>
        </w:rPr>
        <w:t xml:space="preserve">  — Kate, M4 transcript, 21 Aug, 00:20:13</w:t>
      </w:r>
    </w:p>
    <w:p>
      <w:pPr>
        <w:spacing w:after="160"/>
      </w:pPr>
      <w:r>
        <w:rPr>
          <w:rFonts w:ascii="Calibri" w:hAnsi="Calibri"/>
          <w:b/>
          <w:color w:val="1F4D78"/>
          <w:sz w:val="21"/>
        </w:rPr>
        <w:t xml:space="preserve">Required action. </w:t>
      </w:r>
      <w:r>
        <w:rPr>
          <w:rFonts w:ascii="Calibri" w:hAnsi="Calibri"/>
          <w:color w:val="243746"/>
          <w:sz w:val="21"/>
        </w:rPr>
        <w:t>Provide the final separate agreement, signing method, owner and status milestones. Do not implement the earlier idea of scrapping or auto-generating the agreement unless the client formally changes the 21 August decision.</w:t>
      </w:r>
    </w:p>
    <w:p>
      <w:pPr>
        <w:pStyle w:val="Heading3"/>
      </w:pPr>
      <w:r>
        <w:rPr>
          <w:rFonts w:ascii="Calibri" w:hAnsi="Calibri"/>
          <w:b/>
          <w:color w:val="1F4D78"/>
          <w:sz w:val="24"/>
        </w:rPr>
        <w:t>O10 — Agree Finance’s day-to-day operating process</w:t>
      </w:r>
    </w:p>
    <w:p>
      <w:pPr>
        <w:spacing w:after="60"/>
      </w:pPr>
      <w:r>
        <w:rPr>
          <w:rFonts w:ascii="Calibri" w:hAnsi="Calibri"/>
          <w:b/>
          <w:color w:val="7A5A00"/>
          <w:sz w:val="19"/>
        </w:rPr>
        <w:t>High</w:t>
      </w:r>
      <w:r>
        <w:rPr>
          <w:rFonts w:ascii="Calibri" w:hAnsi="Calibri"/>
          <w:color w:val="667580"/>
          <w:sz w:val="18"/>
        </w:rPr>
        <w:t xml:space="preserve">  |  Owner: Kate / Rachel / Finance</w:t>
      </w:r>
    </w:p>
    <w:p>
      <w:pPr>
        <w:spacing w:before="40" w:after="60" w:line="259" w:lineRule="auto"/>
        <w:ind w:left="317" w:right="173"/>
        <w:shd w:fill="E8EEF5"/>
      </w:pPr>
      <w:r>
        <w:rPr>
          <w:rFonts w:ascii="Calibri" w:hAnsi="Calibri"/>
          <w:i/>
          <w:color w:val="1F4D78"/>
          <w:sz w:val="21"/>
        </w:rPr>
        <w:t>“I thought I could run a report at the end of the day providing Rachel with just the information she requires”</w:t>
      </w:r>
      <w:r>
        <w:rPr>
          <w:rFonts w:ascii="Calibri" w:hAnsi="Calibri"/>
          <w:color w:val="667580"/>
          <w:sz w:val="18"/>
        </w:rPr>
        <w:t xml:space="preserve">  — Kate, 28 Aug (E16)</w:t>
      </w:r>
    </w:p>
    <w:p>
      <w:pPr>
        <w:spacing w:after="160"/>
      </w:pPr>
      <w:r>
        <w:rPr>
          <w:rFonts w:ascii="Calibri" w:hAnsi="Calibri"/>
          <w:b/>
          <w:color w:val="1F4D78"/>
          <w:sz w:val="21"/>
        </w:rPr>
        <w:t xml:space="preserve">Required action. </w:t>
      </w:r>
      <w:r>
        <w:rPr>
          <w:rFonts w:ascii="Calibri" w:hAnsi="Calibri"/>
          <w:color w:val="243746"/>
          <w:sz w:val="21"/>
        </w:rPr>
        <w:t>Because no spare Salesforce licence was available, decide who exports/sends the finance report, who copies Xero quote/invoice numbers and dates, who marks bank/Stripe payments, how exceptions are reconciled and how often the process runs.</w:t>
      </w:r>
    </w:p>
    <w:p>
      <w:pPr>
        <w:pStyle w:val="Heading3"/>
      </w:pPr>
      <w:r>
        <w:rPr>
          <w:rFonts w:ascii="Calibri" w:hAnsi="Calibri"/>
          <w:b/>
          <w:color w:val="1F4D78"/>
          <w:sz w:val="24"/>
        </w:rPr>
        <w:t>O11 — Secure invite-only and update routes</w:t>
      </w:r>
    </w:p>
    <w:p>
      <w:pPr>
        <w:spacing w:after="60"/>
      </w:pPr>
      <w:r>
        <w:rPr>
          <w:rFonts w:ascii="Calibri" w:hAnsi="Calibri"/>
          <w:b/>
          <w:color w:val="7A5A00"/>
          <w:sz w:val="19"/>
        </w:rPr>
        <w:t>High</w:t>
      </w:r>
      <w:r>
        <w:rPr>
          <w:rFonts w:ascii="Calibri" w:hAnsi="Calibri"/>
          <w:color w:val="667580"/>
          <w:sz w:val="18"/>
        </w:rPr>
        <w:t xml:space="preserve">  |  Owner: Delivery + Client data owner</w:t>
      </w:r>
    </w:p>
    <w:p>
      <w:pPr>
        <w:spacing w:before="40" w:after="60" w:line="259" w:lineRule="auto"/>
        <w:ind w:left="317" w:right="173"/>
        <w:shd w:fill="E8EEF5"/>
      </w:pPr>
      <w:r>
        <w:rPr>
          <w:rFonts w:ascii="Calibri" w:hAnsi="Calibri"/>
          <w:i/>
          <w:color w:val="1F4D78"/>
          <w:sz w:val="21"/>
        </w:rPr>
        <w:t>“this shouldn’t be on the website”</w:t>
      </w:r>
      <w:r>
        <w:rPr>
          <w:rFonts w:ascii="Calibri" w:hAnsi="Calibri"/>
          <w:color w:val="667580"/>
          <w:sz w:val="18"/>
        </w:rPr>
        <w:t xml:space="preserve">  — Kate, 7 Aug (E2)</w:t>
      </w:r>
    </w:p>
    <w:p>
      <w:pPr>
        <w:spacing w:after="160"/>
      </w:pPr>
      <w:r>
        <w:rPr>
          <w:rFonts w:ascii="Calibri" w:hAnsi="Calibri"/>
          <w:b/>
          <w:color w:val="1F4D78"/>
          <w:sz w:val="21"/>
        </w:rPr>
        <w:t xml:space="preserve">Required action. </w:t>
      </w:r>
      <w:r>
        <w:rPr>
          <w:rFonts w:ascii="Calibri" w:hAnsi="Calibri"/>
          <w:color w:val="243746"/>
          <w:sz w:val="21"/>
        </w:rPr>
        <w:t>Remove commercial/update links from public navigation, decide whether long unguessable/signed/expiring links are required, and add identity verification stronger than booking reference alone for changing staff/logistics data. Test direct POST attempts.</w:t>
      </w:r>
    </w:p>
    <w:p>
      <w:pPr>
        <w:pStyle w:val="Heading3"/>
      </w:pPr>
      <w:r>
        <w:rPr>
          <w:rFonts w:ascii="Calibri" w:hAnsi="Calibri"/>
          <w:b/>
          <w:color w:val="1F4D78"/>
          <w:sz w:val="24"/>
        </w:rPr>
        <w:t>O12 — Complete Salesforce production dependencies and full test evidence</w:t>
      </w:r>
    </w:p>
    <w:p>
      <w:pPr>
        <w:spacing w:after="60"/>
      </w:pPr>
      <w:r>
        <w:rPr>
          <w:rFonts w:ascii="Calibri" w:hAnsi="Calibri"/>
          <w:b/>
          <w:color w:val="7A5A00"/>
          <w:sz w:val="19"/>
        </w:rPr>
        <w:t>High</w:t>
      </w:r>
      <w:r>
        <w:rPr>
          <w:rFonts w:ascii="Calibri" w:hAnsi="Calibri"/>
          <w:color w:val="667580"/>
          <w:sz w:val="18"/>
        </w:rPr>
        <w:t xml:space="preserve">  |  Owner: Delivery</w:t>
      </w:r>
    </w:p>
    <w:p>
      <w:pPr>
        <w:spacing w:before="40" w:after="60" w:line="259" w:lineRule="auto"/>
        <w:ind w:left="317" w:right="173"/>
        <w:shd w:fill="E8EEF5"/>
      </w:pPr>
      <w:r>
        <w:rPr>
          <w:rFonts w:ascii="Calibri" w:hAnsi="Calibri"/>
          <w:i/>
          <w:color w:val="1F4D78"/>
          <w:sz w:val="21"/>
        </w:rPr>
        <w:t>“rather allow the time required for testing and any necessary refinements than rush the process”</w:t>
      </w:r>
      <w:r>
        <w:rPr>
          <w:rFonts w:ascii="Calibri" w:hAnsi="Calibri"/>
          <w:color w:val="667580"/>
          <w:sz w:val="18"/>
        </w:rPr>
        <w:t xml:space="preserve">  — Kate, 1 Sep (E18)</w:t>
      </w:r>
    </w:p>
    <w:p>
      <w:pPr>
        <w:spacing w:after="160"/>
      </w:pPr>
      <w:r>
        <w:rPr>
          <w:rFonts w:ascii="Calibri" w:hAnsi="Calibri"/>
          <w:b/>
          <w:color w:val="1F4D78"/>
          <w:sz w:val="21"/>
        </w:rPr>
        <w:t xml:space="preserve">Required action. </w:t>
      </w:r>
      <w:r>
        <w:rPr>
          <w:rFonts w:ascii="Calibri" w:hAnsi="Calibri"/>
          <w:color w:val="243746"/>
          <w:sz w:val="21"/>
        </w:rPr>
        <w:t>Validate every external Lead field ID in production, deploy metadata, run full Apex tests, test conversion/email/update flows, verify reports and permissions with representative users, complete accessibility and security testing, and obtain client UAT sign-off. Only the local form test suite was run in this review, and it passed.</w:t>
      </w:r>
    </w:p>
    <w:p>
      <w:pPr>
        <w:pStyle w:val="Heading3"/>
      </w:pPr>
      <w:r>
        <w:rPr>
          <w:rFonts w:ascii="Calibri" w:hAnsi="Calibri"/>
          <w:b/>
          <w:color w:val="1F4D78"/>
          <w:sz w:val="24"/>
        </w:rPr>
        <w:t>O13 — Define corrections, cancellations and recovery</w:t>
      </w:r>
    </w:p>
    <w:p>
      <w:pPr>
        <w:spacing w:after="60"/>
      </w:pPr>
      <w:r>
        <w:rPr>
          <w:rFonts w:ascii="Calibri" w:hAnsi="Calibri"/>
          <w:b/>
          <w:color w:val="7A5A00"/>
          <w:sz w:val="19"/>
        </w:rPr>
        <w:t>High</w:t>
      </w:r>
      <w:r>
        <w:rPr>
          <w:rFonts w:ascii="Calibri" w:hAnsi="Calibri"/>
          <w:color w:val="667580"/>
          <w:sz w:val="18"/>
        </w:rPr>
        <w:t xml:space="preserve">  |  Owner: Kate + Delivery</w:t>
      </w:r>
    </w:p>
    <w:p>
      <w:pPr>
        <w:spacing w:before="40" w:after="60" w:line="259" w:lineRule="auto"/>
        <w:ind w:left="317" w:right="173"/>
        <w:shd w:fill="E8EEF5"/>
      </w:pPr>
      <w:r>
        <w:rPr>
          <w:rFonts w:ascii="Calibri" w:hAnsi="Calibri"/>
          <w:i/>
          <w:color w:val="1F4D78"/>
          <w:sz w:val="21"/>
        </w:rPr>
        <w:t>“If they need to make further changes … would they be able to get back into the form”</w:t>
      </w:r>
      <w:r>
        <w:rPr>
          <w:rFonts w:ascii="Calibri" w:hAnsi="Calibri"/>
          <w:color w:val="667580"/>
          <w:sz w:val="18"/>
        </w:rPr>
        <w:t xml:space="preserve">  — Kate, 21 Aug (E12)</w:t>
      </w:r>
    </w:p>
    <w:p>
      <w:pPr>
        <w:spacing w:after="160"/>
      </w:pPr>
      <w:r>
        <w:rPr>
          <w:rFonts w:ascii="Calibri" w:hAnsi="Calibri"/>
          <w:b/>
          <w:color w:val="1F4D78"/>
          <w:sz w:val="21"/>
        </w:rPr>
        <w:t xml:space="preserve">Required action. </w:t>
      </w:r>
      <w:r>
        <w:rPr>
          <w:rFonts w:ascii="Calibri" w:hAnsi="Calibri"/>
          <w:color w:val="243746"/>
          <w:sz w:val="21"/>
        </w:rPr>
        <w:t>Specify how a person corrects a submitted roster, what happens after the deadline, how a paid booking is cancelled or reduced, how refunds/credit notes are handled outside Salesforce, and how staff recover a failed or mismatched update.</w:t>
      </w:r>
    </w:p>
    <w:p>
      <w:pPr>
        <w:pStyle w:val="Heading3"/>
      </w:pPr>
      <w:r>
        <w:rPr>
          <w:rFonts w:ascii="Calibri" w:hAnsi="Calibri"/>
          <w:b/>
          <w:color w:val="1F4D78"/>
          <w:sz w:val="24"/>
        </w:rPr>
        <w:t>O14 — Finish volunteer scope and governance</w:t>
      </w:r>
    </w:p>
    <w:p>
      <w:pPr>
        <w:spacing w:after="60"/>
      </w:pPr>
      <w:r>
        <w:rPr>
          <w:rFonts w:ascii="Calibri" w:hAnsi="Calibri"/>
          <w:b/>
          <w:color w:val="667580"/>
          <w:sz w:val="19"/>
        </w:rPr>
        <w:t>Medium</w:t>
      </w:r>
      <w:r>
        <w:rPr>
          <w:rFonts w:ascii="Calibri" w:hAnsi="Calibri"/>
          <w:color w:val="667580"/>
          <w:sz w:val="18"/>
        </w:rPr>
        <w:t xml:space="preserve">  |  Owner: Tony / Kate + Delivery</w:t>
      </w:r>
    </w:p>
    <w:p>
      <w:pPr>
        <w:spacing w:before="40" w:after="60" w:line="259" w:lineRule="auto"/>
        <w:ind w:left="317" w:right="173"/>
        <w:shd w:fill="E8EEF5"/>
      </w:pPr>
      <w:r>
        <w:rPr>
          <w:rFonts w:ascii="Calibri" w:hAnsi="Calibri"/>
          <w:i/>
          <w:color w:val="1F4D78"/>
          <w:sz w:val="21"/>
        </w:rPr>
        <w:t>“Tony Radford requested the creation of a new web-to-lead form specifically for volunteers.”</w:t>
      </w:r>
      <w:r>
        <w:rPr>
          <w:rFonts w:ascii="Calibri" w:hAnsi="Calibri"/>
          <w:color w:val="667580"/>
          <w:sz w:val="18"/>
        </w:rPr>
        <w:t xml:space="preserve">  — Gemini summary, M4, 21 Aug</w:t>
      </w:r>
    </w:p>
    <w:p>
      <w:pPr>
        <w:spacing w:after="160"/>
      </w:pPr>
      <w:r>
        <w:rPr>
          <w:rFonts w:ascii="Calibri" w:hAnsi="Calibri"/>
          <w:b/>
          <w:color w:val="1F4D78"/>
          <w:sz w:val="21"/>
        </w:rPr>
        <w:t xml:space="preserve">Required action. </w:t>
      </w:r>
      <w:r>
        <w:rPr>
          <w:rFonts w:ascii="Calibri" w:hAnsi="Calibri"/>
          <w:color w:val="243746"/>
          <w:sz w:val="21"/>
        </w:rPr>
        <w:t>Approve final questions, recipient copy, owner, status, privacy/lawful basis, retention, communications and reporting. Until then, the implemented volunteer form should be treated as draft.</w:t>
      </w:r>
    </w:p>
    <w:p>
      <w:pPr>
        <w:pStyle w:val="Heading3"/>
      </w:pPr>
      <w:r>
        <w:rPr>
          <w:rFonts w:ascii="Calibri" w:hAnsi="Calibri"/>
          <w:b/>
          <w:color w:val="1F4D78"/>
          <w:sz w:val="24"/>
        </w:rPr>
        <w:t>O15 — Set public-form abuse, monitoring and privacy controls</w:t>
      </w:r>
    </w:p>
    <w:p>
      <w:pPr>
        <w:spacing w:after="60"/>
      </w:pPr>
      <w:r>
        <w:rPr>
          <w:rFonts w:ascii="Calibri" w:hAnsi="Calibri"/>
          <w:b/>
          <w:color w:val="667580"/>
          <w:sz w:val="19"/>
        </w:rPr>
        <w:t>Medium</w:t>
      </w:r>
      <w:r>
        <w:rPr>
          <w:rFonts w:ascii="Calibri" w:hAnsi="Calibri"/>
          <w:color w:val="667580"/>
          <w:sz w:val="18"/>
        </w:rPr>
        <w:t xml:space="preserve">  |  Owner: Client data owner + Delivery</w:t>
      </w:r>
    </w:p>
    <w:p>
      <w:pPr>
        <w:spacing w:before="40" w:after="60" w:line="259" w:lineRule="auto"/>
        <w:ind w:left="317" w:right="173"/>
        <w:shd w:fill="E8EEF5"/>
      </w:pPr>
      <w:r>
        <w:rPr>
          <w:rFonts w:ascii="Calibri" w:hAnsi="Calibri"/>
          <w:i/>
          <w:color w:val="1F4D78"/>
          <w:sz w:val="21"/>
        </w:rPr>
        <w:t>“the security of these uploads is managed by the organisation’s internal IT team”</w:t>
      </w:r>
      <w:r>
        <w:rPr>
          <w:rFonts w:ascii="Calibri" w:hAnsi="Calibri"/>
          <w:color w:val="667580"/>
          <w:sz w:val="18"/>
        </w:rPr>
        <w:t xml:space="preserve">  — M4 summary, 21 Aug</w:t>
      </w:r>
    </w:p>
    <w:p>
      <w:pPr>
        <w:spacing w:after="160"/>
      </w:pPr>
      <w:r>
        <w:rPr>
          <w:rFonts w:ascii="Calibri" w:hAnsi="Calibri"/>
          <w:b/>
          <w:color w:val="1F4D78"/>
          <w:sz w:val="21"/>
        </w:rPr>
        <w:t xml:space="preserve">Required action. </w:t>
      </w:r>
      <w:r>
        <w:rPr>
          <w:rFonts w:ascii="Calibri" w:hAnsi="Calibri"/>
          <w:color w:val="243746"/>
          <w:sz w:val="21"/>
        </w:rPr>
        <w:t>Agree bot/rate-limit controls, monitoring, alert ownership, access to accessibility/contact data, retention for Leads and update submissions, email consent/lawful basis, and a response process for spam or incorrect records.</w:t>
      </w:r>
    </w:p>
    <w:p>
      <w:pPr>
        <w:pStyle w:val="Heading3"/>
      </w:pPr>
      <w:r>
        <w:rPr>
          <w:rFonts w:ascii="Calibri" w:hAnsi="Calibri"/>
          <w:b/>
          <w:color w:val="1F4D78"/>
          <w:sz w:val="24"/>
        </w:rPr>
        <w:t>O16 — Approve annual rollover and change control</w:t>
      </w:r>
    </w:p>
    <w:p>
      <w:pPr>
        <w:spacing w:after="60"/>
      </w:pPr>
      <w:r>
        <w:rPr>
          <w:rFonts w:ascii="Calibri" w:hAnsi="Calibri"/>
          <w:b/>
          <w:color w:val="667580"/>
          <w:sz w:val="19"/>
        </w:rPr>
        <w:t>Medium</w:t>
      </w:r>
      <w:r>
        <w:rPr>
          <w:rFonts w:ascii="Calibri" w:hAnsi="Calibri"/>
          <w:color w:val="667580"/>
          <w:sz w:val="18"/>
        </w:rPr>
        <w:t xml:space="preserve">  |  Owner: Kate + Salesforce owner</w:t>
      </w:r>
    </w:p>
    <w:p>
      <w:pPr>
        <w:spacing w:before="40" w:after="60" w:line="259" w:lineRule="auto"/>
        <w:ind w:left="317" w:right="173"/>
        <w:shd w:fill="E8EEF5"/>
      </w:pPr>
      <w:r>
        <w:rPr>
          <w:rFonts w:ascii="Calibri" w:hAnsi="Calibri"/>
          <w:i/>
          <w:color w:val="1F4D78"/>
          <w:sz w:val="21"/>
        </w:rPr>
        <w:t>“they’re going to be able to apply again next year”</w:t>
      </w:r>
      <w:r>
        <w:rPr>
          <w:rFonts w:ascii="Calibri" w:hAnsi="Calibri"/>
          <w:color w:val="667580"/>
          <w:sz w:val="18"/>
        </w:rPr>
        <w:t xml:space="preserve">  — M4 transcript, 21 Aug, 00:01:08</w:t>
      </w:r>
    </w:p>
    <w:p>
      <w:pPr>
        <w:spacing w:after="160"/>
      </w:pPr>
      <w:r>
        <w:rPr>
          <w:rFonts w:ascii="Calibri" w:hAnsi="Calibri"/>
          <w:b/>
          <w:color w:val="1F4D78"/>
          <w:sz w:val="21"/>
        </w:rPr>
        <w:t xml:space="preserve">Required action. </w:t>
      </w:r>
      <w:r>
        <w:rPr>
          <w:rFonts w:ascii="Calibri" w:hAnsi="Calibri"/>
          <w:color w:val="243746"/>
          <w:sz w:val="21"/>
        </w:rPr>
        <w:t>Define who creates each event edition, freezes prior prices/terms, updates dates and package catalogues, tests the new forms and prevents NTE28 configuration from changing the meaning of NTE27 records.</w:t>
      </w:r>
    </w:p>
    <w:p>
      <w:r>
        <w:br w:type="page"/>
      </w:r>
    </w:p>
    <w:p>
      <w:pPr>
        <w:pStyle w:val="Heading1"/>
        <w:keepNext/>
      </w:pPr>
      <w:r>
        <w:t>8. Decisions not fully accounted for by explicit or implicit client need</w:t>
      </w:r>
    </w:p>
    <w:tbl>
      <w:tblPr>
        <w:tblW w:type="dxa" w:w="9360"/>
        <w:jc w:val="left"/>
        <w:tblLayout w:type="fixed"/>
        <w:tblLook w:firstColumn="1" w:firstRow="1" w:lastColumn="0" w:lastRow="0" w:noHBand="0" w:noVBand="1" w:val="04A0"/>
        <w:tblInd w:w="120" w:type="dxa"/>
        <w:tblBorders>
          <w:top w:val="single" w:sz="6" w:space="0" w:color="6A4C93"/>
          <w:left w:val="single" w:sz="6" w:space="0" w:color="6A4C93"/>
          <w:bottom w:val="single" w:sz="6" w:space="0" w:color="6A4C93"/>
          <w:right w:val="single" w:sz="6" w:space="0" w:color="6A4C93"/>
          <w:insideH w:val="single" w:sz="6" w:space="0" w:color="6A4C93"/>
          <w:insideV w:val="single" w:sz="6" w:space="0" w:color="6A4C93"/>
        </w:tblBorders>
      </w:tblPr>
      <w:tblGrid>
        <w:gridCol w:w="9360"/>
      </w:tblGrid>
      <w:tr>
        <w:tc>
          <w:tcPr>
            <w:tcW w:type="dxa" w:w="9360"/>
            <w:tcMar>
              <w:top w:w="80" w:type="dxa"/>
              <w:start w:w="120" w:type="dxa"/>
              <w:bottom w:w="80" w:type="dxa"/>
              <w:end w:w="120" w:type="dxa"/>
            </w:tcMar>
            <w:shd w:fill="F4EFF8"/>
          </w:tcPr>
          <w:p>
            <w:pPr>
              <w:spacing w:after="60"/>
            </w:pPr>
            <w:r>
              <w:rPr>
                <w:rFonts w:ascii="Calibri" w:hAnsi="Calibri"/>
                <w:b/>
                <w:color w:val="6A4C93"/>
                <w:sz w:val="22"/>
              </w:rPr>
              <w:t>For manual review</w:t>
            </w:r>
          </w:p>
          <w:p>
            <w:pPr>
              <w:spacing w:after="0"/>
            </w:pPr>
            <w:r>
              <w:rPr>
                <w:rFonts w:ascii="Calibri" w:hAnsi="Calibri"/>
                <w:color w:val="243746"/>
                <w:sz w:val="21"/>
              </w:rPr>
              <w:t>These are the places where the current implementation contains a choice, assumption or omission that the reviewed emails and meetings do not adequately authorise. They are not all defects; they are decisions that need the user’s outside context, client confirmation or a deliberate change.</w:t>
            </w:r>
          </w:p>
        </w:tc>
      </w:tr>
    </w:tbl>
    <w:p>
      <w:pPr>
        <w:spacing w:after="0"/>
      </w:pPr>
    </w:p>
    <w:p>
      <w:pPr>
        <w:pStyle w:val="Heading3"/>
      </w:pPr>
      <w:r>
        <w:rPr>
          <w:rFonts w:ascii="Calibri" w:hAnsi="Calibri"/>
          <w:b/>
          <w:color w:val="6A4C93"/>
          <w:sz w:val="24"/>
        </w:rPr>
        <w:t>U01 — Public test hub exposes routes described as hidden</w:t>
      </w:r>
    </w:p>
    <w:p>
      <w:pPr>
        <w:spacing w:after="160"/>
      </w:pPr>
      <w:r>
        <w:rPr>
          <w:rFonts w:ascii="Calibri" w:hAnsi="Calibri"/>
          <w:b/>
          <w:color w:val="1F4D78"/>
          <w:sz w:val="21"/>
        </w:rPr>
        <w:t xml:space="preserve">Review point. </w:t>
      </w:r>
      <w:r>
        <w:rPr>
          <w:rFonts w:ascii="Calibri" w:hAnsi="Calibri"/>
          <w:color w:val="243746"/>
          <w:sz w:val="21"/>
        </w:rPr>
        <w:t>The repository index links directly to commercial applications and updates. This conflicts with the client’s invitation-only intent unless the hub is guaranteed to remain an internal sandbox. Remove from production or obtain explicit acceptance.</w:t>
      </w:r>
    </w:p>
    <w:p>
      <w:pPr>
        <w:pStyle w:val="Heading3"/>
      </w:pPr>
      <w:r>
        <w:rPr>
          <w:rFonts w:ascii="Calibri" w:hAnsi="Calibri"/>
          <w:b/>
          <w:color w:val="6A4C93"/>
          <w:sz w:val="24"/>
        </w:rPr>
        <w:t>U02 — Immediate ‘confirmed’ copy and triggers</w:t>
      </w:r>
    </w:p>
    <w:p>
      <w:pPr>
        <w:spacing w:after="160"/>
      </w:pPr>
      <w:r>
        <w:rPr>
          <w:rFonts w:ascii="Calibri" w:hAnsi="Calibri"/>
          <w:b/>
          <w:color w:val="1F4D78"/>
          <w:sz w:val="21"/>
        </w:rPr>
        <w:t xml:space="preserve">Review point. </w:t>
      </w:r>
      <w:r>
        <w:rPr>
          <w:rFonts w:ascii="Calibri" w:hAnsi="Calibri"/>
          <w:color w:val="243746"/>
          <w:sz w:val="21"/>
        </w:rPr>
        <w:t>Partner/Sponsor submission and Exhibitor conversion can send confirmation language before payment. This is not merely unsupported; it conflicts with the latest finance sequence and must be corrected.</w:t>
      </w:r>
    </w:p>
    <w:p>
      <w:pPr>
        <w:pStyle w:val="Heading3"/>
      </w:pPr>
      <w:r>
        <w:rPr>
          <w:rFonts w:ascii="Calibri" w:hAnsi="Calibri"/>
          <w:b/>
          <w:color w:val="6A4C93"/>
          <w:sz w:val="24"/>
        </w:rPr>
        <w:t>U03 — Booking reference is the only effective update credential</w:t>
      </w:r>
    </w:p>
    <w:p>
      <w:pPr>
        <w:spacing w:after="160"/>
      </w:pPr>
      <w:r>
        <w:rPr>
          <w:rFonts w:ascii="Calibri" w:hAnsi="Calibri"/>
          <w:b/>
          <w:color w:val="1F4D78"/>
          <w:sz w:val="21"/>
        </w:rPr>
        <w:t xml:space="preserve">Review point. </w:t>
      </w:r>
      <w:r>
        <w:rPr>
          <w:rFonts w:ascii="Calibri" w:hAnsi="Calibri"/>
          <w:color w:val="243746"/>
          <w:sz w:val="21"/>
        </w:rPr>
        <w:t>Organisation/email fields are collected, but update matching is driven by the exact reference. A forwarded or guessed reference may allow an unauthorised update. The client did not explicitly accept this risk.</w:t>
      </w:r>
    </w:p>
    <w:p>
      <w:pPr>
        <w:pStyle w:val="Heading3"/>
      </w:pPr>
      <w:r>
        <w:rPr>
          <w:rFonts w:ascii="Calibri" w:hAnsi="Calibri"/>
          <w:b/>
          <w:color w:val="6A4C93"/>
          <w:sz w:val="24"/>
        </w:rPr>
        <w:t>U04 — Successful supplementary Leads are deleted</w:t>
      </w:r>
    </w:p>
    <w:p>
      <w:pPr>
        <w:spacing w:after="160"/>
      </w:pPr>
      <w:r>
        <w:rPr>
          <w:rFonts w:ascii="Calibri" w:hAnsi="Calibri"/>
          <w:b/>
          <w:color w:val="1F4D78"/>
          <w:sz w:val="21"/>
        </w:rPr>
        <w:t xml:space="preserve">Review point. </w:t>
      </w:r>
      <w:r>
        <w:rPr>
          <w:rFonts w:ascii="Calibri" w:hAnsi="Calibri"/>
          <w:color w:val="243746"/>
          <w:sz w:val="21"/>
        </w:rPr>
        <w:t>Consolidating into the Opportunity avoids clutter, but deletion affects audit/retention. No explicit client or data-governance approval was found.</w:t>
      </w:r>
    </w:p>
    <w:p>
      <w:pPr>
        <w:pStyle w:val="Heading3"/>
      </w:pPr>
      <w:r>
        <w:rPr>
          <w:rFonts w:ascii="Calibri" w:hAnsi="Calibri"/>
          <w:b/>
          <w:color w:val="6A4C93"/>
          <w:sz w:val="24"/>
        </w:rPr>
        <w:t>U05 — Guest and companion are stored on one Lead</w:t>
      </w:r>
    </w:p>
    <w:p>
      <w:pPr>
        <w:spacing w:after="160"/>
      </w:pPr>
      <w:r>
        <w:rPr>
          <w:rFonts w:ascii="Calibri" w:hAnsi="Calibri"/>
          <w:b/>
          <w:color w:val="1F4D78"/>
          <w:sz w:val="21"/>
        </w:rPr>
        <w:t xml:space="preserve">Review point. </w:t>
      </w:r>
      <w:r>
        <w:rPr>
          <w:rFonts w:ascii="Calibri" w:hAnsi="Calibri"/>
          <w:color w:val="243746"/>
          <w:sz w:val="21"/>
        </w:rPr>
        <w:t>This supports a simple check-in list but does not create an independent person/consent/check-in record for the companion. The client did not choose between those models.</w:t>
      </w:r>
    </w:p>
    <w:p>
      <w:pPr>
        <w:pStyle w:val="Heading3"/>
      </w:pPr>
      <w:r>
        <w:rPr>
          <w:rFonts w:ascii="Calibri" w:hAnsi="Calibri"/>
          <w:b/>
          <w:color w:val="6A4C93"/>
          <w:sz w:val="24"/>
        </w:rPr>
        <w:t>U06 — Heavy-vehicle form is capped at three items</w:t>
      </w:r>
    </w:p>
    <w:p>
      <w:pPr>
        <w:spacing w:after="160"/>
      </w:pPr>
      <w:r>
        <w:rPr>
          <w:rFonts w:ascii="Calibri" w:hAnsi="Calibri"/>
          <w:b/>
          <w:color w:val="1F4D78"/>
          <w:sz w:val="21"/>
        </w:rPr>
        <w:t xml:space="preserve">Review point. </w:t>
      </w:r>
      <w:r>
        <w:rPr>
          <w:rFonts w:ascii="Calibri" w:hAnsi="Calibri"/>
          <w:color w:val="243746"/>
          <w:sz w:val="21"/>
        </w:rPr>
        <w:t>The form offers three repeated item blocks. Kate said a later form was needed, but no firm maximum was found. Confirm that three is sufficient or make the structure repeatable.</w:t>
      </w:r>
    </w:p>
    <w:p>
      <w:pPr>
        <w:pStyle w:val="Heading3"/>
      </w:pPr>
      <w:r>
        <w:rPr>
          <w:rFonts w:ascii="Calibri" w:hAnsi="Calibri"/>
          <w:b/>
          <w:color w:val="6A4C93"/>
          <w:sz w:val="24"/>
        </w:rPr>
        <w:t>U07 — No explicit capacity, inventory or package-compatibility rules</w:t>
      </w:r>
    </w:p>
    <w:p>
      <w:pPr>
        <w:spacing w:after="160"/>
      </w:pPr>
      <w:r>
        <w:rPr>
          <w:rFonts w:ascii="Calibri" w:hAnsi="Calibri"/>
          <w:b/>
          <w:color w:val="1F4D78"/>
          <w:sz w:val="21"/>
        </w:rPr>
        <w:t xml:space="preserve">Review point. </w:t>
      </w:r>
      <w:r>
        <w:rPr>
          <w:rFonts w:ascii="Calibri" w:hAnsi="Calibri"/>
          <w:color w:val="243746"/>
          <w:sz w:val="21"/>
        </w:rPr>
        <w:t>The system prices selected options but does not clearly prevent overselling limited spaces/sponsorship assets or incompatible combinations. Those rules were not supplied, but the commercial process may require them.</w:t>
      </w:r>
    </w:p>
    <w:p>
      <w:pPr>
        <w:pStyle w:val="Heading3"/>
      </w:pPr>
      <w:r>
        <w:rPr>
          <w:rFonts w:ascii="Calibri" w:hAnsi="Calibri"/>
          <w:b/>
          <w:color w:val="6A4C93"/>
          <w:sz w:val="24"/>
        </w:rPr>
        <w:t>U08 — No durable lineage from EOI to later application</w:t>
      </w:r>
    </w:p>
    <w:p>
      <w:pPr>
        <w:spacing w:after="160"/>
      </w:pPr>
      <w:r>
        <w:rPr>
          <w:rFonts w:ascii="Calibri" w:hAnsi="Calibri"/>
          <w:b/>
          <w:color w:val="1F4D78"/>
          <w:sz w:val="21"/>
        </w:rPr>
        <w:t xml:space="preserve">Review point. </w:t>
      </w:r>
      <w:r>
        <w:rPr>
          <w:rFonts w:ascii="Calibri" w:hAnsi="Calibri"/>
          <w:color w:val="243746"/>
          <w:sz w:val="21"/>
        </w:rPr>
        <w:t>The two stages can be associated manually by contact/organisation, but no explicit originating-EOI reference is evident. This may weaken conversion reporting and duplicate control.</w:t>
      </w:r>
    </w:p>
    <w:p>
      <w:pPr>
        <w:pStyle w:val="Heading3"/>
      </w:pPr>
      <w:r>
        <w:rPr>
          <w:rFonts w:ascii="Calibri" w:hAnsi="Calibri"/>
          <w:b/>
          <w:color w:val="6A4C93"/>
          <w:sz w:val="24"/>
        </w:rPr>
        <w:t>U09 — Automatic event rollover and hard-coded NTE27 configuration coexist</w:t>
      </w:r>
    </w:p>
    <w:p>
      <w:pPr>
        <w:spacing w:after="160"/>
      </w:pPr>
      <w:r>
        <w:rPr>
          <w:rFonts w:ascii="Calibri" w:hAnsi="Calibri"/>
          <w:b/>
          <w:color w:val="1F4D78"/>
          <w:sz w:val="21"/>
        </w:rPr>
        <w:t xml:space="preserve">Review point. </w:t>
      </w:r>
      <w:r>
        <w:rPr>
          <w:rFonts w:ascii="Calibri" w:hAnsi="Calibri"/>
          <w:color w:val="243746"/>
          <w:sz w:val="21"/>
        </w:rPr>
        <w:t>The intent to reuse the app is reasonable, but no client-approved annual configuration/versioning policy was found. Automated rollover should not be relied on until that policy exists.</w:t>
      </w:r>
    </w:p>
    <w:p>
      <w:pPr>
        <w:pStyle w:val="Heading3"/>
      </w:pPr>
      <w:r>
        <w:rPr>
          <w:rFonts w:ascii="Calibri" w:hAnsi="Calibri"/>
          <w:b/>
          <w:color w:val="6A4C93"/>
          <w:sz w:val="24"/>
        </w:rPr>
        <w:t>U10 — Pricing is maintained in both browser and Apex catalogues</w:t>
      </w:r>
    </w:p>
    <w:p>
      <w:pPr>
        <w:spacing w:after="160"/>
      </w:pPr>
      <w:r>
        <w:rPr>
          <w:rFonts w:ascii="Calibri" w:hAnsi="Calibri"/>
          <w:b/>
          <w:color w:val="1F4D78"/>
          <w:sz w:val="21"/>
        </w:rPr>
        <w:t xml:space="preserve">Review point. </w:t>
      </w:r>
      <w:r>
        <w:rPr>
          <w:rFonts w:ascii="Calibri" w:hAnsi="Calibri"/>
          <w:color w:val="243746"/>
          <w:sz w:val="21"/>
        </w:rPr>
        <w:t>Server recalculation is necessary for integrity, but duplicated catalogues create change-control risk if only one is updated. The client did not choose a source-of-truth process.</w:t>
      </w:r>
    </w:p>
    <w:p>
      <w:pPr>
        <w:pStyle w:val="Heading3"/>
      </w:pPr>
      <w:r>
        <w:rPr>
          <w:rFonts w:ascii="Calibri" w:hAnsi="Calibri"/>
          <w:b/>
          <w:color w:val="6A4C93"/>
          <w:sz w:val="24"/>
        </w:rPr>
        <w:t>U11 — Email preview/internal-review panels appear in the form pages</w:t>
      </w:r>
    </w:p>
    <w:p>
      <w:pPr>
        <w:spacing w:after="160"/>
      </w:pPr>
      <w:r>
        <w:rPr>
          <w:rFonts w:ascii="Calibri" w:hAnsi="Calibri"/>
          <w:b/>
          <w:color w:val="1F4D78"/>
          <w:sz w:val="21"/>
        </w:rPr>
        <w:t xml:space="preserve">Review point. </w:t>
      </w:r>
      <w:r>
        <w:rPr>
          <w:rFonts w:ascii="Calibri" w:hAnsi="Calibri"/>
          <w:color w:val="243746"/>
          <w:sz w:val="21"/>
        </w:rPr>
        <w:t>They are useful in sandbox review but are not recipient-facing content and should not ship publicly. Their presence is a build/testing convenience, not a client need.</w:t>
      </w:r>
    </w:p>
    <w:p>
      <w:pPr>
        <w:pStyle w:val="Heading3"/>
      </w:pPr>
      <w:r>
        <w:rPr>
          <w:rFonts w:ascii="Calibri" w:hAnsi="Calibri"/>
          <w:b/>
          <w:color w:val="6A4C93"/>
          <w:sz w:val="24"/>
        </w:rPr>
        <w:t>U12 — Default ownership, record access and Finance visibility</w:t>
      </w:r>
    </w:p>
    <w:p>
      <w:pPr>
        <w:spacing w:after="160"/>
      </w:pPr>
      <w:r>
        <w:rPr>
          <w:rFonts w:ascii="Calibri" w:hAnsi="Calibri"/>
          <w:b/>
          <w:color w:val="1F4D78"/>
          <w:sz w:val="21"/>
        </w:rPr>
        <w:t xml:space="preserve">Review point. </w:t>
      </w:r>
      <w:r>
        <w:rPr>
          <w:rFonts w:ascii="Calibri" w:hAnsi="Calibri"/>
          <w:color w:val="243746"/>
          <w:sz w:val="21"/>
        </w:rPr>
        <w:t>The solution contains owners, filters and a permission set, but the final named owners, least-privilege access and sharing rules were not agreed in the evidence reviewed. The licence constraint makes this operationally important.</w:t>
      </w:r>
    </w:p>
    <w:p>
      <w:pPr>
        <w:pStyle w:val="Heading3"/>
      </w:pPr>
      <w:r>
        <w:rPr>
          <w:rFonts w:ascii="Calibri" w:hAnsi="Calibri"/>
          <w:b/>
          <w:color w:val="6A4C93"/>
          <w:sz w:val="24"/>
        </w:rPr>
        <w:t>U13 — Cancellation, reduction, refund and post-deadline amendment paths are absent</w:t>
      </w:r>
    </w:p>
    <w:p>
      <w:pPr>
        <w:spacing w:after="160"/>
      </w:pPr>
      <w:r>
        <w:rPr>
          <w:rFonts w:ascii="Calibri" w:hAnsi="Calibri"/>
          <w:b/>
          <w:color w:val="1F4D78"/>
          <w:sz w:val="21"/>
        </w:rPr>
        <w:t xml:space="preserve">Review point. </w:t>
      </w:r>
      <w:r>
        <w:rPr>
          <w:rFonts w:ascii="Calibri" w:hAnsi="Calibri"/>
          <w:color w:val="243746"/>
          <w:sz w:val="21"/>
        </w:rPr>
        <w:t>The happy path is modelled in detail, but exception handling has downstream financial and accreditation consequences. No complete client rule set was found.</w:t>
      </w:r>
    </w:p>
    <w:p>
      <w:pPr>
        <w:pStyle w:val="Heading3"/>
      </w:pPr>
      <w:r>
        <w:rPr>
          <w:rFonts w:ascii="Calibri" w:hAnsi="Calibri"/>
          <w:b/>
          <w:color w:val="6A4C93"/>
          <w:sz w:val="24"/>
        </w:rPr>
        <w:t>U14 — No production-grade anti-abuse service is specified</w:t>
      </w:r>
    </w:p>
    <w:p>
      <w:pPr>
        <w:spacing w:after="160"/>
      </w:pPr>
      <w:r>
        <w:rPr>
          <w:rFonts w:ascii="Calibri" w:hAnsi="Calibri"/>
          <w:b/>
          <w:color w:val="1F4D78"/>
          <w:sz w:val="21"/>
        </w:rPr>
        <w:t xml:space="preserve">Review point. </w:t>
      </w:r>
      <w:r>
        <w:rPr>
          <w:rFonts w:ascii="Calibri" w:hAnsi="Calibri"/>
          <w:color w:val="243746"/>
          <w:sz w:val="21"/>
        </w:rPr>
        <w:t>A honeypot is not equivalent to rate limiting or bot protection. Because public submissions create Salesforce records and email, the risk needs explicit ownership and an accepted control level.</w:t>
      </w:r>
    </w:p>
    <w:p>
      <w:pPr>
        <w:spacing w:after="0"/>
      </w:pPr>
      <w:r>
        <w:rPr>
          <w:rFonts w:ascii="Calibri" w:hAnsi="Calibri"/>
          <w:b/>
          <w:color w:val="1F4D78"/>
          <w:sz w:val="19"/>
        </w:rPr>
        <w:t xml:space="preserve">End of document. </w:t>
      </w:r>
      <w:r>
        <w:rPr>
          <w:rFonts w:ascii="Calibri" w:hAnsi="Calibri"/>
          <w:color w:val="667580"/>
          <w:sz w:val="19"/>
        </w:rPr>
        <w:t>Evidence cut-off: 1 September 2026. Amend this document with any decisions made outside the reviewed meetings and email threads, then reclassify or remove the review points above.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7580"/>
        <w:sz w:val="18"/>
      </w:rPr>
      <w:t xml:space="preserve">Page </w:t>
    </w:r>
    <w:r>
      <w:rPr>
        <w:rFonts w:ascii="Calibri" w:hAnsi="Calibri"/>
        <w:color w:val="667580"/>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Pr>
        <w:rFonts w:ascii="Calibri" w:hAnsi="Calibri"/>
        <w:b/>
        <w:color w:val="667580"/>
        <w:sz w:val="17"/>
      </w:rPr>
      <w:t>CLIENT NEEDS  |  NTE27</w:t>
    </w:r>
    <w:r>
      <w:rPr>
        <w:rFonts w:ascii="Calibri" w:hAnsi="Calibri"/>
        <w:color w:val="667580"/>
        <w:sz w:val="17"/>
      </w:rPr>
      <w:tab/>
      <w:t>Mission Community / Mission Motorsport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437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Needs</dc:title>
  <dc:subject>Latest brief, solution rationale and release gaps for NTE27</dc:subject>
  <dc:creator>Euroforce delivery team</dc:creator>
  <cp:keywords>NTE27, Mission Community, Mission Motorsport, client needs, traceability</cp:keywords>
  <dc:description>Evidence reviewed through 1 September 2026.</dc:description>
  <cp:lastModifiedBy/>
  <cp:revision>1</cp:revision>
  <dcterms:created xsi:type="dcterms:W3CDTF">2013-12-23T23:15:00Z</dcterms:created>
  <dcterms:modified xsi:type="dcterms:W3CDTF">2013-12-23T23:15:00Z</dcterms:modified>
  <cp:category/>
</cp:coreProperties>
</file>