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CF241" w14:textId="77777777" w:rsidR="00B6260C" w:rsidRDefault="00B6260C" w:rsidP="00F0574F">
      <w:pPr>
        <w:jc w:val="center"/>
        <w:rPr>
          <w:b/>
          <w:bCs/>
          <w:sz w:val="28"/>
          <w:szCs w:val="28"/>
        </w:rPr>
      </w:pPr>
    </w:p>
    <w:p w14:paraId="268155DF" w14:textId="77777777" w:rsidR="00B6260C" w:rsidRDefault="00B6260C" w:rsidP="00F0574F">
      <w:pPr>
        <w:jc w:val="center"/>
        <w:rPr>
          <w:b/>
          <w:bCs/>
          <w:sz w:val="28"/>
          <w:szCs w:val="28"/>
        </w:rPr>
      </w:pPr>
    </w:p>
    <w:p w14:paraId="76F740B0" w14:textId="77777777" w:rsidR="00B6260C" w:rsidRDefault="00B6260C" w:rsidP="00F0574F">
      <w:pPr>
        <w:jc w:val="center"/>
        <w:rPr>
          <w:b/>
          <w:bCs/>
          <w:sz w:val="28"/>
          <w:szCs w:val="28"/>
        </w:rPr>
      </w:pPr>
    </w:p>
    <w:p w14:paraId="042F292D" w14:textId="77777777" w:rsidR="00B6260C" w:rsidRDefault="00B6260C" w:rsidP="00F0574F">
      <w:pPr>
        <w:jc w:val="center"/>
        <w:rPr>
          <w:b/>
          <w:bCs/>
          <w:sz w:val="28"/>
          <w:szCs w:val="28"/>
        </w:rPr>
      </w:pPr>
    </w:p>
    <w:p w14:paraId="03A26199" w14:textId="77777777" w:rsidR="00B6260C" w:rsidRDefault="00B6260C" w:rsidP="00F0574F">
      <w:pPr>
        <w:jc w:val="center"/>
        <w:rPr>
          <w:b/>
          <w:bCs/>
          <w:sz w:val="28"/>
          <w:szCs w:val="28"/>
        </w:rPr>
      </w:pPr>
    </w:p>
    <w:p w14:paraId="5BF91782" w14:textId="77777777" w:rsidR="00B6260C" w:rsidRDefault="00B6260C" w:rsidP="00F0574F">
      <w:pPr>
        <w:jc w:val="center"/>
        <w:rPr>
          <w:b/>
          <w:bCs/>
          <w:sz w:val="28"/>
          <w:szCs w:val="28"/>
        </w:rPr>
      </w:pPr>
    </w:p>
    <w:p w14:paraId="09C3594A" w14:textId="77777777" w:rsidR="00B6260C" w:rsidRDefault="00B6260C" w:rsidP="00F0574F">
      <w:pPr>
        <w:jc w:val="center"/>
        <w:rPr>
          <w:b/>
          <w:bCs/>
          <w:sz w:val="28"/>
          <w:szCs w:val="28"/>
        </w:rPr>
      </w:pPr>
    </w:p>
    <w:p w14:paraId="444CA40B" w14:textId="77777777" w:rsidR="00B6260C" w:rsidRDefault="00B6260C" w:rsidP="00F0574F">
      <w:pPr>
        <w:jc w:val="center"/>
        <w:rPr>
          <w:b/>
          <w:bCs/>
          <w:sz w:val="28"/>
          <w:szCs w:val="28"/>
        </w:rPr>
      </w:pPr>
    </w:p>
    <w:p w14:paraId="27244F12" w14:textId="77777777" w:rsidR="00B6260C" w:rsidRDefault="00B6260C" w:rsidP="00F0574F">
      <w:pPr>
        <w:jc w:val="center"/>
        <w:rPr>
          <w:b/>
          <w:bCs/>
          <w:sz w:val="28"/>
          <w:szCs w:val="28"/>
        </w:rPr>
      </w:pPr>
    </w:p>
    <w:p w14:paraId="3889877B" w14:textId="77777777" w:rsidR="00B6260C" w:rsidRPr="001A539C" w:rsidRDefault="00B6260C" w:rsidP="00F0574F">
      <w:pPr>
        <w:jc w:val="center"/>
        <w:rPr>
          <w:b/>
          <w:bCs/>
          <w:sz w:val="52"/>
          <w:szCs w:val="52"/>
        </w:rPr>
      </w:pPr>
    </w:p>
    <w:p w14:paraId="3EAF722C" w14:textId="36FA39D6" w:rsidR="00F0574F" w:rsidRPr="001A539C" w:rsidRDefault="00592DCE" w:rsidP="00F0574F">
      <w:pPr>
        <w:jc w:val="center"/>
        <w:rPr>
          <w:b/>
          <w:bCs/>
          <w:sz w:val="52"/>
          <w:szCs w:val="52"/>
        </w:rPr>
      </w:pPr>
      <w:r w:rsidRPr="001A539C">
        <w:rPr>
          <w:b/>
          <w:bCs/>
          <w:sz w:val="52"/>
          <w:szCs w:val="52"/>
        </w:rPr>
        <w:t xml:space="preserve">End-To-End </w:t>
      </w:r>
      <w:r w:rsidR="00565D00" w:rsidRPr="001A539C">
        <w:rPr>
          <w:b/>
          <w:bCs/>
          <w:sz w:val="52"/>
          <w:szCs w:val="52"/>
        </w:rPr>
        <w:t xml:space="preserve">AI </w:t>
      </w:r>
      <w:r w:rsidRPr="001A539C">
        <w:rPr>
          <w:b/>
          <w:bCs/>
          <w:sz w:val="52"/>
          <w:szCs w:val="52"/>
        </w:rPr>
        <w:t>Benchmarking</w:t>
      </w:r>
    </w:p>
    <w:p w14:paraId="4B2B392F" w14:textId="77777777" w:rsidR="001A539C" w:rsidRDefault="001A539C" w:rsidP="00B6260C">
      <w:pPr>
        <w:jc w:val="center"/>
        <w:rPr>
          <w:b/>
          <w:bCs/>
          <w:sz w:val="28"/>
          <w:szCs w:val="28"/>
        </w:rPr>
      </w:pPr>
    </w:p>
    <w:p w14:paraId="6F512390" w14:textId="719ACF61" w:rsidR="00B6260C" w:rsidRDefault="001A539C" w:rsidP="00B6260C">
      <w:pPr>
        <w:jc w:val="center"/>
        <w:rPr>
          <w:b/>
          <w:bCs/>
          <w:sz w:val="28"/>
          <w:szCs w:val="28"/>
        </w:rPr>
      </w:pPr>
      <w:r>
        <w:rPr>
          <w:b/>
          <w:bCs/>
          <w:sz w:val="28"/>
          <w:szCs w:val="28"/>
        </w:rPr>
        <w:t xml:space="preserve">Summary </w:t>
      </w:r>
      <w:r w:rsidR="00B6260C">
        <w:rPr>
          <w:b/>
          <w:bCs/>
          <w:sz w:val="28"/>
          <w:szCs w:val="28"/>
        </w:rPr>
        <w:t xml:space="preserve">Report </w:t>
      </w:r>
    </w:p>
    <w:p w14:paraId="5CE8465C" w14:textId="77777777" w:rsidR="00B6260C" w:rsidRDefault="00B6260C" w:rsidP="000232F5">
      <w:pPr>
        <w:spacing w:after="0"/>
        <w:jc w:val="center"/>
        <w:rPr>
          <w:bCs/>
          <w:color w:val="0070C0"/>
          <w:sz w:val="24"/>
          <w:szCs w:val="24"/>
        </w:rPr>
      </w:pPr>
    </w:p>
    <w:p w14:paraId="1CFE530E" w14:textId="3783BD76" w:rsidR="00B6260C" w:rsidRDefault="00B6260C" w:rsidP="000232F5">
      <w:pPr>
        <w:spacing w:after="0"/>
        <w:jc w:val="center"/>
        <w:rPr>
          <w:bCs/>
          <w:color w:val="0070C0"/>
          <w:sz w:val="24"/>
          <w:szCs w:val="24"/>
        </w:rPr>
      </w:pPr>
      <w:r>
        <w:rPr>
          <w:bCs/>
          <w:color w:val="0070C0"/>
          <w:sz w:val="24"/>
          <w:szCs w:val="24"/>
        </w:rPr>
        <w:t>Scientific Machine Learning Research Group</w:t>
      </w:r>
    </w:p>
    <w:p w14:paraId="54081E86" w14:textId="63B6C6CB" w:rsidR="00B6260C" w:rsidRDefault="00B6260C" w:rsidP="000232F5">
      <w:pPr>
        <w:spacing w:after="0"/>
        <w:jc w:val="center"/>
        <w:rPr>
          <w:bCs/>
          <w:color w:val="0070C0"/>
          <w:sz w:val="24"/>
          <w:szCs w:val="24"/>
        </w:rPr>
      </w:pPr>
      <w:r>
        <w:rPr>
          <w:bCs/>
          <w:color w:val="0070C0"/>
          <w:sz w:val="24"/>
          <w:szCs w:val="24"/>
        </w:rPr>
        <w:t>Scientific Computing Department</w:t>
      </w:r>
    </w:p>
    <w:p w14:paraId="50F286BA" w14:textId="03277D4B" w:rsidR="00B6260C" w:rsidRDefault="000232F5" w:rsidP="000232F5">
      <w:pPr>
        <w:spacing w:after="0"/>
        <w:jc w:val="center"/>
        <w:rPr>
          <w:bCs/>
          <w:color w:val="0070C0"/>
          <w:sz w:val="24"/>
          <w:szCs w:val="24"/>
        </w:rPr>
      </w:pPr>
      <w:r w:rsidRPr="000232F5">
        <w:rPr>
          <w:bCs/>
          <w:color w:val="0070C0"/>
          <w:sz w:val="24"/>
          <w:szCs w:val="24"/>
        </w:rPr>
        <w:t>Rutherford Appleton Laboratory</w:t>
      </w:r>
    </w:p>
    <w:p w14:paraId="5F01A289" w14:textId="53B65244" w:rsidR="00B6260C" w:rsidRDefault="000232F5" w:rsidP="00B6260C">
      <w:pPr>
        <w:spacing w:after="0"/>
        <w:jc w:val="center"/>
        <w:rPr>
          <w:bCs/>
          <w:color w:val="0070C0"/>
          <w:sz w:val="24"/>
          <w:szCs w:val="24"/>
        </w:rPr>
      </w:pPr>
      <w:r w:rsidRPr="000232F5">
        <w:rPr>
          <w:bCs/>
          <w:color w:val="0070C0"/>
          <w:sz w:val="24"/>
          <w:szCs w:val="24"/>
        </w:rPr>
        <w:t>Science and Technology Facilities Council</w:t>
      </w:r>
      <w:r w:rsidR="00B6260C">
        <w:rPr>
          <w:bCs/>
          <w:color w:val="0070C0"/>
          <w:sz w:val="24"/>
          <w:szCs w:val="24"/>
        </w:rPr>
        <w:t>.</w:t>
      </w:r>
    </w:p>
    <w:p w14:paraId="147ED020" w14:textId="600311CC" w:rsidR="00B6260C" w:rsidRDefault="00B6260C" w:rsidP="00B6260C">
      <w:pPr>
        <w:spacing w:after="0"/>
        <w:jc w:val="center"/>
        <w:rPr>
          <w:bCs/>
          <w:color w:val="0070C0"/>
          <w:sz w:val="24"/>
          <w:szCs w:val="24"/>
        </w:rPr>
      </w:pPr>
    </w:p>
    <w:p w14:paraId="70CEA575" w14:textId="76980675" w:rsidR="00B6260C" w:rsidRPr="000232F5" w:rsidRDefault="001A539C" w:rsidP="00B6260C">
      <w:pPr>
        <w:spacing w:after="0"/>
        <w:jc w:val="center"/>
        <w:rPr>
          <w:bCs/>
          <w:color w:val="0070C0"/>
          <w:sz w:val="24"/>
          <w:szCs w:val="24"/>
        </w:rPr>
      </w:pPr>
      <w:r>
        <w:rPr>
          <w:bCs/>
          <w:color w:val="0070C0"/>
          <w:sz w:val="24"/>
          <w:szCs w:val="24"/>
        </w:rPr>
        <w:t>May</w:t>
      </w:r>
      <w:r w:rsidR="00B6260C">
        <w:rPr>
          <w:bCs/>
          <w:color w:val="0070C0"/>
          <w:sz w:val="24"/>
          <w:szCs w:val="24"/>
        </w:rPr>
        <w:t xml:space="preserve"> 2021</w:t>
      </w:r>
    </w:p>
    <w:p w14:paraId="750C79C9" w14:textId="01EC2772" w:rsidR="002F5999" w:rsidRDefault="002F5999" w:rsidP="001416C6">
      <w:pPr>
        <w:jc w:val="center"/>
        <w:rPr>
          <w:b/>
          <w:bCs/>
          <w:sz w:val="28"/>
          <w:szCs w:val="28"/>
        </w:rPr>
      </w:pPr>
    </w:p>
    <w:p w14:paraId="5BB203D9" w14:textId="574A87F4" w:rsidR="00B6260C" w:rsidRDefault="00B6260C">
      <w:pPr>
        <w:rPr>
          <w:b/>
          <w:bCs/>
          <w:sz w:val="28"/>
          <w:szCs w:val="28"/>
        </w:rPr>
      </w:pPr>
      <w:r>
        <w:rPr>
          <w:b/>
          <w:bCs/>
          <w:sz w:val="28"/>
          <w:szCs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200" w:firstRow="0" w:lastRow="0" w:firstColumn="0" w:lastColumn="0" w:noHBand="1" w:noVBand="0"/>
      </w:tblPr>
      <w:tblGrid>
        <w:gridCol w:w="9773"/>
      </w:tblGrid>
      <w:tr w:rsidR="005B0C57" w:rsidRPr="005B0C57" w14:paraId="43E9D9EF" w14:textId="77777777" w:rsidTr="005A2C6D">
        <w:trPr>
          <w:trHeight w:val="291"/>
        </w:trPr>
        <w:tc>
          <w:tcPr>
            <w:tcW w:w="9773" w:type="dxa"/>
            <w:shd w:val="clear" w:color="auto" w:fill="0070C0"/>
          </w:tcPr>
          <w:p w14:paraId="6AA12A8A" w14:textId="21190386" w:rsidR="00C226AE" w:rsidRPr="00565D00" w:rsidRDefault="00E9557B" w:rsidP="00565D00">
            <w:pPr>
              <w:pStyle w:val="ListParagraph"/>
              <w:numPr>
                <w:ilvl w:val="0"/>
                <w:numId w:val="5"/>
              </w:numPr>
              <w:ind w:left="319"/>
              <w:jc w:val="both"/>
              <w:rPr>
                <w:b/>
                <w:color w:val="FFFFFF" w:themeColor="background1"/>
              </w:rPr>
            </w:pPr>
            <w:r w:rsidRPr="00565D00">
              <w:rPr>
                <w:b/>
                <w:color w:val="FFFFFF" w:themeColor="background1"/>
              </w:rPr>
              <w:lastRenderedPageBreak/>
              <w:t>Syn</w:t>
            </w:r>
            <w:r w:rsidR="009C1A6D" w:rsidRPr="00565D00">
              <w:rPr>
                <w:b/>
                <w:color w:val="FFFFFF" w:themeColor="background1"/>
              </w:rPr>
              <w:t>o</w:t>
            </w:r>
            <w:r w:rsidRPr="00565D00">
              <w:rPr>
                <w:b/>
                <w:color w:val="FFFFFF" w:themeColor="background1"/>
              </w:rPr>
              <w:t>psis</w:t>
            </w:r>
          </w:p>
        </w:tc>
      </w:tr>
    </w:tbl>
    <w:p w14:paraId="7BB5F9AB" w14:textId="75690D9B" w:rsidR="001A5D9E" w:rsidRDefault="001A5D9E" w:rsidP="00723CAC">
      <w:pPr>
        <w:spacing w:after="0" w:line="240" w:lineRule="auto"/>
        <w:jc w:val="both"/>
      </w:pPr>
    </w:p>
    <w:p w14:paraId="5397F3DB" w14:textId="10FFC49D" w:rsidR="005C0014" w:rsidRDefault="001A5D9E" w:rsidP="0017445D">
      <w:pPr>
        <w:jc w:val="both"/>
      </w:pPr>
      <w:r>
        <w:t xml:space="preserve">Benchmarking </w:t>
      </w:r>
      <w:r w:rsidR="00D57E67">
        <w:t xml:space="preserve">of </w:t>
      </w:r>
      <w:r>
        <w:t xml:space="preserve">machine learning </w:t>
      </w:r>
      <w:r w:rsidR="00D57E67">
        <w:t xml:space="preserve">solutions to scientific problems is an important </w:t>
      </w:r>
      <w:r w:rsidR="00A01757">
        <w:t>initiative within the Scientific Machine Learning community. Although</w:t>
      </w:r>
      <w:r w:rsidR="001E5B4F">
        <w:t xml:space="preserve"> </w:t>
      </w:r>
      <w:r w:rsidR="00AE5BAE">
        <w:t xml:space="preserve">machine learning models and algorithms </w:t>
      </w:r>
      <w:r w:rsidR="001E5B4F">
        <w:t xml:space="preserve">play a </w:t>
      </w:r>
      <w:r w:rsidR="00D979CF">
        <w:t xml:space="preserve">vital </w:t>
      </w:r>
      <w:r w:rsidR="001E5B4F">
        <w:t xml:space="preserve">role </w:t>
      </w:r>
      <w:r w:rsidR="00D979CF">
        <w:t xml:space="preserve">in </w:t>
      </w:r>
      <w:r w:rsidR="00AE5BAE">
        <w:t>AI-</w:t>
      </w:r>
      <w:r w:rsidR="00D979CF">
        <w:t xml:space="preserve">specific </w:t>
      </w:r>
      <w:r w:rsidR="00AE5BAE">
        <w:t>solutions</w:t>
      </w:r>
      <w:r w:rsidR="001E5B4F">
        <w:t xml:space="preserve">, </w:t>
      </w:r>
      <w:r w:rsidR="00D979CF">
        <w:t xml:space="preserve">there </w:t>
      </w:r>
      <w:r w:rsidR="00983AB3">
        <w:t xml:space="preserve">are </w:t>
      </w:r>
      <w:r w:rsidR="00D979CF">
        <w:t xml:space="preserve">a number of other components that </w:t>
      </w:r>
      <w:r w:rsidR="0044113C">
        <w:t xml:space="preserve">contribute to </w:t>
      </w:r>
      <w:r w:rsidR="00D979CF">
        <w:t xml:space="preserve">the </w:t>
      </w:r>
      <w:r w:rsidR="00983AB3">
        <w:t xml:space="preserve">overall performance of the </w:t>
      </w:r>
      <w:r w:rsidR="00D979CF">
        <w:t>workflow of the solution</w:t>
      </w:r>
      <w:r w:rsidR="0044113C">
        <w:t xml:space="preserve"> </w:t>
      </w:r>
      <w:r w:rsidR="00983AB3">
        <w:t>that</w:t>
      </w:r>
      <w:r w:rsidR="0044113C">
        <w:t xml:space="preserve"> </w:t>
      </w:r>
      <w:r w:rsidR="00983AB3">
        <w:t xml:space="preserve">are </w:t>
      </w:r>
      <w:r w:rsidR="0044113C">
        <w:t>often</w:t>
      </w:r>
      <w:r w:rsidR="00983AB3">
        <w:t xml:space="preserve"> not included</w:t>
      </w:r>
      <w:r w:rsidR="00D979CF">
        <w:t xml:space="preserve">. </w:t>
      </w:r>
      <w:r w:rsidR="005C0014">
        <w:t xml:space="preserve">For instance, </w:t>
      </w:r>
      <w:r w:rsidR="00F86D67">
        <w:t xml:space="preserve">data transformations, data movements and even </w:t>
      </w:r>
      <w:r w:rsidR="00983AB3">
        <w:t xml:space="preserve">some </w:t>
      </w:r>
      <w:r w:rsidR="00F86D67">
        <w:t>compute-intensive operations</w:t>
      </w:r>
      <w:r w:rsidR="001702F0">
        <w:t xml:space="preserve"> which </w:t>
      </w:r>
      <w:r w:rsidR="00137BB1">
        <w:t xml:space="preserve">are not </w:t>
      </w:r>
      <w:r w:rsidR="00B84A34">
        <w:t xml:space="preserve">the </w:t>
      </w:r>
      <w:r w:rsidR="00137BB1">
        <w:t>focus of the machine learning</w:t>
      </w:r>
      <w:r w:rsidR="00B84A34">
        <w:t xml:space="preserve"> component</w:t>
      </w:r>
      <w:r w:rsidR="005C0014">
        <w:t>, often go un</w:t>
      </w:r>
      <w:r w:rsidR="00983AB3">
        <w:t>measur</w:t>
      </w:r>
      <w:r w:rsidR="005C0014">
        <w:t xml:space="preserve">ed in </w:t>
      </w:r>
      <w:r w:rsidR="00983AB3">
        <w:t xml:space="preserve">recording the performance of </w:t>
      </w:r>
      <w:r w:rsidR="005C0014">
        <w:t>machine learning-driven solutions</w:t>
      </w:r>
      <w:r w:rsidR="00137BB1">
        <w:t>.</w:t>
      </w:r>
      <w:r w:rsidR="00F8112C">
        <w:t xml:space="preserve"> </w:t>
      </w:r>
    </w:p>
    <w:p w14:paraId="2E00B645" w14:textId="115B6AE7" w:rsidR="00D64352" w:rsidRDefault="00DF071A" w:rsidP="0017445D">
      <w:pPr>
        <w:jc w:val="both"/>
      </w:pPr>
      <w:r>
        <w:t xml:space="preserve">The main scope of this </w:t>
      </w:r>
      <w:r w:rsidR="00B6260C">
        <w:t xml:space="preserve">E2E project, supported by a funding from Intel (through the Alan Turing Institute), was </w:t>
      </w:r>
      <w:r>
        <w:t>to develop</w:t>
      </w:r>
      <w:r w:rsidR="003D7345">
        <w:t xml:space="preserve"> </w:t>
      </w:r>
      <w:r w:rsidR="00983AB3">
        <w:t xml:space="preserve">robust </w:t>
      </w:r>
      <w:r w:rsidR="003D7345">
        <w:t xml:space="preserve">techniques for </w:t>
      </w:r>
      <w:r w:rsidR="00BB46DA">
        <w:t>understand</w:t>
      </w:r>
      <w:r w:rsidR="003D7345">
        <w:t xml:space="preserve">ing </w:t>
      </w:r>
      <w:r w:rsidR="00983AB3">
        <w:t xml:space="preserve">and benchmarking </w:t>
      </w:r>
      <w:r w:rsidR="00EE12FC">
        <w:t xml:space="preserve">scientific </w:t>
      </w:r>
      <w:r w:rsidR="00EE1E0C">
        <w:t xml:space="preserve">workflows </w:t>
      </w:r>
      <w:r w:rsidR="00EE12FC">
        <w:t>in an end-to-end manner.</w:t>
      </w:r>
      <w:r w:rsidR="00F421BA">
        <w:t xml:space="preserve"> </w:t>
      </w:r>
      <w:r w:rsidR="00B6260C">
        <w:t>T</w:t>
      </w:r>
      <w:r w:rsidR="00F421BA">
        <w:t xml:space="preserve">he phrase end-to-end </w:t>
      </w:r>
      <w:r w:rsidR="00B6260C">
        <w:t xml:space="preserve">is used </w:t>
      </w:r>
      <w:r w:rsidR="00F421BA">
        <w:t xml:space="preserve">to mean several processes executed in a pipelined </w:t>
      </w:r>
      <w:r w:rsidR="00600E15">
        <w:t>fashion</w:t>
      </w:r>
      <w:r w:rsidR="00F421BA">
        <w:t>.</w:t>
      </w:r>
      <w:r w:rsidR="0085187E">
        <w:t xml:space="preserve"> </w:t>
      </w:r>
      <w:r w:rsidR="008F6DDB">
        <w:t xml:space="preserve">In addition to developing </w:t>
      </w:r>
      <w:r w:rsidR="00B84A34">
        <w:t xml:space="preserve">these </w:t>
      </w:r>
      <w:r w:rsidR="000F5B5C">
        <w:t xml:space="preserve">techniques, it </w:t>
      </w:r>
      <w:r w:rsidR="00983AB3">
        <w:t>will</w:t>
      </w:r>
      <w:r w:rsidR="000F5B5C">
        <w:t xml:space="preserve"> also </w:t>
      </w:r>
      <w:r w:rsidR="00983AB3">
        <w:t>be of</w:t>
      </w:r>
      <w:r w:rsidR="000F5B5C">
        <w:t xml:space="preserve"> interest </w:t>
      </w:r>
      <w:r w:rsidR="00983AB3">
        <w:t xml:space="preserve">to measure and record </w:t>
      </w:r>
      <w:r w:rsidR="000F5B5C">
        <w:t xml:space="preserve">the end-to-end performance </w:t>
      </w:r>
      <w:r w:rsidR="00371E95">
        <w:t xml:space="preserve">of </w:t>
      </w:r>
      <w:r w:rsidR="00983AB3">
        <w:t xml:space="preserve">several different </w:t>
      </w:r>
      <w:r w:rsidR="00BA4610">
        <w:t>scientific workflows</w:t>
      </w:r>
      <w:r w:rsidR="00983AB3">
        <w:t xml:space="preserve"> on a variety of hardware platforms</w:t>
      </w:r>
      <w:r w:rsidR="00BA4610">
        <w:t xml:space="preserve">. </w:t>
      </w:r>
    </w:p>
    <w:p w14:paraId="7E3AB46E" w14:textId="77777777" w:rsidR="00D42F7F" w:rsidRPr="005A2C6D" w:rsidRDefault="00D42F7F" w:rsidP="00B6260C">
      <w:pPr>
        <w:spacing w:after="0" w:line="240" w:lineRule="auto"/>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200" w:firstRow="0" w:lastRow="0" w:firstColumn="0" w:lastColumn="0" w:noHBand="1" w:noVBand="0"/>
      </w:tblPr>
      <w:tblGrid>
        <w:gridCol w:w="9773"/>
      </w:tblGrid>
      <w:tr w:rsidR="00DD2ADC" w:rsidRPr="00565D00" w14:paraId="1221E539" w14:textId="77777777" w:rsidTr="005A2C6D">
        <w:trPr>
          <w:trHeight w:val="305"/>
        </w:trPr>
        <w:tc>
          <w:tcPr>
            <w:tcW w:w="9773" w:type="dxa"/>
            <w:shd w:val="clear" w:color="auto" w:fill="0070C0"/>
          </w:tcPr>
          <w:p w14:paraId="357CDC73" w14:textId="3AF8B0F9" w:rsidR="00DD2ADC" w:rsidRPr="00565D00" w:rsidRDefault="00770603" w:rsidP="00565D00">
            <w:pPr>
              <w:pStyle w:val="ListParagraph"/>
              <w:numPr>
                <w:ilvl w:val="0"/>
                <w:numId w:val="5"/>
              </w:numPr>
              <w:ind w:left="319"/>
              <w:jc w:val="both"/>
              <w:rPr>
                <w:b/>
                <w:color w:val="FFFFFF" w:themeColor="background1"/>
              </w:rPr>
            </w:pPr>
            <w:r w:rsidRPr="00565D00">
              <w:rPr>
                <w:b/>
                <w:color w:val="FFFFFF" w:themeColor="background1"/>
              </w:rPr>
              <w:t>Scope &amp;</w:t>
            </w:r>
            <w:r w:rsidR="002A16C2" w:rsidRPr="00565D00">
              <w:rPr>
                <w:b/>
                <w:color w:val="FFFFFF" w:themeColor="background1"/>
              </w:rPr>
              <w:t xml:space="preserve"> Objectives</w:t>
            </w:r>
          </w:p>
        </w:tc>
      </w:tr>
    </w:tbl>
    <w:p w14:paraId="39636D16" w14:textId="79486959" w:rsidR="00DD2ADC" w:rsidRDefault="00DD2ADC" w:rsidP="00723CAC">
      <w:pPr>
        <w:spacing w:after="0" w:line="240" w:lineRule="auto"/>
        <w:jc w:val="both"/>
      </w:pPr>
    </w:p>
    <w:p w14:paraId="452B2354" w14:textId="35399444" w:rsidR="002A16C2" w:rsidRDefault="00D42F7F" w:rsidP="00DD2ADC">
      <w:pPr>
        <w:jc w:val="both"/>
      </w:pPr>
      <w:r>
        <w:t xml:space="preserve">The scope of the project </w:t>
      </w:r>
      <w:r w:rsidR="00B6260C">
        <w:t>was</w:t>
      </w:r>
      <w:r>
        <w:t xml:space="preserve"> to </w:t>
      </w:r>
      <w:r w:rsidR="00371E95">
        <w:t xml:space="preserve">build two end-to-end </w:t>
      </w:r>
      <w:r w:rsidR="003D632F">
        <w:t xml:space="preserve">AI </w:t>
      </w:r>
      <w:r w:rsidR="00BA5A11">
        <w:t>benchmarks from two different scientific domains</w:t>
      </w:r>
      <w:r w:rsidR="00773E6E">
        <w:t xml:space="preserve">, with each of them having </w:t>
      </w:r>
      <w:r>
        <w:t xml:space="preserve">multiple stages including a </w:t>
      </w:r>
      <w:r w:rsidR="00F81986">
        <w:t>machine learning component</w:t>
      </w:r>
      <w:r>
        <w:t>.</w:t>
      </w:r>
      <w:r w:rsidR="002A16C2">
        <w:t xml:space="preserve"> The objectives include</w:t>
      </w:r>
      <w:r w:rsidR="00B6260C">
        <w:t>d</w:t>
      </w:r>
      <w:r w:rsidR="002A16C2">
        <w:t>:</w:t>
      </w:r>
    </w:p>
    <w:p w14:paraId="69FE74F0" w14:textId="1C89E56C" w:rsidR="00371E95" w:rsidRDefault="00435657" w:rsidP="00406EA2">
      <w:pPr>
        <w:pStyle w:val="ListParagraph"/>
        <w:numPr>
          <w:ilvl w:val="0"/>
          <w:numId w:val="12"/>
        </w:numPr>
        <w:ind w:left="567"/>
        <w:jc w:val="both"/>
      </w:pPr>
      <w:r>
        <w:t>Develop</w:t>
      </w:r>
      <w:r w:rsidR="000474D3">
        <w:t>ing</w:t>
      </w:r>
      <w:r>
        <w:t xml:space="preserve"> techniques for assessing the performance of in</w:t>
      </w:r>
      <w:r w:rsidR="00406EA2">
        <w:t xml:space="preserve">dividual stages of the workflow. Such techniques, particularly that are of focussed on scientific cases, would help Intel in utilising similar methods across different cases and understanding the importance </w:t>
      </w:r>
      <w:r w:rsidR="000E6801">
        <w:t>of individual stages;</w:t>
      </w:r>
    </w:p>
    <w:p w14:paraId="56DCCBED" w14:textId="225429F7" w:rsidR="00435657" w:rsidRDefault="00435657" w:rsidP="00406EA2">
      <w:pPr>
        <w:pStyle w:val="ListParagraph"/>
        <w:numPr>
          <w:ilvl w:val="0"/>
          <w:numId w:val="12"/>
        </w:numPr>
        <w:ind w:left="567"/>
        <w:jc w:val="both"/>
      </w:pPr>
      <w:r>
        <w:t>Benchmark</w:t>
      </w:r>
      <w:r w:rsidR="000474D3">
        <w:t>ing</w:t>
      </w:r>
      <w:r>
        <w:t xml:space="preserve"> and report</w:t>
      </w:r>
      <w:r w:rsidR="000474D3">
        <w:t>ing</w:t>
      </w:r>
      <w:r w:rsidR="00707592">
        <w:t xml:space="preserve"> on the performance</w:t>
      </w:r>
      <w:r w:rsidR="00463D73">
        <w:t xml:space="preserve"> of</w:t>
      </w:r>
      <w:r>
        <w:t xml:space="preserve"> these workflows </w:t>
      </w:r>
      <w:r w:rsidR="00463D73">
        <w:t>for</w:t>
      </w:r>
      <w:r>
        <w:t xml:space="preserve"> different </w:t>
      </w:r>
      <w:r w:rsidR="00463D73">
        <w:t>hardware platforms</w:t>
      </w:r>
      <w:r w:rsidR="00406EA2">
        <w:t>. The detailed benchmarking exercise would highlight the strengths and weaknesses of different platforms across the workflow and within stages</w:t>
      </w:r>
      <w:r w:rsidR="00B6260C">
        <w:t xml:space="preserve">, such that it may </w:t>
      </w:r>
      <w:r w:rsidR="00406EA2">
        <w:t xml:space="preserve">help improving the hardware or software ecosystem performance for ML solutions from Intel. </w:t>
      </w:r>
    </w:p>
    <w:p w14:paraId="3E08C52A" w14:textId="77777777" w:rsidR="00B24446" w:rsidRDefault="00B24446" w:rsidP="005A2C6D">
      <w:pPr>
        <w:pStyle w:val="ListParagraph"/>
        <w:spacing w:after="0" w:line="240" w:lineRule="auto"/>
        <w:jc w:val="both"/>
      </w:pPr>
    </w:p>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200" w:firstRow="0" w:lastRow="0" w:firstColumn="0" w:lastColumn="0" w:noHBand="1" w:noVBand="0"/>
      </w:tblPr>
      <w:tblGrid>
        <w:gridCol w:w="9783"/>
      </w:tblGrid>
      <w:tr w:rsidR="006A52F6" w:rsidRPr="00565D00" w14:paraId="24143A57" w14:textId="77777777" w:rsidTr="005A2C6D">
        <w:trPr>
          <w:trHeight w:val="328"/>
        </w:trPr>
        <w:tc>
          <w:tcPr>
            <w:tcW w:w="9783" w:type="dxa"/>
            <w:shd w:val="clear" w:color="auto" w:fill="0070C0"/>
          </w:tcPr>
          <w:p w14:paraId="3C73085A" w14:textId="37D8AAD3" w:rsidR="006A52F6" w:rsidRPr="00565D00" w:rsidRDefault="006A52F6" w:rsidP="00565D00">
            <w:pPr>
              <w:pStyle w:val="ListParagraph"/>
              <w:numPr>
                <w:ilvl w:val="0"/>
                <w:numId w:val="5"/>
              </w:numPr>
              <w:ind w:left="319"/>
              <w:jc w:val="both"/>
              <w:rPr>
                <w:b/>
                <w:color w:val="FFFFFF" w:themeColor="background1"/>
              </w:rPr>
            </w:pPr>
            <w:r w:rsidRPr="00565D00">
              <w:rPr>
                <w:b/>
                <w:color w:val="FFFFFF" w:themeColor="background1"/>
              </w:rPr>
              <w:t>Scientific Cases</w:t>
            </w:r>
          </w:p>
        </w:tc>
      </w:tr>
    </w:tbl>
    <w:p w14:paraId="370EE6AF" w14:textId="414FB534" w:rsidR="006A52F6" w:rsidRDefault="006A52F6" w:rsidP="00723CAC">
      <w:pPr>
        <w:spacing w:after="0" w:line="240" w:lineRule="auto"/>
        <w:jc w:val="both"/>
      </w:pPr>
    </w:p>
    <w:p w14:paraId="29E75D44" w14:textId="3DDE91F5" w:rsidR="00943521" w:rsidRDefault="00943521" w:rsidP="006A52F6">
      <w:pPr>
        <w:jc w:val="both"/>
      </w:pPr>
      <w:r>
        <w:t xml:space="preserve">The overall </w:t>
      </w:r>
      <w:r w:rsidR="00B6260C">
        <w:t>project</w:t>
      </w:r>
      <w:r w:rsidR="007A0A58">
        <w:t xml:space="preserve"> relie</w:t>
      </w:r>
      <w:r w:rsidR="00B6260C">
        <w:t>d</w:t>
      </w:r>
      <w:r w:rsidR="007A0A58">
        <w:t xml:space="preserve"> on two end-to-end </w:t>
      </w:r>
      <w:r w:rsidR="00684418">
        <w:t xml:space="preserve">cases </w:t>
      </w:r>
      <w:r w:rsidR="004A29FA">
        <w:t xml:space="preserve">gathered </w:t>
      </w:r>
      <w:r w:rsidR="00684418">
        <w:t xml:space="preserve">from two </w:t>
      </w:r>
      <w:r w:rsidR="004A29FA">
        <w:t xml:space="preserve">scientific </w:t>
      </w:r>
      <w:r w:rsidR="00684418">
        <w:t xml:space="preserve">domains. Each of these cases contain </w:t>
      </w:r>
      <w:r w:rsidR="002E1039">
        <w:t>(</w:t>
      </w:r>
      <w:r w:rsidR="000564F9">
        <w:t>at least</w:t>
      </w:r>
      <w:r w:rsidR="002E1039">
        <w:t>)</w:t>
      </w:r>
      <w:r w:rsidR="000564F9">
        <w:t xml:space="preserve"> one </w:t>
      </w:r>
      <w:r w:rsidR="004A29FA">
        <w:t xml:space="preserve">stage where </w:t>
      </w:r>
      <w:r w:rsidR="00684418">
        <w:t>machine learning</w:t>
      </w:r>
      <w:r w:rsidR="000564F9">
        <w:t xml:space="preserve"> algorithm </w:t>
      </w:r>
      <w:r w:rsidR="004A29FA">
        <w:t xml:space="preserve">plays a key role, </w:t>
      </w:r>
      <w:r w:rsidR="002E1039">
        <w:t xml:space="preserve">and at least another stage with generic </w:t>
      </w:r>
      <w:r w:rsidR="004A29FA">
        <w:t>processin</w:t>
      </w:r>
      <w:r w:rsidR="002E1039">
        <w:t>g.</w:t>
      </w:r>
      <w:r w:rsidR="00684418">
        <w:t xml:space="preserve"> </w:t>
      </w:r>
    </w:p>
    <w:p w14:paraId="52351FD5" w14:textId="115BEAA8" w:rsidR="006A52F6" w:rsidRPr="00045BBB" w:rsidRDefault="006A52F6" w:rsidP="006A52F6">
      <w:pPr>
        <w:jc w:val="both"/>
        <w:rPr>
          <w:b/>
          <w:bCs/>
        </w:rPr>
      </w:pPr>
      <w:r w:rsidRPr="00045BBB">
        <w:rPr>
          <w:b/>
          <w:bCs/>
        </w:rPr>
        <w:t xml:space="preserve">Case </w:t>
      </w:r>
      <w:r w:rsidR="003B482C">
        <w:rPr>
          <w:b/>
          <w:bCs/>
        </w:rPr>
        <w:t>I</w:t>
      </w:r>
      <w:r w:rsidRPr="00045BBB">
        <w:rPr>
          <w:b/>
          <w:bCs/>
        </w:rPr>
        <w:t xml:space="preserve">: </w:t>
      </w:r>
      <w:r w:rsidR="008106A4">
        <w:rPr>
          <w:b/>
          <w:bCs/>
        </w:rPr>
        <w:t xml:space="preserve">Structure Identification in </w:t>
      </w:r>
      <w:r w:rsidR="00756E34">
        <w:rPr>
          <w:b/>
          <w:bCs/>
        </w:rPr>
        <w:t>Cryo</w:t>
      </w:r>
      <w:r w:rsidR="00A22214">
        <w:rPr>
          <w:b/>
          <w:bCs/>
        </w:rPr>
        <w:t>-</w:t>
      </w:r>
      <w:r w:rsidR="00CE711D">
        <w:rPr>
          <w:b/>
          <w:bCs/>
        </w:rPr>
        <w:t xml:space="preserve">EM Data </w:t>
      </w:r>
    </w:p>
    <w:p w14:paraId="6AED5F40" w14:textId="6C764BC5" w:rsidR="00CA61CB" w:rsidRDefault="00CA61CB" w:rsidP="00CA61CB">
      <w:pPr>
        <w:pStyle w:val="Body"/>
        <w:jc w:val="both"/>
      </w:pPr>
      <w:r>
        <w:t xml:space="preserve">One of the challenges in structural biology is accurately identifying the structure of macromolecular assemblies in atomic detail. In this context, </w:t>
      </w:r>
      <w:r w:rsidRPr="00387519">
        <w:rPr>
          <w:bCs/>
        </w:rPr>
        <w:t>electron cryo</w:t>
      </w:r>
      <w:r w:rsidR="003A543F">
        <w:rPr>
          <w:bCs/>
        </w:rPr>
        <w:t>genic</w:t>
      </w:r>
      <w:r w:rsidR="00A22214">
        <w:rPr>
          <w:bCs/>
        </w:rPr>
        <w:t xml:space="preserve"> electron </w:t>
      </w:r>
      <w:r w:rsidRPr="00387519">
        <w:rPr>
          <w:bCs/>
        </w:rPr>
        <w:t>microscopy</w:t>
      </w:r>
      <w:r w:rsidRPr="00387519">
        <w:rPr>
          <w:b/>
          <w:bCs/>
        </w:rPr>
        <w:t xml:space="preserve"> </w:t>
      </w:r>
      <w:r>
        <w:t>(</w:t>
      </w:r>
      <w:r w:rsidR="00A22214">
        <w:t>C</w:t>
      </w:r>
      <w:r>
        <w:t xml:space="preserve">ryo-EM) is one of the principle techniques for the determination of structures of macromolecules.  It is particularly suited for large assemblies and/or membrane proteins which are important pharmaceutical targets not </w:t>
      </w:r>
      <w:r w:rsidR="00AC07C1">
        <w:t xml:space="preserve">easily </w:t>
      </w:r>
      <w:r>
        <w:t xml:space="preserve">amenable via other biophysics methods such x-ray crystallography or nuclear magnetic resonance spectroscopy. </w:t>
      </w:r>
    </w:p>
    <w:p w14:paraId="2F6BFF54" w14:textId="3B333B8E" w:rsidR="00CA61CB" w:rsidRDefault="00CA61CB" w:rsidP="00CA61CB">
      <w:pPr>
        <w:pStyle w:val="Body"/>
        <w:jc w:val="both"/>
      </w:pPr>
      <w:r>
        <w:t xml:space="preserve">The overall determination of the structure by </w:t>
      </w:r>
      <w:r w:rsidR="003A543F">
        <w:t>C</w:t>
      </w:r>
      <w:r>
        <w:t xml:space="preserve">ryo-EM is not a single-step process. Instead, the process evolves through a number of connected, complex stages, including denoising images, identifying and classifying molecules in the recorded 2D images, determination of the orientation of molecules and averaging to reconstruct a 3D volume, to finally fitting atomic models into the experimentally derived 3D volumes. More importantly, the exact steps vary by the type of molecular structures or the datasets of interest. As such, identifying a fully uniform set of stages, particularly </w:t>
      </w:r>
      <w:r w:rsidR="0010373A">
        <w:t xml:space="preserve">those </w:t>
      </w:r>
      <w:r>
        <w:t>that are automatic, is a challenging task.</w:t>
      </w:r>
    </w:p>
    <w:p w14:paraId="1AE785CB" w14:textId="121237EC" w:rsidR="006F18B5" w:rsidRDefault="00CA61CB" w:rsidP="00B0078F">
      <w:pPr>
        <w:pStyle w:val="Body"/>
        <w:jc w:val="both"/>
      </w:pPr>
      <w:r>
        <w:t xml:space="preserve">This end-to-end workflow benchmark concerns </w:t>
      </w:r>
      <w:r w:rsidR="00C6590D">
        <w:t xml:space="preserve">only </w:t>
      </w:r>
      <w:r>
        <w:t>part of this processing pipeline, but</w:t>
      </w:r>
      <w:r w:rsidR="00C6590D">
        <w:t xml:space="preserve"> one that is</w:t>
      </w:r>
      <w:r>
        <w:t xml:space="preserve"> useful enough to produce very tangible output</w:t>
      </w:r>
      <w:r w:rsidR="00726BF6">
        <w:t>s</w:t>
      </w:r>
      <w:r>
        <w:t xml:space="preserve"> at every stage of the pipeline, </w:t>
      </w:r>
      <w:proofErr w:type="gramStart"/>
      <w:r>
        <w:t>and a</w:t>
      </w:r>
      <w:r w:rsidR="00726BF6">
        <w:t>lso</w:t>
      </w:r>
      <w:proofErr w:type="gramEnd"/>
      <w:r w:rsidR="00726BF6">
        <w:t xml:space="preserve"> a</w:t>
      </w:r>
      <w:r>
        <w:t xml:space="preserve">s a whole. </w:t>
      </w:r>
    </w:p>
    <w:p w14:paraId="27BF1566" w14:textId="2B8DA9E7" w:rsidR="006F18B5" w:rsidRDefault="006F18B5" w:rsidP="006F18B5">
      <w:pPr>
        <w:pStyle w:val="Body"/>
        <w:spacing w:after="0" w:line="240" w:lineRule="auto"/>
        <w:ind w:left="714"/>
        <w:jc w:val="both"/>
      </w:pPr>
    </w:p>
    <w:p w14:paraId="1AF70BB1" w14:textId="6006EF8B" w:rsidR="005256CB" w:rsidRDefault="00604D38">
      <w:pPr>
        <w:pStyle w:val="Body"/>
        <w:spacing w:after="0" w:line="240" w:lineRule="auto"/>
        <w:ind w:left="714"/>
        <w:jc w:val="center"/>
      </w:pPr>
      <w:r>
        <w:rPr>
          <w:noProof/>
        </w:rPr>
        <w:drawing>
          <wp:inline distT="0" distB="0" distL="0" distR="0" wp14:anchorId="1EC48D17" wp14:editId="5A206BD1">
            <wp:extent cx="4133140" cy="403976"/>
            <wp:effectExtent l="12700" t="12700" r="762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01 at 15.39.0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2829" cy="414697"/>
                    </a:xfrm>
                    <a:prstGeom prst="rect">
                      <a:avLst/>
                    </a:prstGeom>
                    <a:ln w="6350" cap="sq">
                      <a:solidFill>
                        <a:srgbClr val="000000"/>
                      </a:solidFill>
                      <a:prstDash val="solid"/>
                      <a:miter lim="800000"/>
                    </a:ln>
                    <a:effectLst/>
                  </pic:spPr>
                </pic:pic>
              </a:graphicData>
            </a:graphic>
          </wp:inline>
        </w:drawing>
      </w:r>
    </w:p>
    <w:p w14:paraId="64BCB5C2" w14:textId="5448B8AA" w:rsidR="00D42DFA" w:rsidRDefault="00D42DFA" w:rsidP="00A239D4">
      <w:pPr>
        <w:pStyle w:val="Body"/>
        <w:spacing w:after="0" w:line="240" w:lineRule="auto"/>
        <w:ind w:left="714"/>
        <w:jc w:val="center"/>
        <w:rPr>
          <w:b/>
          <w:sz w:val="16"/>
        </w:rPr>
      </w:pPr>
      <w:r>
        <w:rPr>
          <w:b/>
          <w:sz w:val="16"/>
        </w:rPr>
        <w:t>Figure 1</w:t>
      </w:r>
      <w:r w:rsidRPr="004A7E78">
        <w:rPr>
          <w:b/>
          <w:sz w:val="16"/>
        </w:rPr>
        <w:t xml:space="preserve">: End-to-End Processing in </w:t>
      </w:r>
      <w:r w:rsidRPr="00A239D4">
        <w:rPr>
          <w:b/>
          <w:sz w:val="16"/>
        </w:rPr>
        <w:t>Structure Identification in Cryo-EM Data</w:t>
      </w:r>
    </w:p>
    <w:p w14:paraId="48097494" w14:textId="77777777" w:rsidR="00D42DFA" w:rsidRDefault="00D42DFA" w:rsidP="006F18B5">
      <w:pPr>
        <w:pStyle w:val="Body"/>
        <w:spacing w:after="0" w:line="240" w:lineRule="auto"/>
        <w:ind w:left="714"/>
        <w:jc w:val="both"/>
      </w:pPr>
    </w:p>
    <w:p w14:paraId="78642CA6" w14:textId="6A2CD229" w:rsidR="0018799B" w:rsidRDefault="0018799B" w:rsidP="0010331F">
      <w:pPr>
        <w:pStyle w:val="Body"/>
        <w:jc w:val="both"/>
      </w:pPr>
      <w:r>
        <w:t xml:space="preserve">Owing the complex nature of the pipeline stages here, it requires fair amount of intervention at times (or intermediate outputs). The exact stages are included case 1 reports (case1/reports in the relevant </w:t>
      </w:r>
      <w:proofErr w:type="spellStart"/>
      <w:r>
        <w:t>github</w:t>
      </w:r>
      <w:proofErr w:type="spellEnd"/>
      <w:r>
        <w:t xml:space="preserve"> link).  </w:t>
      </w:r>
    </w:p>
    <w:p w14:paraId="74C8D27E" w14:textId="754BCF7F" w:rsidR="0010331F" w:rsidRPr="00E65631" w:rsidRDefault="00CE711D" w:rsidP="0010331F">
      <w:pPr>
        <w:pStyle w:val="Body"/>
        <w:jc w:val="both"/>
        <w:rPr>
          <w:lang w:val="en-GB"/>
        </w:rPr>
      </w:pPr>
      <w:r w:rsidRPr="00D0521E">
        <w:rPr>
          <w:b/>
          <w:bCs/>
        </w:rPr>
        <w:t>Case II</w:t>
      </w:r>
      <w:r w:rsidR="0010331F" w:rsidRPr="00D0521E">
        <w:rPr>
          <w:b/>
          <w:bCs/>
        </w:rPr>
        <w:t>:</w:t>
      </w:r>
      <w:r w:rsidR="0010331F">
        <w:t xml:space="preserve"> </w:t>
      </w:r>
      <w:r w:rsidR="0010331F">
        <w:rPr>
          <w:b/>
          <w:bCs/>
        </w:rPr>
        <w:t>Cloud Masking for Surface Temperature Estimation</w:t>
      </w:r>
    </w:p>
    <w:p w14:paraId="3334013D" w14:textId="77777777" w:rsidR="00680FBA" w:rsidRDefault="008162F0" w:rsidP="005420BF">
      <w:pPr>
        <w:pStyle w:val="Body"/>
        <w:jc w:val="both"/>
      </w:pPr>
      <w:r>
        <w:t xml:space="preserve">Satellite data have become an integral part of </w:t>
      </w:r>
      <w:r w:rsidR="00557761">
        <w:t>the remote</w:t>
      </w:r>
      <w:r w:rsidR="00176575">
        <w:t xml:space="preserve"> sensing</w:t>
      </w:r>
      <w:r w:rsidR="008A16AD">
        <w:t xml:space="preserve"> tasks</w:t>
      </w:r>
      <w:r w:rsidR="00176575">
        <w:t xml:space="preserve">, particularly that of deciding the </w:t>
      </w:r>
      <w:r w:rsidR="00557761">
        <w:t xml:space="preserve">surface characteristics of the Earth. One of these </w:t>
      </w:r>
      <w:r w:rsidR="008A16AD">
        <w:t xml:space="preserve">tasks is the </w:t>
      </w:r>
      <w:r w:rsidR="0054119F">
        <w:t xml:space="preserve">estimation of </w:t>
      </w:r>
      <w:r w:rsidR="006C2E87" w:rsidRPr="00AE5405">
        <w:t xml:space="preserve">land and sea </w:t>
      </w:r>
      <w:r w:rsidR="006C2E87" w:rsidRPr="00AE5405">
        <w:rPr>
          <w:lang w:val="fr-FR"/>
        </w:rPr>
        <w:t xml:space="preserve">surface </w:t>
      </w:r>
      <w:r w:rsidR="006C2E87" w:rsidRPr="00AE5405">
        <w:rPr>
          <w:lang w:val="en-GB"/>
        </w:rPr>
        <w:t>temperature</w:t>
      </w:r>
      <w:r w:rsidR="006C2E87" w:rsidRPr="00AE5405">
        <w:t xml:space="preserve"> (LST/SST)</w:t>
      </w:r>
      <w:r w:rsidR="006C2E87">
        <w:t xml:space="preserve"> </w:t>
      </w:r>
      <w:r w:rsidR="001E0026">
        <w:t>by masking and filtering clouds from satellite imagery</w:t>
      </w:r>
      <w:r w:rsidR="00506A33">
        <w:t>. T</w:t>
      </w:r>
      <w:r w:rsidR="0010331F" w:rsidRPr="00AE5405">
        <w:t xml:space="preserve">he central idea is to use machine learning for classifying each pixel of satellite imageries as cloud or non-cloud, with </w:t>
      </w:r>
      <w:r w:rsidR="00ED6360">
        <w:t>associated</w:t>
      </w:r>
      <w:r w:rsidR="00A20534">
        <w:t xml:space="preserve"> </w:t>
      </w:r>
      <w:r w:rsidR="0010331F" w:rsidRPr="00AE5405">
        <w:t xml:space="preserve">uncertainty. </w:t>
      </w:r>
      <w:r w:rsidR="00742310">
        <w:t>Although t</w:t>
      </w:r>
      <w:r w:rsidR="0010331F" w:rsidRPr="00AE5405">
        <w:t>here are a number of similar efforts across different satellite</w:t>
      </w:r>
      <w:r w:rsidR="00742310">
        <w:t xml:space="preserve"> and </w:t>
      </w:r>
      <w:r w:rsidR="0010331F" w:rsidRPr="00AE5405">
        <w:t>sensor modalities, imageries from the Surface Land Sea Temperature Spectrometer (SLSTR) on board the Sentinel</w:t>
      </w:r>
      <w:r w:rsidR="00040924">
        <w:t>-</w:t>
      </w:r>
      <w:r w:rsidR="0010331F" w:rsidRPr="00AE5405">
        <w:t>3 satellites</w:t>
      </w:r>
      <w:r w:rsidR="00742310">
        <w:t xml:space="preserve"> is gaining widespread acceptance</w:t>
      </w:r>
      <w:r w:rsidR="0010331F" w:rsidRPr="00AE5405">
        <w:t>. The efficacy of the classification and estimation can be validated using a match</w:t>
      </w:r>
      <w:r w:rsidR="0092506A">
        <w:t>-</w:t>
      </w:r>
      <w:r w:rsidR="0010331F" w:rsidRPr="00AE5405">
        <w:t>up of classified pixels to readings from sea surface</w:t>
      </w:r>
      <w:r w:rsidR="0010331F" w:rsidRPr="00AE5405">
        <w:rPr>
          <w:lang w:val="it-IT"/>
        </w:rPr>
        <w:t xml:space="preserve"> buoys</w:t>
      </w:r>
      <w:r w:rsidR="0010331F" w:rsidRPr="00AE5405">
        <w:t>, as well as a thorough comparison with a small number of hand-labelled pixels. This end-to-end case study will focus on performing the overall operation of surface temperature estimation from a set of inputs, covering the</w:t>
      </w:r>
      <w:r w:rsidR="005420BF">
        <w:t xml:space="preserve"> stages of </w:t>
      </w:r>
    </w:p>
    <w:p w14:paraId="08EBF33E" w14:textId="5EDF44B3" w:rsidR="00680FBA" w:rsidRDefault="005420BF" w:rsidP="00680FBA">
      <w:pPr>
        <w:pStyle w:val="Body"/>
        <w:numPr>
          <w:ilvl w:val="0"/>
          <w:numId w:val="7"/>
        </w:numPr>
        <w:spacing w:after="0" w:line="240" w:lineRule="auto"/>
        <w:ind w:left="709" w:hanging="368"/>
        <w:jc w:val="both"/>
      </w:pPr>
      <w:r>
        <w:t>p</w:t>
      </w:r>
      <w:r w:rsidR="0010331F" w:rsidRPr="00AE5405">
        <w:t>re-processing (image resizing</w:t>
      </w:r>
      <w:r w:rsidR="0010331F">
        <w:t>, normalization, saturation management,</w:t>
      </w:r>
      <w:r w:rsidR="0010331F" w:rsidRPr="00AE5405">
        <w:t xml:space="preserve"> and </w:t>
      </w:r>
      <w:r w:rsidR="00D0521E" w:rsidRPr="00AE5405">
        <w:t>generat</w:t>
      </w:r>
      <w:r w:rsidR="00D0521E">
        <w:t>ion</w:t>
      </w:r>
      <w:r w:rsidR="0010331F">
        <w:t xml:space="preserve"> of</w:t>
      </w:r>
      <w:r w:rsidR="0010331F" w:rsidRPr="00AE5405">
        <w:t xml:space="preserve"> random crops of images)</w:t>
      </w:r>
      <w:r>
        <w:t xml:space="preserve">, </w:t>
      </w:r>
    </w:p>
    <w:p w14:paraId="623B9E4A" w14:textId="0658393A" w:rsidR="00680FBA" w:rsidRDefault="0010331F" w:rsidP="00680FBA">
      <w:pPr>
        <w:pStyle w:val="Body"/>
        <w:numPr>
          <w:ilvl w:val="0"/>
          <w:numId w:val="7"/>
        </w:numPr>
        <w:spacing w:after="0" w:line="240" w:lineRule="auto"/>
        <w:ind w:left="709" w:hanging="368"/>
        <w:jc w:val="both"/>
      </w:pPr>
      <w:r w:rsidRPr="00AE5405">
        <w:t>Cloud classification (training &amp; inferencing); and</w:t>
      </w:r>
      <w:r w:rsidR="005420BF">
        <w:t xml:space="preserve"> </w:t>
      </w:r>
    </w:p>
    <w:p w14:paraId="493C8DA4" w14:textId="217421E4" w:rsidR="00FB145B" w:rsidRDefault="005420BF" w:rsidP="00680FBA">
      <w:pPr>
        <w:pStyle w:val="Body"/>
        <w:numPr>
          <w:ilvl w:val="0"/>
          <w:numId w:val="7"/>
        </w:numPr>
        <w:spacing w:after="0" w:line="240" w:lineRule="auto"/>
        <w:ind w:left="709" w:hanging="368"/>
        <w:jc w:val="both"/>
      </w:pPr>
      <w:r>
        <w:t>E</w:t>
      </w:r>
      <w:r w:rsidR="0010331F" w:rsidRPr="00AE5405">
        <w:t xml:space="preserve">stimation of the sea surface temperature at the pixel level. </w:t>
      </w:r>
    </w:p>
    <w:p w14:paraId="7F44F6CD" w14:textId="3B98F2DB" w:rsidR="005256CB" w:rsidRDefault="005256CB" w:rsidP="005256CB">
      <w:pPr>
        <w:pStyle w:val="Body"/>
        <w:spacing w:after="0" w:line="240" w:lineRule="auto"/>
        <w:jc w:val="both"/>
      </w:pPr>
    </w:p>
    <w:p w14:paraId="75A98B81" w14:textId="3A82D6F2" w:rsidR="005256CB" w:rsidRDefault="005256CB" w:rsidP="005256CB">
      <w:pPr>
        <w:pStyle w:val="Body"/>
        <w:spacing w:after="0" w:line="240" w:lineRule="auto"/>
        <w:jc w:val="both"/>
      </w:pPr>
      <w:r>
        <w:t xml:space="preserve">These stages are depicted in Figure 2 below. </w:t>
      </w:r>
    </w:p>
    <w:p w14:paraId="487CC9B2" w14:textId="77777777" w:rsidR="005256CB" w:rsidRDefault="005256CB" w:rsidP="005256CB">
      <w:pPr>
        <w:pStyle w:val="Body"/>
        <w:spacing w:after="0" w:line="240" w:lineRule="auto"/>
        <w:jc w:val="both"/>
      </w:pPr>
    </w:p>
    <w:p w14:paraId="22C34FCB" w14:textId="4F9A1F95" w:rsidR="005256CB" w:rsidRDefault="005256CB" w:rsidP="005256CB">
      <w:pPr>
        <w:pStyle w:val="Body"/>
        <w:spacing w:after="0" w:line="240" w:lineRule="auto"/>
        <w:jc w:val="center"/>
      </w:pPr>
      <w:r>
        <w:rPr>
          <w:noProof/>
          <w:lang w:val="en-GB"/>
        </w:rPr>
        <w:drawing>
          <wp:inline distT="0" distB="0" distL="0" distR="0" wp14:anchorId="4DBD121D" wp14:editId="481F56F9">
            <wp:extent cx="2823177" cy="456627"/>
            <wp:effectExtent l="19050" t="19050" r="1587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863" cy="465310"/>
                    </a:xfrm>
                    <a:prstGeom prst="rect">
                      <a:avLst/>
                    </a:prstGeom>
                    <a:ln w="6350" cap="sq">
                      <a:solidFill>
                        <a:srgbClr val="000000"/>
                      </a:solidFill>
                      <a:prstDash val="solid"/>
                      <a:miter lim="800000"/>
                    </a:ln>
                    <a:effectLst/>
                  </pic:spPr>
                </pic:pic>
              </a:graphicData>
            </a:graphic>
          </wp:inline>
        </w:drawing>
      </w:r>
    </w:p>
    <w:p w14:paraId="392EB0D0" w14:textId="06CE5C5C" w:rsidR="004A7E78" w:rsidRPr="004A7E78" w:rsidRDefault="004A7E78" w:rsidP="004A7E78">
      <w:pPr>
        <w:pStyle w:val="Body"/>
        <w:spacing w:after="0" w:line="240" w:lineRule="auto"/>
        <w:jc w:val="center"/>
        <w:rPr>
          <w:b/>
          <w:sz w:val="16"/>
        </w:rPr>
      </w:pPr>
      <w:r w:rsidRPr="004A7E78">
        <w:rPr>
          <w:b/>
          <w:sz w:val="16"/>
        </w:rPr>
        <w:t>Figure 2: End-to-End Processing in Cloud Masking</w:t>
      </w:r>
    </w:p>
    <w:p w14:paraId="720687F2" w14:textId="6D3F1C10" w:rsidR="0098369F" w:rsidRDefault="0098369F" w:rsidP="0098369F">
      <w:pPr>
        <w:pStyle w:val="Body"/>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200" w:firstRow="0" w:lastRow="0" w:firstColumn="0" w:lastColumn="0" w:noHBand="1" w:noVBand="0"/>
      </w:tblPr>
      <w:tblGrid>
        <w:gridCol w:w="9773"/>
      </w:tblGrid>
      <w:tr w:rsidR="005B0C57" w:rsidRPr="00565D00" w14:paraId="2370F167" w14:textId="77777777" w:rsidTr="005A2C6D">
        <w:trPr>
          <w:trHeight w:val="316"/>
        </w:trPr>
        <w:tc>
          <w:tcPr>
            <w:tcW w:w="9773" w:type="dxa"/>
            <w:shd w:val="clear" w:color="auto" w:fill="0070C0"/>
          </w:tcPr>
          <w:p w14:paraId="0F755600" w14:textId="59B36240" w:rsidR="005B0C57" w:rsidRPr="00565D00" w:rsidRDefault="00B0078F" w:rsidP="00565D00">
            <w:pPr>
              <w:pStyle w:val="ListParagraph"/>
              <w:numPr>
                <w:ilvl w:val="0"/>
                <w:numId w:val="5"/>
              </w:numPr>
              <w:ind w:left="319"/>
              <w:jc w:val="both"/>
              <w:rPr>
                <w:b/>
                <w:color w:val="FFFFFF" w:themeColor="background1"/>
              </w:rPr>
            </w:pPr>
            <w:r w:rsidRPr="00565D00">
              <w:rPr>
                <w:b/>
                <w:color w:val="FFFFFF" w:themeColor="background1"/>
              </w:rPr>
              <w:t>Benchmarking Scope</w:t>
            </w:r>
          </w:p>
        </w:tc>
      </w:tr>
    </w:tbl>
    <w:p w14:paraId="2988CDC6" w14:textId="1FBE9757" w:rsidR="005B0C57" w:rsidRDefault="005B0C57" w:rsidP="00723CAC">
      <w:pPr>
        <w:spacing w:after="0" w:line="240" w:lineRule="auto"/>
        <w:jc w:val="both"/>
      </w:pPr>
    </w:p>
    <w:p w14:paraId="05A8B180" w14:textId="7ACB794B" w:rsidR="003444C7" w:rsidRDefault="00F43A46" w:rsidP="0052629A">
      <w:pPr>
        <w:jc w:val="both"/>
      </w:pPr>
      <w:r>
        <w:t>These two workflows</w:t>
      </w:r>
      <w:r w:rsidR="00B24446">
        <w:t xml:space="preserve">, in their </w:t>
      </w:r>
      <w:r w:rsidR="00BC0BD0">
        <w:t>own, provide</w:t>
      </w:r>
      <w:r w:rsidR="002E011D">
        <w:t>d</w:t>
      </w:r>
      <w:r w:rsidR="00FB145B">
        <w:t xml:space="preserve"> an avenue for testing and evaluating different aspects of the </w:t>
      </w:r>
      <w:r w:rsidR="00111067">
        <w:t xml:space="preserve">overall workflow, </w:t>
      </w:r>
      <w:r w:rsidR="002E011D">
        <w:t>such as, o</w:t>
      </w:r>
      <w:r w:rsidR="00333F94">
        <w:t>verall capability of the hardware system under test</w:t>
      </w:r>
      <w:r w:rsidR="002E011D">
        <w:t>, c</w:t>
      </w:r>
      <w:r w:rsidR="00540D3A">
        <w:t xml:space="preserve">apability of the system for </w:t>
      </w:r>
      <w:r w:rsidR="00FB145B">
        <w:t>training</w:t>
      </w:r>
      <w:r w:rsidR="00540D3A">
        <w:t xml:space="preserve"> on </w:t>
      </w:r>
      <w:r w:rsidR="002E011D">
        <w:t>data, and c</w:t>
      </w:r>
      <w:r w:rsidR="00540D3A">
        <w:t>apability of the system for inferencing</w:t>
      </w:r>
      <w:r w:rsidR="002E011D">
        <w:t xml:space="preserve">. </w:t>
      </w:r>
      <w:r w:rsidR="008260A1">
        <w:t>As part of this process, we collect</w:t>
      </w:r>
      <w:r w:rsidR="0052629A">
        <w:t xml:space="preserve">ed </w:t>
      </w:r>
      <w:r w:rsidR="00F05780">
        <w:t>all relevant performance data linked to the stages of the workflow</w:t>
      </w:r>
      <w:r w:rsidR="007E027A">
        <w:t>.</w:t>
      </w:r>
      <w:r w:rsidR="00717523">
        <w:t xml:space="preserve"> We carr</w:t>
      </w:r>
      <w:r w:rsidR="0052629A">
        <w:t xml:space="preserve">ied </w:t>
      </w:r>
      <w:r w:rsidR="00717523">
        <w:t xml:space="preserve">out the benchmarking on </w:t>
      </w:r>
      <w:r w:rsidR="00374E8F">
        <w:t xml:space="preserve">two systems, </w:t>
      </w:r>
      <w:r w:rsidR="0052629A">
        <w:t xml:space="preserve">namely V100-equipped PEARL system, and ICX equipped system in EPCC. </w:t>
      </w:r>
    </w:p>
    <w:p w14:paraId="684D2084" w14:textId="022A25D3" w:rsidR="00D03785" w:rsidRDefault="00D03785" w:rsidP="00D0378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200" w:firstRow="0" w:lastRow="0" w:firstColumn="0" w:lastColumn="0" w:noHBand="1" w:noVBand="0"/>
      </w:tblPr>
      <w:tblGrid>
        <w:gridCol w:w="9741"/>
      </w:tblGrid>
      <w:tr w:rsidR="005B0C57" w:rsidRPr="00565D00" w14:paraId="5650B1EE" w14:textId="77777777" w:rsidTr="005A2C6D">
        <w:trPr>
          <w:trHeight w:val="291"/>
        </w:trPr>
        <w:tc>
          <w:tcPr>
            <w:tcW w:w="9741" w:type="dxa"/>
            <w:shd w:val="clear" w:color="auto" w:fill="0070C0"/>
          </w:tcPr>
          <w:p w14:paraId="004AF2C9" w14:textId="402F9724" w:rsidR="005B0C57" w:rsidRPr="00565D00" w:rsidRDefault="008A466E" w:rsidP="00565D00">
            <w:pPr>
              <w:pStyle w:val="ListParagraph"/>
              <w:numPr>
                <w:ilvl w:val="0"/>
                <w:numId w:val="5"/>
              </w:numPr>
              <w:ind w:left="319"/>
              <w:jc w:val="both"/>
              <w:rPr>
                <w:b/>
                <w:color w:val="FFFFFF" w:themeColor="background1"/>
              </w:rPr>
            </w:pPr>
            <w:r w:rsidRPr="00565D00">
              <w:rPr>
                <w:b/>
                <w:color w:val="FFFFFF" w:themeColor="background1"/>
              </w:rPr>
              <w:t>Deliverables</w:t>
            </w:r>
          </w:p>
        </w:tc>
      </w:tr>
    </w:tbl>
    <w:p w14:paraId="518A1541" w14:textId="395E4737" w:rsidR="007E027A" w:rsidRDefault="007E027A" w:rsidP="00723CAC">
      <w:pPr>
        <w:spacing w:after="0" w:line="240" w:lineRule="auto"/>
        <w:jc w:val="both"/>
      </w:pPr>
    </w:p>
    <w:p w14:paraId="70DED255" w14:textId="1AFF586F" w:rsidR="007E027A" w:rsidRDefault="007E027A" w:rsidP="007E027A">
      <w:pPr>
        <w:jc w:val="both"/>
      </w:pPr>
      <w:r>
        <w:t>We deliver</w:t>
      </w:r>
      <w:r w:rsidR="00B3327E">
        <w:t>ed</w:t>
      </w:r>
      <w:r>
        <w:t xml:space="preserve"> the following </w:t>
      </w:r>
      <w:r w:rsidR="003E6509">
        <w:t>for each of the cases</w:t>
      </w:r>
      <w:r w:rsidR="009E6698">
        <w:t xml:space="preserve">: </w:t>
      </w:r>
    </w:p>
    <w:p w14:paraId="2197B0FD" w14:textId="6434D9BC" w:rsidR="006F63B8" w:rsidRDefault="008869F0" w:rsidP="0017445D">
      <w:pPr>
        <w:pStyle w:val="ListParagraph"/>
        <w:numPr>
          <w:ilvl w:val="0"/>
          <w:numId w:val="1"/>
        </w:numPr>
        <w:jc w:val="both"/>
      </w:pPr>
      <w:r>
        <w:t>Relevant s</w:t>
      </w:r>
      <w:r w:rsidR="00B16E69">
        <w:t xml:space="preserve">ource code </w:t>
      </w:r>
      <w:r w:rsidR="006F63B8">
        <w:t>for cases I and II</w:t>
      </w:r>
      <w:r w:rsidR="00B3327E">
        <w:t xml:space="preserve"> (available at the GitHub Link </w:t>
      </w:r>
      <w:hyperlink r:id="rId9" w:history="1">
        <w:r w:rsidR="00B3327E" w:rsidRPr="00B3327E">
          <w:rPr>
            <w:rStyle w:val="Hyperlink"/>
          </w:rPr>
          <w:t>here</w:t>
        </w:r>
      </w:hyperlink>
      <w:r w:rsidR="00B3327E">
        <w:t>)</w:t>
      </w:r>
    </w:p>
    <w:p w14:paraId="4C542CBB" w14:textId="6F618659" w:rsidR="006F63B8" w:rsidRDefault="006F63B8" w:rsidP="006F63B8">
      <w:pPr>
        <w:pStyle w:val="ListParagraph"/>
        <w:numPr>
          <w:ilvl w:val="0"/>
          <w:numId w:val="1"/>
        </w:numPr>
        <w:jc w:val="both"/>
      </w:pPr>
      <w:r>
        <w:t xml:space="preserve">Download script to get hold of relevant </w:t>
      </w:r>
      <w:r w:rsidR="00B16E69">
        <w:t>d</w:t>
      </w:r>
      <w:r w:rsidR="009E6698">
        <w:t>atasets</w:t>
      </w:r>
      <w:r>
        <w:t xml:space="preserve"> from the object storage (specific details are included in the relevant case documentations)</w:t>
      </w:r>
      <w:r w:rsidR="00B3327E">
        <w:t xml:space="preserve">. The datasets are </w:t>
      </w:r>
      <w:r w:rsidR="00CF61AB">
        <w:t xml:space="preserve">stored inside a publicly accessible bucket (details are available inside the </w:t>
      </w:r>
      <w:proofErr w:type="spellStart"/>
      <w:r w:rsidR="00CF61AB">
        <w:t>github</w:t>
      </w:r>
      <w:proofErr w:type="spellEnd"/>
      <w:r w:rsidR="00CF61AB">
        <w:t xml:space="preserve">). </w:t>
      </w:r>
    </w:p>
    <w:p w14:paraId="27C470A5" w14:textId="27839C6F" w:rsidR="00BF4CCE" w:rsidRDefault="00B6260C" w:rsidP="00BF4CCE">
      <w:pPr>
        <w:pStyle w:val="ListParagraph"/>
        <w:numPr>
          <w:ilvl w:val="0"/>
          <w:numId w:val="1"/>
        </w:numPr>
        <w:jc w:val="both"/>
      </w:pPr>
      <w:r>
        <w:t>R</w:t>
      </w:r>
      <w:r w:rsidR="00DF647F">
        <w:t>eport</w:t>
      </w:r>
      <w:r>
        <w:t>s</w:t>
      </w:r>
      <w:r w:rsidR="00DF647F">
        <w:t xml:space="preserve"> o</w:t>
      </w:r>
      <w:r w:rsidR="001F471F">
        <w:t>n</w:t>
      </w:r>
      <w:r w:rsidR="00DF647F">
        <w:t xml:space="preserve"> the benchmarking exercise</w:t>
      </w:r>
      <w:r w:rsidR="00565D00">
        <w:t xml:space="preserve">, including performance </w:t>
      </w:r>
      <w:r w:rsidR="00992329">
        <w:t xml:space="preserve">of the benchmarks on </w:t>
      </w:r>
      <w:r w:rsidR="00F041DC">
        <w:t xml:space="preserve">at two </w:t>
      </w:r>
      <w:r w:rsidR="00992329">
        <w:t>different platforms</w:t>
      </w:r>
      <w:r w:rsidR="00F041DC">
        <w:t xml:space="preserve">, namely </w:t>
      </w:r>
      <w:r>
        <w:t>V100</w:t>
      </w:r>
      <w:r w:rsidR="006F63B8">
        <w:t>, K80,</w:t>
      </w:r>
      <w:r>
        <w:t xml:space="preserve"> and ICX-</w:t>
      </w:r>
      <w:r w:rsidR="00F041DC">
        <w:t xml:space="preserve">based systems. </w:t>
      </w:r>
    </w:p>
    <w:p w14:paraId="0562CF1C" w14:textId="77777777" w:rsidR="000017D7" w:rsidRDefault="000017D7" w:rsidP="000017D7">
      <w:pPr>
        <w:spacing w:after="0" w:line="240" w:lineRule="auto"/>
      </w:pPr>
    </w:p>
    <w:p w14:paraId="36B03061" w14:textId="40567349" w:rsidR="00ED26A9" w:rsidRDefault="00ED26A9" w:rsidP="00ED26A9">
      <w:pPr>
        <w:pStyle w:val="ListParagraph"/>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200" w:firstRow="0" w:lastRow="0" w:firstColumn="0" w:lastColumn="0" w:noHBand="1" w:noVBand="0"/>
      </w:tblPr>
      <w:tblGrid>
        <w:gridCol w:w="9741"/>
      </w:tblGrid>
      <w:tr w:rsidR="00992329" w:rsidRPr="00565D00" w14:paraId="6FF7ABBE" w14:textId="77777777" w:rsidTr="00C729C9">
        <w:trPr>
          <w:trHeight w:val="291"/>
        </w:trPr>
        <w:tc>
          <w:tcPr>
            <w:tcW w:w="9741" w:type="dxa"/>
            <w:shd w:val="clear" w:color="auto" w:fill="0070C0"/>
          </w:tcPr>
          <w:p w14:paraId="3672DF92" w14:textId="292AE8C3" w:rsidR="00992329" w:rsidRPr="00565D00" w:rsidRDefault="00B3327E" w:rsidP="007F0E7C">
            <w:pPr>
              <w:pStyle w:val="ListParagraph"/>
              <w:numPr>
                <w:ilvl w:val="0"/>
                <w:numId w:val="5"/>
              </w:numPr>
              <w:ind w:left="319"/>
              <w:jc w:val="both"/>
              <w:rPr>
                <w:b/>
                <w:color w:val="FFFFFF" w:themeColor="background1"/>
              </w:rPr>
            </w:pPr>
            <w:r>
              <w:rPr>
                <w:b/>
                <w:color w:val="FFFFFF" w:themeColor="background1"/>
              </w:rPr>
              <w:t>Lessons and Summary</w:t>
            </w:r>
          </w:p>
        </w:tc>
      </w:tr>
    </w:tbl>
    <w:p w14:paraId="0B8491B6" w14:textId="1083B0A0" w:rsidR="00992329" w:rsidRDefault="00992329" w:rsidP="00992329">
      <w:pPr>
        <w:spacing w:after="0" w:line="240" w:lineRule="auto"/>
        <w:jc w:val="both"/>
      </w:pPr>
    </w:p>
    <w:p w14:paraId="096DAEDC" w14:textId="3433A4FF" w:rsidR="00723CAC" w:rsidRDefault="00B3327E" w:rsidP="009B5BBA">
      <w:pPr>
        <w:spacing w:after="0" w:line="240" w:lineRule="auto"/>
        <w:jc w:val="both"/>
      </w:pPr>
      <w:r>
        <w:t>In our experience, Case 2, albeit being less complex compared to Case 1, is very ideal for automated testing. One of the crucial issues is setting up the datastore and distributing large datasets. Although we made every effort to make use of existing infrastructures, we resorted to a solution which involved setting up our own, but AWS-compatible object storage where the data is available independently</w:t>
      </w:r>
      <w:r w:rsidR="00685A4A">
        <w:t xml:space="preserve"> and on the long-run. Although this short project was useful to gain some insights into training and inferencing, </w:t>
      </w:r>
      <w:r w:rsidR="009B5BBA">
        <w:t xml:space="preserve">the full-scale study requires considerable amount of effort, not only to cover different platforms, and explorations, but also to fully understand and report the performance results. </w:t>
      </w:r>
    </w:p>
    <w:p w14:paraId="7518F2AE" w14:textId="617A7DBF" w:rsidR="00723CAC" w:rsidRPr="009253F7" w:rsidRDefault="009253F7" w:rsidP="009253F7">
      <w:pPr>
        <w:jc w:val="right"/>
        <w:rPr>
          <w:sz w:val="10"/>
          <w:szCs w:val="10"/>
        </w:rPr>
      </w:pPr>
      <w:r w:rsidRPr="009253F7">
        <w:rPr>
          <w:sz w:val="10"/>
          <w:szCs w:val="10"/>
        </w:rPr>
        <w:sym w:font="Webdings" w:char="F067"/>
      </w:r>
    </w:p>
    <w:sectPr w:rsidR="00723CAC" w:rsidRPr="009253F7" w:rsidSect="002F5999">
      <w:footerReference w:type="default" r:id="rId10"/>
      <w:pgSz w:w="11906" w:h="16838"/>
      <w:pgMar w:top="936" w:right="1111" w:bottom="1440"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DC0DD" w14:textId="77777777" w:rsidR="005D69E7" w:rsidRDefault="005D69E7" w:rsidP="008A466E">
      <w:pPr>
        <w:spacing w:after="0" w:line="240" w:lineRule="auto"/>
      </w:pPr>
      <w:r>
        <w:separator/>
      </w:r>
    </w:p>
  </w:endnote>
  <w:endnote w:type="continuationSeparator" w:id="0">
    <w:p w14:paraId="427C3B3F" w14:textId="77777777" w:rsidR="005D69E7" w:rsidRDefault="005D69E7" w:rsidP="008A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4886"/>
    </w:tblGrid>
    <w:tr w:rsidR="001416C6" w14:paraId="45091A9B" w14:textId="77777777" w:rsidTr="001416C6">
      <w:tc>
        <w:tcPr>
          <w:tcW w:w="4885" w:type="dxa"/>
        </w:tcPr>
        <w:p w14:paraId="390B52CD" w14:textId="400E9DD9" w:rsidR="001416C6" w:rsidRPr="001416C6" w:rsidRDefault="001416C6" w:rsidP="001416C6">
          <w:pPr>
            <w:pStyle w:val="Header"/>
            <w:rPr>
              <w:i/>
              <w:iCs/>
              <w:sz w:val="16"/>
              <w:szCs w:val="16"/>
            </w:rPr>
          </w:pPr>
          <w:r w:rsidRPr="001416C6">
            <w:rPr>
              <w:i/>
              <w:iCs/>
              <w:sz w:val="16"/>
              <w:szCs w:val="16"/>
            </w:rPr>
            <w:t>End-to-End Benchmarking</w:t>
          </w:r>
        </w:p>
      </w:tc>
      <w:tc>
        <w:tcPr>
          <w:tcW w:w="4886" w:type="dxa"/>
        </w:tcPr>
        <w:p w14:paraId="02745C64" w14:textId="62931803" w:rsidR="001416C6" w:rsidRDefault="001416C6" w:rsidP="001416C6">
          <w:pPr>
            <w:pStyle w:val="Footer"/>
            <w:jc w:val="right"/>
            <w:rPr>
              <w:color w:val="5B9BD5" w:themeColor="accent1"/>
              <w:sz w:val="16"/>
              <w:szCs w:val="16"/>
            </w:rPr>
          </w:pPr>
          <w:r w:rsidRPr="00453D42">
            <w:rPr>
              <w:color w:val="5B9BD5" w:themeColor="accent1"/>
              <w:sz w:val="16"/>
              <w:szCs w:val="16"/>
            </w:rPr>
            <w:t xml:space="preserve">Page </w:t>
          </w:r>
          <w:r w:rsidRPr="00453D42">
            <w:rPr>
              <w:color w:val="5B9BD5" w:themeColor="accent1"/>
              <w:sz w:val="16"/>
              <w:szCs w:val="16"/>
            </w:rPr>
            <w:fldChar w:fldCharType="begin"/>
          </w:r>
          <w:r w:rsidRPr="00453D42">
            <w:rPr>
              <w:color w:val="5B9BD5" w:themeColor="accent1"/>
              <w:sz w:val="16"/>
              <w:szCs w:val="16"/>
            </w:rPr>
            <w:instrText xml:space="preserve"> PAGE  \* Arabic  \* MERGEFORMAT </w:instrText>
          </w:r>
          <w:r w:rsidRPr="00453D42">
            <w:rPr>
              <w:color w:val="5B9BD5" w:themeColor="accent1"/>
              <w:sz w:val="16"/>
              <w:szCs w:val="16"/>
            </w:rPr>
            <w:fldChar w:fldCharType="separate"/>
          </w:r>
          <w:r w:rsidR="00D943F0">
            <w:rPr>
              <w:noProof/>
              <w:color w:val="5B9BD5" w:themeColor="accent1"/>
              <w:sz w:val="16"/>
              <w:szCs w:val="16"/>
            </w:rPr>
            <w:t>4</w:t>
          </w:r>
          <w:r w:rsidRPr="00453D42">
            <w:rPr>
              <w:color w:val="5B9BD5" w:themeColor="accent1"/>
              <w:sz w:val="16"/>
              <w:szCs w:val="16"/>
            </w:rPr>
            <w:fldChar w:fldCharType="end"/>
          </w:r>
          <w:r w:rsidRPr="00453D42">
            <w:rPr>
              <w:color w:val="5B9BD5" w:themeColor="accent1"/>
              <w:sz w:val="16"/>
              <w:szCs w:val="16"/>
            </w:rPr>
            <w:t xml:space="preserve"> of </w:t>
          </w:r>
          <w:r w:rsidRPr="00453D42">
            <w:rPr>
              <w:color w:val="5B9BD5" w:themeColor="accent1"/>
              <w:sz w:val="16"/>
              <w:szCs w:val="16"/>
            </w:rPr>
            <w:fldChar w:fldCharType="begin"/>
          </w:r>
          <w:r w:rsidRPr="00453D42">
            <w:rPr>
              <w:color w:val="5B9BD5" w:themeColor="accent1"/>
              <w:sz w:val="16"/>
              <w:szCs w:val="16"/>
            </w:rPr>
            <w:instrText xml:space="preserve"> NUMPAGES  \* Arabic  \* MERGEFORMAT </w:instrText>
          </w:r>
          <w:r w:rsidRPr="00453D42">
            <w:rPr>
              <w:color w:val="5B9BD5" w:themeColor="accent1"/>
              <w:sz w:val="16"/>
              <w:szCs w:val="16"/>
            </w:rPr>
            <w:fldChar w:fldCharType="separate"/>
          </w:r>
          <w:r w:rsidR="00D943F0">
            <w:rPr>
              <w:noProof/>
              <w:color w:val="5B9BD5" w:themeColor="accent1"/>
              <w:sz w:val="16"/>
              <w:szCs w:val="16"/>
            </w:rPr>
            <w:t>6</w:t>
          </w:r>
          <w:r w:rsidRPr="00453D42">
            <w:rPr>
              <w:color w:val="5B9BD5" w:themeColor="accent1"/>
              <w:sz w:val="16"/>
              <w:szCs w:val="16"/>
            </w:rPr>
            <w:fldChar w:fldCharType="end"/>
          </w:r>
        </w:p>
      </w:tc>
    </w:tr>
  </w:tbl>
  <w:p w14:paraId="50008E4B" w14:textId="5597B949" w:rsidR="008A466E" w:rsidRDefault="008A4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28A96" w14:textId="77777777" w:rsidR="005D69E7" w:rsidRDefault="005D69E7" w:rsidP="008A466E">
      <w:pPr>
        <w:spacing w:after="0" w:line="240" w:lineRule="auto"/>
      </w:pPr>
      <w:r>
        <w:separator/>
      </w:r>
    </w:p>
  </w:footnote>
  <w:footnote w:type="continuationSeparator" w:id="0">
    <w:p w14:paraId="23EC09ED" w14:textId="77777777" w:rsidR="005D69E7" w:rsidRDefault="005D69E7" w:rsidP="008A4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C5C"/>
    <w:multiLevelType w:val="hybridMultilevel"/>
    <w:tmpl w:val="2594206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74ED8"/>
    <w:multiLevelType w:val="hybridMultilevel"/>
    <w:tmpl w:val="1A92CA1E"/>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56808"/>
    <w:multiLevelType w:val="hybridMultilevel"/>
    <w:tmpl w:val="8E26F2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DB4288"/>
    <w:multiLevelType w:val="hybridMultilevel"/>
    <w:tmpl w:val="21C045BA"/>
    <w:lvl w:ilvl="0" w:tplc="DA4088C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433CF0"/>
    <w:multiLevelType w:val="hybridMultilevel"/>
    <w:tmpl w:val="E23E29CC"/>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174CF4"/>
    <w:multiLevelType w:val="hybridMultilevel"/>
    <w:tmpl w:val="26D40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5F3A24"/>
    <w:multiLevelType w:val="hybridMultilevel"/>
    <w:tmpl w:val="CBA86F6C"/>
    <w:lvl w:ilvl="0" w:tplc="D4B8271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2A29BA"/>
    <w:multiLevelType w:val="hybridMultilevel"/>
    <w:tmpl w:val="EC06383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181047C0"/>
    <w:multiLevelType w:val="hybridMultilevel"/>
    <w:tmpl w:val="42284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85053"/>
    <w:multiLevelType w:val="hybridMultilevel"/>
    <w:tmpl w:val="B316FFD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65A6AF8"/>
    <w:multiLevelType w:val="hybridMultilevel"/>
    <w:tmpl w:val="952A0F9E"/>
    <w:lvl w:ilvl="0" w:tplc="DA4088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317F81"/>
    <w:multiLevelType w:val="hybridMultilevel"/>
    <w:tmpl w:val="CB7E501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9441563"/>
    <w:multiLevelType w:val="hybridMultilevel"/>
    <w:tmpl w:val="76CABCB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398A303E"/>
    <w:multiLevelType w:val="hybridMultilevel"/>
    <w:tmpl w:val="B7F4B5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2F4B60"/>
    <w:multiLevelType w:val="hybridMultilevel"/>
    <w:tmpl w:val="B7F4B5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1F22920"/>
    <w:multiLevelType w:val="hybridMultilevel"/>
    <w:tmpl w:val="EE8407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C757071"/>
    <w:multiLevelType w:val="hybridMultilevel"/>
    <w:tmpl w:val="B7F4B5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11F6B26"/>
    <w:multiLevelType w:val="hybridMultilevel"/>
    <w:tmpl w:val="B7F4B5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7A8050C"/>
    <w:multiLevelType w:val="hybridMultilevel"/>
    <w:tmpl w:val="27045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494A6D"/>
    <w:multiLevelType w:val="hybridMultilevel"/>
    <w:tmpl w:val="2594206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C61F76"/>
    <w:multiLevelType w:val="hybridMultilevel"/>
    <w:tmpl w:val="B7F4B5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F64518D"/>
    <w:multiLevelType w:val="hybridMultilevel"/>
    <w:tmpl w:val="B7F4B5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1C4714E"/>
    <w:multiLevelType w:val="hybridMultilevel"/>
    <w:tmpl w:val="2FFC4504"/>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27088D"/>
    <w:multiLevelType w:val="hybridMultilevel"/>
    <w:tmpl w:val="7A86FA20"/>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4" w15:restartNumberingAfterBreak="0">
    <w:nsid w:val="6B9E66A2"/>
    <w:multiLevelType w:val="hybridMultilevel"/>
    <w:tmpl w:val="476A34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4379D0"/>
    <w:multiLevelType w:val="hybridMultilevel"/>
    <w:tmpl w:val="F044E7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E337182"/>
    <w:multiLevelType w:val="hybridMultilevel"/>
    <w:tmpl w:val="B7F4B5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0C61B89"/>
    <w:multiLevelType w:val="hybridMultilevel"/>
    <w:tmpl w:val="0C6E4DD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FF3317"/>
    <w:multiLevelType w:val="hybridMultilevel"/>
    <w:tmpl w:val="6D000DF4"/>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9" w15:restartNumberingAfterBreak="0">
    <w:nsid w:val="781E5B5F"/>
    <w:multiLevelType w:val="hybridMultilevel"/>
    <w:tmpl w:val="E202EE2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8EE0502"/>
    <w:multiLevelType w:val="hybridMultilevel"/>
    <w:tmpl w:val="B9C8AC9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9E8113A"/>
    <w:multiLevelType w:val="hybridMultilevel"/>
    <w:tmpl w:val="4028C6A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2" w15:restartNumberingAfterBreak="0">
    <w:nsid w:val="7E10012E"/>
    <w:multiLevelType w:val="hybridMultilevel"/>
    <w:tmpl w:val="04F46D2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2"/>
  </w:num>
  <w:num w:numId="4">
    <w:abstractNumId w:val="6"/>
  </w:num>
  <w:num w:numId="5">
    <w:abstractNumId w:val="18"/>
  </w:num>
  <w:num w:numId="6">
    <w:abstractNumId w:val="5"/>
  </w:num>
  <w:num w:numId="7">
    <w:abstractNumId w:val="10"/>
  </w:num>
  <w:num w:numId="8">
    <w:abstractNumId w:val="22"/>
  </w:num>
  <w:num w:numId="9">
    <w:abstractNumId w:val="3"/>
  </w:num>
  <w:num w:numId="10">
    <w:abstractNumId w:val="8"/>
  </w:num>
  <w:num w:numId="11">
    <w:abstractNumId w:val="1"/>
  </w:num>
  <w:num w:numId="12">
    <w:abstractNumId w:val="30"/>
  </w:num>
  <w:num w:numId="13">
    <w:abstractNumId w:val="19"/>
  </w:num>
  <w:num w:numId="14">
    <w:abstractNumId w:val="4"/>
  </w:num>
  <w:num w:numId="15">
    <w:abstractNumId w:val="27"/>
  </w:num>
  <w:num w:numId="16">
    <w:abstractNumId w:val="11"/>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9"/>
  </w:num>
  <w:num w:numId="24">
    <w:abstractNumId w:val="29"/>
  </w:num>
  <w:num w:numId="25">
    <w:abstractNumId w:val="15"/>
  </w:num>
  <w:num w:numId="26">
    <w:abstractNumId w:val="24"/>
  </w:num>
  <w:num w:numId="27">
    <w:abstractNumId w:val="14"/>
  </w:num>
  <w:num w:numId="28">
    <w:abstractNumId w:val="16"/>
  </w:num>
  <w:num w:numId="29">
    <w:abstractNumId w:val="26"/>
  </w:num>
  <w:num w:numId="30">
    <w:abstractNumId w:val="21"/>
  </w:num>
  <w:num w:numId="31">
    <w:abstractNumId w:val="17"/>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9F8"/>
    <w:rsid w:val="00001221"/>
    <w:rsid w:val="000017D7"/>
    <w:rsid w:val="0000751B"/>
    <w:rsid w:val="000138FF"/>
    <w:rsid w:val="00016993"/>
    <w:rsid w:val="00017664"/>
    <w:rsid w:val="00022950"/>
    <w:rsid w:val="000232F5"/>
    <w:rsid w:val="00026AEA"/>
    <w:rsid w:val="0003080C"/>
    <w:rsid w:val="00031F4A"/>
    <w:rsid w:val="00036613"/>
    <w:rsid w:val="00040924"/>
    <w:rsid w:val="00044012"/>
    <w:rsid w:val="00045BBB"/>
    <w:rsid w:val="000474D3"/>
    <w:rsid w:val="00056180"/>
    <w:rsid w:val="000564F9"/>
    <w:rsid w:val="000609A9"/>
    <w:rsid w:val="00060A76"/>
    <w:rsid w:val="00061FF2"/>
    <w:rsid w:val="00062352"/>
    <w:rsid w:val="000674AA"/>
    <w:rsid w:val="000711DC"/>
    <w:rsid w:val="000727C3"/>
    <w:rsid w:val="000879E4"/>
    <w:rsid w:val="00093E03"/>
    <w:rsid w:val="000942E8"/>
    <w:rsid w:val="00096F54"/>
    <w:rsid w:val="000A5C8E"/>
    <w:rsid w:val="000B6145"/>
    <w:rsid w:val="000B63C7"/>
    <w:rsid w:val="000B6449"/>
    <w:rsid w:val="000C129E"/>
    <w:rsid w:val="000C281B"/>
    <w:rsid w:val="000C4C11"/>
    <w:rsid w:val="000C6026"/>
    <w:rsid w:val="000D1A63"/>
    <w:rsid w:val="000D74C1"/>
    <w:rsid w:val="000E048C"/>
    <w:rsid w:val="000E6801"/>
    <w:rsid w:val="000E6E21"/>
    <w:rsid w:val="000F0F08"/>
    <w:rsid w:val="000F16A3"/>
    <w:rsid w:val="000F5B5C"/>
    <w:rsid w:val="000F68F8"/>
    <w:rsid w:val="0010068D"/>
    <w:rsid w:val="00102709"/>
    <w:rsid w:val="00103314"/>
    <w:rsid w:val="0010331F"/>
    <w:rsid w:val="0010373A"/>
    <w:rsid w:val="00107AA3"/>
    <w:rsid w:val="00111067"/>
    <w:rsid w:val="00126D4A"/>
    <w:rsid w:val="00132644"/>
    <w:rsid w:val="001335EB"/>
    <w:rsid w:val="00137BB1"/>
    <w:rsid w:val="001416C6"/>
    <w:rsid w:val="00156EB5"/>
    <w:rsid w:val="00165F00"/>
    <w:rsid w:val="001702F0"/>
    <w:rsid w:val="0017445D"/>
    <w:rsid w:val="0017489F"/>
    <w:rsid w:val="00174B87"/>
    <w:rsid w:val="00176575"/>
    <w:rsid w:val="00184705"/>
    <w:rsid w:val="0018799B"/>
    <w:rsid w:val="00190C76"/>
    <w:rsid w:val="00195EF6"/>
    <w:rsid w:val="001A488A"/>
    <w:rsid w:val="001A539C"/>
    <w:rsid w:val="001A5D9E"/>
    <w:rsid w:val="001A5EFC"/>
    <w:rsid w:val="001A71FA"/>
    <w:rsid w:val="001A739D"/>
    <w:rsid w:val="001B331D"/>
    <w:rsid w:val="001B3350"/>
    <w:rsid w:val="001C4C3C"/>
    <w:rsid w:val="001C4F1F"/>
    <w:rsid w:val="001D025D"/>
    <w:rsid w:val="001D5696"/>
    <w:rsid w:val="001E0026"/>
    <w:rsid w:val="001E4292"/>
    <w:rsid w:val="001E5B4F"/>
    <w:rsid w:val="001F28FC"/>
    <w:rsid w:val="001F411F"/>
    <w:rsid w:val="001F471F"/>
    <w:rsid w:val="0020462D"/>
    <w:rsid w:val="0020526A"/>
    <w:rsid w:val="00210FA6"/>
    <w:rsid w:val="002117ED"/>
    <w:rsid w:val="0021230A"/>
    <w:rsid w:val="002226BA"/>
    <w:rsid w:val="00237BD2"/>
    <w:rsid w:val="00245F46"/>
    <w:rsid w:val="002517C9"/>
    <w:rsid w:val="00255157"/>
    <w:rsid w:val="00256B16"/>
    <w:rsid w:val="00257F73"/>
    <w:rsid w:val="002639F1"/>
    <w:rsid w:val="00265C07"/>
    <w:rsid w:val="00283298"/>
    <w:rsid w:val="00284B56"/>
    <w:rsid w:val="00286132"/>
    <w:rsid w:val="00286621"/>
    <w:rsid w:val="00290136"/>
    <w:rsid w:val="00292710"/>
    <w:rsid w:val="0029355E"/>
    <w:rsid w:val="002956E9"/>
    <w:rsid w:val="00296BC9"/>
    <w:rsid w:val="002A16C2"/>
    <w:rsid w:val="002C1881"/>
    <w:rsid w:val="002C1EFF"/>
    <w:rsid w:val="002C24AA"/>
    <w:rsid w:val="002C3063"/>
    <w:rsid w:val="002C5D52"/>
    <w:rsid w:val="002E011D"/>
    <w:rsid w:val="002E1039"/>
    <w:rsid w:val="002E6473"/>
    <w:rsid w:val="002E7CFE"/>
    <w:rsid w:val="002F12E1"/>
    <w:rsid w:val="002F211E"/>
    <w:rsid w:val="002F3FEB"/>
    <w:rsid w:val="002F543B"/>
    <w:rsid w:val="002F5999"/>
    <w:rsid w:val="00302173"/>
    <w:rsid w:val="00305FE7"/>
    <w:rsid w:val="003179F8"/>
    <w:rsid w:val="00333F94"/>
    <w:rsid w:val="00334D74"/>
    <w:rsid w:val="00342535"/>
    <w:rsid w:val="003444C7"/>
    <w:rsid w:val="00344668"/>
    <w:rsid w:val="00350B8B"/>
    <w:rsid w:val="003655A5"/>
    <w:rsid w:val="00366271"/>
    <w:rsid w:val="00371E95"/>
    <w:rsid w:val="00373210"/>
    <w:rsid w:val="00374E8F"/>
    <w:rsid w:val="00380AD2"/>
    <w:rsid w:val="00382957"/>
    <w:rsid w:val="003829F5"/>
    <w:rsid w:val="00384C34"/>
    <w:rsid w:val="00394304"/>
    <w:rsid w:val="003944AB"/>
    <w:rsid w:val="003A18A9"/>
    <w:rsid w:val="003A543F"/>
    <w:rsid w:val="003B3E59"/>
    <w:rsid w:val="003B482C"/>
    <w:rsid w:val="003D348E"/>
    <w:rsid w:val="003D632F"/>
    <w:rsid w:val="003D7345"/>
    <w:rsid w:val="003D75B2"/>
    <w:rsid w:val="003D7EF8"/>
    <w:rsid w:val="003E353D"/>
    <w:rsid w:val="003E6509"/>
    <w:rsid w:val="003F373C"/>
    <w:rsid w:val="003F453B"/>
    <w:rsid w:val="00401413"/>
    <w:rsid w:val="00406851"/>
    <w:rsid w:val="00406EA2"/>
    <w:rsid w:val="00424B75"/>
    <w:rsid w:val="00435657"/>
    <w:rsid w:val="004404DB"/>
    <w:rsid w:val="0044113C"/>
    <w:rsid w:val="0044601B"/>
    <w:rsid w:val="00450EEB"/>
    <w:rsid w:val="00453D42"/>
    <w:rsid w:val="00455382"/>
    <w:rsid w:val="00456222"/>
    <w:rsid w:val="00457F0A"/>
    <w:rsid w:val="00463D73"/>
    <w:rsid w:val="004659F1"/>
    <w:rsid w:val="00465EC0"/>
    <w:rsid w:val="00470A66"/>
    <w:rsid w:val="004744E1"/>
    <w:rsid w:val="00476D4A"/>
    <w:rsid w:val="00476DCA"/>
    <w:rsid w:val="004A29FA"/>
    <w:rsid w:val="004A7E78"/>
    <w:rsid w:val="004D0526"/>
    <w:rsid w:val="004D2908"/>
    <w:rsid w:val="004D4263"/>
    <w:rsid w:val="004D4273"/>
    <w:rsid w:val="004F12EE"/>
    <w:rsid w:val="0050130E"/>
    <w:rsid w:val="00506A33"/>
    <w:rsid w:val="00510F92"/>
    <w:rsid w:val="00515596"/>
    <w:rsid w:val="00515C45"/>
    <w:rsid w:val="00524234"/>
    <w:rsid w:val="005256CB"/>
    <w:rsid w:val="0052598E"/>
    <w:rsid w:val="0052629A"/>
    <w:rsid w:val="0053115D"/>
    <w:rsid w:val="005335E6"/>
    <w:rsid w:val="00534E56"/>
    <w:rsid w:val="00540D3A"/>
    <w:rsid w:val="0054119F"/>
    <w:rsid w:val="005420BF"/>
    <w:rsid w:val="00543AA7"/>
    <w:rsid w:val="00544E86"/>
    <w:rsid w:val="0055692E"/>
    <w:rsid w:val="00557761"/>
    <w:rsid w:val="00564AC8"/>
    <w:rsid w:val="00565D00"/>
    <w:rsid w:val="00571095"/>
    <w:rsid w:val="00574F8D"/>
    <w:rsid w:val="005817E2"/>
    <w:rsid w:val="00582B6E"/>
    <w:rsid w:val="005839AE"/>
    <w:rsid w:val="00592DCE"/>
    <w:rsid w:val="00595160"/>
    <w:rsid w:val="00597D6F"/>
    <w:rsid w:val="005A17FB"/>
    <w:rsid w:val="005A2C6D"/>
    <w:rsid w:val="005A7163"/>
    <w:rsid w:val="005B0C57"/>
    <w:rsid w:val="005B1FE4"/>
    <w:rsid w:val="005C0014"/>
    <w:rsid w:val="005C15B4"/>
    <w:rsid w:val="005C2ECE"/>
    <w:rsid w:val="005D69E7"/>
    <w:rsid w:val="005E208F"/>
    <w:rsid w:val="005E3C81"/>
    <w:rsid w:val="005E5C6B"/>
    <w:rsid w:val="005E6150"/>
    <w:rsid w:val="005E6CD4"/>
    <w:rsid w:val="005E7C15"/>
    <w:rsid w:val="005F71B2"/>
    <w:rsid w:val="00600E15"/>
    <w:rsid w:val="00601A90"/>
    <w:rsid w:val="006025EF"/>
    <w:rsid w:val="00604300"/>
    <w:rsid w:val="00604D38"/>
    <w:rsid w:val="0060545F"/>
    <w:rsid w:val="00610344"/>
    <w:rsid w:val="00622394"/>
    <w:rsid w:val="00624AED"/>
    <w:rsid w:val="00625C08"/>
    <w:rsid w:val="00626FB8"/>
    <w:rsid w:val="006308EE"/>
    <w:rsid w:val="006340DE"/>
    <w:rsid w:val="00636C2C"/>
    <w:rsid w:val="0063766D"/>
    <w:rsid w:val="0064362D"/>
    <w:rsid w:val="00644055"/>
    <w:rsid w:val="0065125A"/>
    <w:rsid w:val="006519A0"/>
    <w:rsid w:val="0065211B"/>
    <w:rsid w:val="00657AAA"/>
    <w:rsid w:val="0066331F"/>
    <w:rsid w:val="00663461"/>
    <w:rsid w:val="00666785"/>
    <w:rsid w:val="00671DF5"/>
    <w:rsid w:val="0068070F"/>
    <w:rsid w:val="00680F3F"/>
    <w:rsid w:val="00680FBA"/>
    <w:rsid w:val="006838DF"/>
    <w:rsid w:val="00684418"/>
    <w:rsid w:val="0068470F"/>
    <w:rsid w:val="00685A4A"/>
    <w:rsid w:val="006902E0"/>
    <w:rsid w:val="0069412E"/>
    <w:rsid w:val="006971DE"/>
    <w:rsid w:val="006A52F6"/>
    <w:rsid w:val="006B5791"/>
    <w:rsid w:val="006B65FC"/>
    <w:rsid w:val="006C20EF"/>
    <w:rsid w:val="006C2E87"/>
    <w:rsid w:val="006D111A"/>
    <w:rsid w:val="006D7202"/>
    <w:rsid w:val="006E326C"/>
    <w:rsid w:val="006E558D"/>
    <w:rsid w:val="006E7B8F"/>
    <w:rsid w:val="006F18B5"/>
    <w:rsid w:val="006F63B8"/>
    <w:rsid w:val="00705E97"/>
    <w:rsid w:val="00707592"/>
    <w:rsid w:val="00717523"/>
    <w:rsid w:val="007203AE"/>
    <w:rsid w:val="00722ED0"/>
    <w:rsid w:val="00723CAC"/>
    <w:rsid w:val="00726BF6"/>
    <w:rsid w:val="007273A3"/>
    <w:rsid w:val="00742310"/>
    <w:rsid w:val="007519B6"/>
    <w:rsid w:val="00756E34"/>
    <w:rsid w:val="007612FD"/>
    <w:rsid w:val="0076281B"/>
    <w:rsid w:val="00770603"/>
    <w:rsid w:val="00773E6E"/>
    <w:rsid w:val="00776EF7"/>
    <w:rsid w:val="0077721C"/>
    <w:rsid w:val="007821EF"/>
    <w:rsid w:val="007913C9"/>
    <w:rsid w:val="007A0280"/>
    <w:rsid w:val="007A0A58"/>
    <w:rsid w:val="007A3F77"/>
    <w:rsid w:val="007A75AC"/>
    <w:rsid w:val="007B11A3"/>
    <w:rsid w:val="007B7AA4"/>
    <w:rsid w:val="007C5912"/>
    <w:rsid w:val="007C6895"/>
    <w:rsid w:val="007D3AC6"/>
    <w:rsid w:val="007D4134"/>
    <w:rsid w:val="007D5F47"/>
    <w:rsid w:val="007E027A"/>
    <w:rsid w:val="007E2DFA"/>
    <w:rsid w:val="007E6306"/>
    <w:rsid w:val="007E7AB6"/>
    <w:rsid w:val="007F0CFA"/>
    <w:rsid w:val="007F0DD8"/>
    <w:rsid w:val="007F0E7C"/>
    <w:rsid w:val="00801464"/>
    <w:rsid w:val="00801A78"/>
    <w:rsid w:val="00807805"/>
    <w:rsid w:val="008106A4"/>
    <w:rsid w:val="00810F09"/>
    <w:rsid w:val="008162F0"/>
    <w:rsid w:val="008169EF"/>
    <w:rsid w:val="008260A1"/>
    <w:rsid w:val="008335DB"/>
    <w:rsid w:val="00834A4E"/>
    <w:rsid w:val="00846D67"/>
    <w:rsid w:val="00847600"/>
    <w:rsid w:val="0085187E"/>
    <w:rsid w:val="0085620C"/>
    <w:rsid w:val="00856A74"/>
    <w:rsid w:val="00862DE0"/>
    <w:rsid w:val="0086332E"/>
    <w:rsid w:val="00874BFB"/>
    <w:rsid w:val="008813BC"/>
    <w:rsid w:val="008820ED"/>
    <w:rsid w:val="00882A81"/>
    <w:rsid w:val="008833C9"/>
    <w:rsid w:val="00883C16"/>
    <w:rsid w:val="00886681"/>
    <w:rsid w:val="008869F0"/>
    <w:rsid w:val="00886D10"/>
    <w:rsid w:val="008A066F"/>
    <w:rsid w:val="008A16AD"/>
    <w:rsid w:val="008A466E"/>
    <w:rsid w:val="008B567D"/>
    <w:rsid w:val="008C6769"/>
    <w:rsid w:val="008D0407"/>
    <w:rsid w:val="008D68EA"/>
    <w:rsid w:val="008E4E6D"/>
    <w:rsid w:val="008E5540"/>
    <w:rsid w:val="008E604D"/>
    <w:rsid w:val="008E6598"/>
    <w:rsid w:val="008E7422"/>
    <w:rsid w:val="008F49D6"/>
    <w:rsid w:val="008F6DDB"/>
    <w:rsid w:val="00915E28"/>
    <w:rsid w:val="00920B85"/>
    <w:rsid w:val="0092441A"/>
    <w:rsid w:val="009249EA"/>
    <w:rsid w:val="0092506A"/>
    <w:rsid w:val="009253F7"/>
    <w:rsid w:val="00925D6A"/>
    <w:rsid w:val="009302DB"/>
    <w:rsid w:val="00933053"/>
    <w:rsid w:val="00937C5E"/>
    <w:rsid w:val="00943521"/>
    <w:rsid w:val="00945075"/>
    <w:rsid w:val="00946964"/>
    <w:rsid w:val="00953C9D"/>
    <w:rsid w:val="0095598F"/>
    <w:rsid w:val="00970AE6"/>
    <w:rsid w:val="0097712C"/>
    <w:rsid w:val="00980E73"/>
    <w:rsid w:val="009817FE"/>
    <w:rsid w:val="00982061"/>
    <w:rsid w:val="0098369F"/>
    <w:rsid w:val="00983AB3"/>
    <w:rsid w:val="00992329"/>
    <w:rsid w:val="009967F1"/>
    <w:rsid w:val="009A274E"/>
    <w:rsid w:val="009B08C7"/>
    <w:rsid w:val="009B0A6F"/>
    <w:rsid w:val="009B5BBA"/>
    <w:rsid w:val="009C1A6D"/>
    <w:rsid w:val="009C3FB6"/>
    <w:rsid w:val="009D0E4A"/>
    <w:rsid w:val="009E6698"/>
    <w:rsid w:val="009F2E61"/>
    <w:rsid w:val="009F5853"/>
    <w:rsid w:val="009F7C91"/>
    <w:rsid w:val="00A01757"/>
    <w:rsid w:val="00A02BCC"/>
    <w:rsid w:val="00A20534"/>
    <w:rsid w:val="00A22214"/>
    <w:rsid w:val="00A239D4"/>
    <w:rsid w:val="00A33A95"/>
    <w:rsid w:val="00A4150F"/>
    <w:rsid w:val="00A4257E"/>
    <w:rsid w:val="00A51947"/>
    <w:rsid w:val="00A70333"/>
    <w:rsid w:val="00AA77D1"/>
    <w:rsid w:val="00AA7A39"/>
    <w:rsid w:val="00AB3D0D"/>
    <w:rsid w:val="00AC07C1"/>
    <w:rsid w:val="00AC16C7"/>
    <w:rsid w:val="00AD5C4D"/>
    <w:rsid w:val="00AD66F4"/>
    <w:rsid w:val="00AE1145"/>
    <w:rsid w:val="00AE29E8"/>
    <w:rsid w:val="00AE3C44"/>
    <w:rsid w:val="00AE5BAE"/>
    <w:rsid w:val="00AE6DEF"/>
    <w:rsid w:val="00AF0081"/>
    <w:rsid w:val="00AF0521"/>
    <w:rsid w:val="00AF18BD"/>
    <w:rsid w:val="00AF32C0"/>
    <w:rsid w:val="00B0078F"/>
    <w:rsid w:val="00B01F9E"/>
    <w:rsid w:val="00B0602E"/>
    <w:rsid w:val="00B10A82"/>
    <w:rsid w:val="00B11473"/>
    <w:rsid w:val="00B15B70"/>
    <w:rsid w:val="00B16E69"/>
    <w:rsid w:val="00B24446"/>
    <w:rsid w:val="00B26519"/>
    <w:rsid w:val="00B2689C"/>
    <w:rsid w:val="00B3327E"/>
    <w:rsid w:val="00B36D25"/>
    <w:rsid w:val="00B37049"/>
    <w:rsid w:val="00B37F00"/>
    <w:rsid w:val="00B45E7C"/>
    <w:rsid w:val="00B4746D"/>
    <w:rsid w:val="00B5740D"/>
    <w:rsid w:val="00B6015E"/>
    <w:rsid w:val="00B6260C"/>
    <w:rsid w:val="00B6298A"/>
    <w:rsid w:val="00B703E3"/>
    <w:rsid w:val="00B753F4"/>
    <w:rsid w:val="00B846A9"/>
    <w:rsid w:val="00B84A34"/>
    <w:rsid w:val="00B855D1"/>
    <w:rsid w:val="00B92846"/>
    <w:rsid w:val="00B93E58"/>
    <w:rsid w:val="00BA4610"/>
    <w:rsid w:val="00BA5A11"/>
    <w:rsid w:val="00BB017A"/>
    <w:rsid w:val="00BB46DA"/>
    <w:rsid w:val="00BC0BD0"/>
    <w:rsid w:val="00BC4C99"/>
    <w:rsid w:val="00BC7BF4"/>
    <w:rsid w:val="00BD2BCA"/>
    <w:rsid w:val="00BD7CBD"/>
    <w:rsid w:val="00BE60A5"/>
    <w:rsid w:val="00BE757C"/>
    <w:rsid w:val="00BF4CCE"/>
    <w:rsid w:val="00C036E0"/>
    <w:rsid w:val="00C06821"/>
    <w:rsid w:val="00C10AEE"/>
    <w:rsid w:val="00C20759"/>
    <w:rsid w:val="00C226AE"/>
    <w:rsid w:val="00C230AF"/>
    <w:rsid w:val="00C24895"/>
    <w:rsid w:val="00C27354"/>
    <w:rsid w:val="00C307D0"/>
    <w:rsid w:val="00C311FD"/>
    <w:rsid w:val="00C44EED"/>
    <w:rsid w:val="00C46E68"/>
    <w:rsid w:val="00C527F7"/>
    <w:rsid w:val="00C52B00"/>
    <w:rsid w:val="00C65435"/>
    <w:rsid w:val="00C6590D"/>
    <w:rsid w:val="00C72CC1"/>
    <w:rsid w:val="00C75183"/>
    <w:rsid w:val="00C76041"/>
    <w:rsid w:val="00C76E1A"/>
    <w:rsid w:val="00C85138"/>
    <w:rsid w:val="00C855F6"/>
    <w:rsid w:val="00CA0082"/>
    <w:rsid w:val="00CA2903"/>
    <w:rsid w:val="00CA5130"/>
    <w:rsid w:val="00CA61CB"/>
    <w:rsid w:val="00CB01D4"/>
    <w:rsid w:val="00CB13F8"/>
    <w:rsid w:val="00CB256D"/>
    <w:rsid w:val="00CB371B"/>
    <w:rsid w:val="00CB514A"/>
    <w:rsid w:val="00CB5CC8"/>
    <w:rsid w:val="00CC51B2"/>
    <w:rsid w:val="00CD4557"/>
    <w:rsid w:val="00CD73E1"/>
    <w:rsid w:val="00CE633A"/>
    <w:rsid w:val="00CE711D"/>
    <w:rsid w:val="00CF1DEF"/>
    <w:rsid w:val="00CF59A1"/>
    <w:rsid w:val="00CF61AB"/>
    <w:rsid w:val="00D0124F"/>
    <w:rsid w:val="00D03785"/>
    <w:rsid w:val="00D05028"/>
    <w:rsid w:val="00D0521E"/>
    <w:rsid w:val="00D07A9B"/>
    <w:rsid w:val="00D12334"/>
    <w:rsid w:val="00D16C81"/>
    <w:rsid w:val="00D17577"/>
    <w:rsid w:val="00D20A84"/>
    <w:rsid w:val="00D42DFA"/>
    <w:rsid w:val="00D42F7F"/>
    <w:rsid w:val="00D57E67"/>
    <w:rsid w:val="00D609D1"/>
    <w:rsid w:val="00D64352"/>
    <w:rsid w:val="00D671F3"/>
    <w:rsid w:val="00D71F0F"/>
    <w:rsid w:val="00D7238F"/>
    <w:rsid w:val="00D7625F"/>
    <w:rsid w:val="00D80268"/>
    <w:rsid w:val="00D83294"/>
    <w:rsid w:val="00D83FD2"/>
    <w:rsid w:val="00D8703D"/>
    <w:rsid w:val="00D91288"/>
    <w:rsid w:val="00D92591"/>
    <w:rsid w:val="00D943F0"/>
    <w:rsid w:val="00D94F95"/>
    <w:rsid w:val="00D979CF"/>
    <w:rsid w:val="00DA03CA"/>
    <w:rsid w:val="00DA105E"/>
    <w:rsid w:val="00DA3267"/>
    <w:rsid w:val="00DA660D"/>
    <w:rsid w:val="00DB6F0D"/>
    <w:rsid w:val="00DC13C6"/>
    <w:rsid w:val="00DD2ADC"/>
    <w:rsid w:val="00DE0A14"/>
    <w:rsid w:val="00DE36A6"/>
    <w:rsid w:val="00DE6F3D"/>
    <w:rsid w:val="00DF071A"/>
    <w:rsid w:val="00DF647F"/>
    <w:rsid w:val="00DF72BD"/>
    <w:rsid w:val="00E019D0"/>
    <w:rsid w:val="00E03960"/>
    <w:rsid w:val="00E16DF2"/>
    <w:rsid w:val="00E2431D"/>
    <w:rsid w:val="00E30F7F"/>
    <w:rsid w:val="00E35D7D"/>
    <w:rsid w:val="00E367E0"/>
    <w:rsid w:val="00E464C1"/>
    <w:rsid w:val="00E60789"/>
    <w:rsid w:val="00E62AB4"/>
    <w:rsid w:val="00E65176"/>
    <w:rsid w:val="00E73AFB"/>
    <w:rsid w:val="00E743E0"/>
    <w:rsid w:val="00E762E3"/>
    <w:rsid w:val="00E837E0"/>
    <w:rsid w:val="00E905C5"/>
    <w:rsid w:val="00E92484"/>
    <w:rsid w:val="00E9557B"/>
    <w:rsid w:val="00E96EF4"/>
    <w:rsid w:val="00EA3E7D"/>
    <w:rsid w:val="00ED26A9"/>
    <w:rsid w:val="00ED3C7E"/>
    <w:rsid w:val="00ED5894"/>
    <w:rsid w:val="00ED6360"/>
    <w:rsid w:val="00ED73CC"/>
    <w:rsid w:val="00EE08A1"/>
    <w:rsid w:val="00EE0AF6"/>
    <w:rsid w:val="00EE12FC"/>
    <w:rsid w:val="00EE139F"/>
    <w:rsid w:val="00EE1E0C"/>
    <w:rsid w:val="00EE435A"/>
    <w:rsid w:val="00EE4796"/>
    <w:rsid w:val="00EF0EC4"/>
    <w:rsid w:val="00EF5D89"/>
    <w:rsid w:val="00EF690C"/>
    <w:rsid w:val="00F041DC"/>
    <w:rsid w:val="00F0574F"/>
    <w:rsid w:val="00F05780"/>
    <w:rsid w:val="00F0592C"/>
    <w:rsid w:val="00F10A21"/>
    <w:rsid w:val="00F13037"/>
    <w:rsid w:val="00F148C4"/>
    <w:rsid w:val="00F16466"/>
    <w:rsid w:val="00F344AB"/>
    <w:rsid w:val="00F421BA"/>
    <w:rsid w:val="00F43A46"/>
    <w:rsid w:val="00F4466D"/>
    <w:rsid w:val="00F4501F"/>
    <w:rsid w:val="00F47A13"/>
    <w:rsid w:val="00F52DBD"/>
    <w:rsid w:val="00F744B4"/>
    <w:rsid w:val="00F76CDE"/>
    <w:rsid w:val="00F76DA6"/>
    <w:rsid w:val="00F77520"/>
    <w:rsid w:val="00F8112C"/>
    <w:rsid w:val="00F81986"/>
    <w:rsid w:val="00F86567"/>
    <w:rsid w:val="00F86D67"/>
    <w:rsid w:val="00F9785B"/>
    <w:rsid w:val="00FA08A2"/>
    <w:rsid w:val="00FA58CA"/>
    <w:rsid w:val="00FB145B"/>
    <w:rsid w:val="00FC6A34"/>
    <w:rsid w:val="00FD387D"/>
    <w:rsid w:val="00FD4AE0"/>
    <w:rsid w:val="00FD4CEA"/>
    <w:rsid w:val="00FF00A7"/>
    <w:rsid w:val="00FF318C"/>
    <w:rsid w:val="00FF7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6AA7"/>
  <w15:chartTrackingRefBased/>
  <w15:docId w15:val="{9BE76C82-4BCF-4B21-A807-A858C7EB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6AE"/>
    <w:pPr>
      <w:ind w:left="720"/>
      <w:contextualSpacing/>
    </w:pPr>
  </w:style>
  <w:style w:type="character" w:styleId="Strong">
    <w:name w:val="Strong"/>
    <w:basedOn w:val="DefaultParagraphFont"/>
    <w:uiPriority w:val="22"/>
    <w:qFormat/>
    <w:rsid w:val="00AE1145"/>
    <w:rPr>
      <w:b/>
      <w:bCs/>
    </w:rPr>
  </w:style>
  <w:style w:type="character" w:styleId="Emphasis">
    <w:name w:val="Emphasis"/>
    <w:basedOn w:val="DefaultParagraphFont"/>
    <w:uiPriority w:val="20"/>
    <w:qFormat/>
    <w:rsid w:val="00CB514A"/>
    <w:rPr>
      <w:i/>
      <w:iCs/>
    </w:rPr>
  </w:style>
  <w:style w:type="paragraph" w:customStyle="1" w:styleId="Body">
    <w:name w:val="Body"/>
    <w:rsid w:val="00CA61CB"/>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paragraph" w:styleId="Header">
    <w:name w:val="header"/>
    <w:basedOn w:val="Normal"/>
    <w:link w:val="HeaderChar"/>
    <w:uiPriority w:val="99"/>
    <w:unhideWhenUsed/>
    <w:rsid w:val="008A4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66E"/>
  </w:style>
  <w:style w:type="paragraph" w:styleId="Footer">
    <w:name w:val="footer"/>
    <w:basedOn w:val="Normal"/>
    <w:link w:val="FooterChar"/>
    <w:uiPriority w:val="99"/>
    <w:unhideWhenUsed/>
    <w:rsid w:val="008A4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66E"/>
  </w:style>
  <w:style w:type="character" w:styleId="PageNumber">
    <w:name w:val="page number"/>
    <w:basedOn w:val="DefaultParagraphFont"/>
    <w:uiPriority w:val="99"/>
    <w:semiHidden/>
    <w:unhideWhenUsed/>
    <w:rsid w:val="008A466E"/>
  </w:style>
  <w:style w:type="paragraph" w:styleId="BalloonText">
    <w:name w:val="Balloon Text"/>
    <w:basedOn w:val="Normal"/>
    <w:link w:val="BalloonTextChar"/>
    <w:uiPriority w:val="99"/>
    <w:semiHidden/>
    <w:unhideWhenUsed/>
    <w:rsid w:val="000C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9E"/>
    <w:rPr>
      <w:rFonts w:ascii="Segoe UI" w:hAnsi="Segoe UI" w:cs="Segoe UI"/>
      <w:sz w:val="18"/>
      <w:szCs w:val="18"/>
    </w:rPr>
  </w:style>
  <w:style w:type="character" w:styleId="CommentReference">
    <w:name w:val="annotation reference"/>
    <w:basedOn w:val="DefaultParagraphFont"/>
    <w:uiPriority w:val="99"/>
    <w:semiHidden/>
    <w:unhideWhenUsed/>
    <w:rsid w:val="00E60789"/>
    <w:rPr>
      <w:sz w:val="16"/>
      <w:szCs w:val="16"/>
    </w:rPr>
  </w:style>
  <w:style w:type="paragraph" w:styleId="CommentText">
    <w:name w:val="annotation text"/>
    <w:basedOn w:val="Normal"/>
    <w:link w:val="CommentTextChar"/>
    <w:uiPriority w:val="99"/>
    <w:semiHidden/>
    <w:unhideWhenUsed/>
    <w:rsid w:val="00E60789"/>
    <w:pPr>
      <w:spacing w:line="240" w:lineRule="auto"/>
    </w:pPr>
    <w:rPr>
      <w:sz w:val="20"/>
      <w:szCs w:val="20"/>
    </w:rPr>
  </w:style>
  <w:style w:type="character" w:customStyle="1" w:styleId="CommentTextChar">
    <w:name w:val="Comment Text Char"/>
    <w:basedOn w:val="DefaultParagraphFont"/>
    <w:link w:val="CommentText"/>
    <w:uiPriority w:val="99"/>
    <w:semiHidden/>
    <w:rsid w:val="00E60789"/>
    <w:rPr>
      <w:sz w:val="20"/>
      <w:szCs w:val="20"/>
    </w:rPr>
  </w:style>
  <w:style w:type="paragraph" w:styleId="CommentSubject">
    <w:name w:val="annotation subject"/>
    <w:basedOn w:val="CommentText"/>
    <w:next w:val="CommentText"/>
    <w:link w:val="CommentSubjectChar"/>
    <w:uiPriority w:val="99"/>
    <w:semiHidden/>
    <w:unhideWhenUsed/>
    <w:rsid w:val="00E60789"/>
    <w:rPr>
      <w:b/>
      <w:bCs/>
    </w:rPr>
  </w:style>
  <w:style w:type="character" w:customStyle="1" w:styleId="CommentSubjectChar">
    <w:name w:val="Comment Subject Char"/>
    <w:basedOn w:val="CommentTextChar"/>
    <w:link w:val="CommentSubject"/>
    <w:uiPriority w:val="99"/>
    <w:semiHidden/>
    <w:rsid w:val="00E60789"/>
    <w:rPr>
      <w:b/>
      <w:bCs/>
      <w:sz w:val="20"/>
      <w:szCs w:val="20"/>
    </w:rPr>
  </w:style>
  <w:style w:type="character" w:styleId="Hyperlink">
    <w:name w:val="Hyperlink"/>
    <w:basedOn w:val="DefaultParagraphFont"/>
    <w:uiPriority w:val="99"/>
    <w:unhideWhenUsed/>
    <w:rsid w:val="0018799B"/>
    <w:rPr>
      <w:color w:val="0563C1" w:themeColor="hyperlink"/>
      <w:u w:val="single"/>
    </w:rPr>
  </w:style>
  <w:style w:type="character" w:styleId="UnresolvedMention">
    <w:name w:val="Unresolved Mention"/>
    <w:basedOn w:val="DefaultParagraphFont"/>
    <w:uiPriority w:val="99"/>
    <w:rsid w:val="00187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66227">
      <w:bodyDiv w:val="1"/>
      <w:marLeft w:val="0"/>
      <w:marRight w:val="0"/>
      <w:marTop w:val="0"/>
      <w:marBottom w:val="0"/>
      <w:divBdr>
        <w:top w:val="none" w:sz="0" w:space="0" w:color="auto"/>
        <w:left w:val="none" w:sz="0" w:space="0" w:color="auto"/>
        <w:bottom w:val="none" w:sz="0" w:space="0" w:color="auto"/>
        <w:right w:val="none" w:sz="0" w:space="0" w:color="auto"/>
      </w:divBdr>
    </w:div>
    <w:div w:id="314838174">
      <w:bodyDiv w:val="1"/>
      <w:marLeft w:val="0"/>
      <w:marRight w:val="0"/>
      <w:marTop w:val="0"/>
      <w:marBottom w:val="0"/>
      <w:divBdr>
        <w:top w:val="none" w:sz="0" w:space="0" w:color="auto"/>
        <w:left w:val="none" w:sz="0" w:space="0" w:color="auto"/>
        <w:bottom w:val="none" w:sz="0" w:space="0" w:color="auto"/>
        <w:right w:val="none" w:sz="0" w:space="0" w:color="auto"/>
      </w:divBdr>
    </w:div>
    <w:div w:id="521285356">
      <w:bodyDiv w:val="1"/>
      <w:marLeft w:val="0"/>
      <w:marRight w:val="0"/>
      <w:marTop w:val="0"/>
      <w:marBottom w:val="0"/>
      <w:divBdr>
        <w:top w:val="none" w:sz="0" w:space="0" w:color="auto"/>
        <w:left w:val="none" w:sz="0" w:space="0" w:color="auto"/>
        <w:bottom w:val="none" w:sz="0" w:space="0" w:color="auto"/>
        <w:right w:val="none" w:sz="0" w:space="0" w:color="auto"/>
      </w:divBdr>
    </w:div>
    <w:div w:id="11913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tfc-scim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STFC</Company>
  <LinksUpToDate>false</LinksUpToDate>
  <CharactersWithSpaces>7456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Thiyagalingam, Jeyan (STFC,RAL,SC)</dc:creator>
  <cp:keywords/>
  <dc:description/>
  <cp:lastModifiedBy>Thiyagalingam, Jeyan (STFC,RAL,SC)</cp:lastModifiedBy>
  <cp:revision>10</cp:revision>
  <cp:lastPrinted>2019-12-14T03:15:00Z</cp:lastPrinted>
  <dcterms:created xsi:type="dcterms:W3CDTF">2021-05-23T21:37:00Z</dcterms:created>
  <dcterms:modified xsi:type="dcterms:W3CDTF">2021-05-23T22:20:00Z</dcterms:modified>
  <cp:category/>
</cp:coreProperties>
</file>