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Bdr>
          <w:top w:val="single" w:color="1F3A5F" w:sz="48" w:space="0"/>
          <w:left w:val="single" w:color="1F3A5F" w:sz="64" w:space="0"/>
          <w:right w:val="single" w:color="1F3A5F" w:sz="64" w:space="0"/>
        </w:pBdr>
        <w:shd w:fill="1F3A5F" w:color="auto" w:val="clear"/>
        <w:spacing w:after="0"/>
        <w:jc w:val="left"/>
      </w:pPr>
      <w:r>
        <w:rPr>
          <w:color w:val="FFFFFF"/>
        </w:rPr>
        <w:t xml:space="preserve">Eden Astronomy Society</w:t>
      </w:r>
    </w:p>
    <w:p>
      <w:pPr>
        <w:pStyle w:val="Normal"/>
        <w:pBdr>
          <w:left w:val="single" w:color="1F3A5F" w:sz="64" w:space="0"/>
          <w:bottom w:val="single" w:color="1F3A5F" w:sz="48" w:space="0"/>
          <w:right w:val="single" w:color="1F3A5F" w:sz="64" w:space="0"/>
        </w:pBdr>
        <w:shd w:fill="1F3A5F" w:color="auto" w:val="clear"/>
        <w:spacing w:after="200"/>
        <w:jc w:val="left"/>
      </w:pPr>
      <w:r>
        <w:rPr>
          <w:color w:val="FFFFFF"/>
        </w:rPr>
        <w:t xml:space="preserve">NEWSLETTER  ·  ISSUE 3/2026  ·  SEPTEMBER 2026</w:t>
      </w:r>
    </w:p>
    <w:p>
      <w:pPr>
        <w:pStyle w:val="Normal"/>
        <w:spacing w:after="160"/>
      </w:pPr>
      <w:r>
        <w:rPr>
          <w:i/>
          <w:iCs/>
        </w:rPr>
        <w:t xml:space="preserve">Dear members and friends,</w:t>
      </w:r>
      <w:r>
        <w:br/>
      </w:r>
      <w:r>
        <w:rPr>
          <w:i/>
          <w:iCs/>
        </w:rPr>
        <w:t xml:space="preserve">the short nights are over, and with September our observing season begins. In this issue we look back at the solar eclipse of 12 August, invite you to a talk on the return to the Moon, and present the treasurer’s report for the first half of the year. Clear skies, the committee.</w:t>
      </w:r>
    </w:p>
    <w:p>
      <w:pPr>
        <w:sectPr>
          <w:footerReference w:type="default" r:id="rId7"/>
          <w:footnotePr>
            <w:pos w:val="pageBottom"/>
            <w:numFmt w:val="decimal"/>
            <w:numStart w:val="1"/>
            <w:numRestart w:val="continuous"/>
          </w:footnotePr>
          <w:endnotePr>
            <w:pos w:val="docEnd"/>
            <w:numFmt w:val="lowerRoman"/>
            <w:numStart w:val="1"/>
            <w:numRestart w:val="continuous"/>
          </w:endnotePr>
          <w:pgSz w:w="11906" w:h="16838" w:orient="portrait"/>
          <w:pgMar w:top="850" w:right="850" w:bottom="850" w:left="850" w:header="454" w:footer="454" w:gutter="0"/>
          <w:pgNumType/>
          <w:docGrid w:linePitch="360"/>
        </w:sectPr>
      </w:pPr>
    </w:p>
    <w:p>
      <w:pPr>
        <w:pStyle w:val="Heading2"/>
        <w:outlineLvl w:val="1"/>
      </w:pPr>
      <w:r>
        <w:t xml:space="preserve">Talk: Back to the Moon</w:t>
      </w:r>
    </w:p>
    <w:p>
      <w:pPr>
        <w:pStyle w:val="Normal"/>
      </w:pPr>
      <w:r>
        <w:t xml:space="preserve">On 26 September Dr Miriam Falk of the city planetarium speaks about the Artemis missions and about what has changed in technology and ambition since Apollo. The talk starts at 7:30 pm in the society rooms; admission is free, and a donation towards the speaker’s travel is welcome.</w:t>
      </w:r>
    </w:p>
    <w:p>
      <w:pPr>
        <w:pStyle w:val="Normal"/>
        <w:spacing w:after="0"/>
        <w:jc w:val="center"/>
      </w:pPr>
      <w:r>
        <w:drawing>
          <wp:inline distT="0" distB="0" distL="0" distR="0">
            <wp:extent cx="3028950" cy="3133725"/>
            <wp:effectExtent t="0" r="0" b="0" l="0"/>
            <wp:docPr id="1" name="Buzz Aldrin beside the flag" descr="Buzz Aldrin beside the flag" title="Buzz Aldrin beside the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28950" cy="3133725"/>
                    </a:xfrm>
                    <a:prstGeom prst="rect">
                      <a:avLst/>
                    </a:prstGeom>
                  </pic:spPr>
                </pic:pic>
              </a:graphicData>
            </a:graphic>
          </wp:inline>
        </w:drawing>
      </w:r>
    </w:p>
    <w:p>
      <w:pPr>
        <w:pStyle w:val="Caption"/>
      </w:pPr>
      <w:r>
        <w:t xml:space="preserve">Figure </w:t>
      </w:r>
      <w:fldSimple w:instr="SEQ Figure \* ARABIC">
        <w:r>
          <w:t xml:space="preserve">1</w:t>
        </w:r>
      </w:fldSimple>
      <w:r>
        <w:t xml:space="preserve">: Edwin “Buzz” Aldrin beside the flag, Apollo 11, July 1969. Photo: NASA.</w:t>
      </w:r>
    </w:p>
    <w:p>
      <w:pPr>
        <w:pStyle w:val="Normal"/>
      </w:pPr>
      <w:r>
        <w:t xml:space="preserve">For those who want to prepare: the society archive holds the original photographs of the landings in high resolution, along with maps of the landing sites. The 8-inch Newtonian shows the regions well on a waxing Moon, best two or three days after first quarter, when the terminator runs across the Sea of Tranquillity.</w:t>
      </w:r>
    </w:p>
    <w:p>
      <w:pPr>
        <w:pStyle w:val="Heading2"/>
        <w:outlineLvl w:val="1"/>
      </w:pPr>
      <w:r>
        <w:t xml:space="preserve">Looking back: the eclipse in Spain</w:t>
      </w:r>
    </w:p>
    <w:p>
      <w:pPr>
        <w:pStyle w:val="Normal"/>
      </w:pPr>
      <w:r>
        <w:t xml:space="preserve">Fourteen members travelled to northern Spain for the total solar eclipse on 12 August. After an overcast morning the sky cleared an hour before second contact, and the one minute and forty seconds of totality were seen in full from the high ground near Burgos. The corona showed three long streamers, and a prominence on the eastern limb was visible to the naked eye.</w:t>
      </w:r>
    </w:p>
    <w:p>
      <w:pPr>
        <w:pStyle w:val="Normal"/>
      </w:pPr>
      <w:r>
        <w:t xml:space="preserve">The group’s photographs are on the members’ pages of the website. A slide show follows at the members’ evening in December.</w:t>
      </w:r>
    </w:p>
    <w:p>
      <w:pPr>
        <w:pStyle w:val="Heading2"/>
        <w:outlineLvl w:val="1"/>
      </w:pPr>
      <w:r>
        <w:t xml:space="preserve">Picture of the month</w:t>
      </w:r>
    </w:p>
    <w:p>
      <w:pPr>
        <w:pStyle w:val="Normal"/>
        <w:spacing w:after="0"/>
        <w:jc w:val="center"/>
      </w:pPr>
      <w:r>
        <w:drawing>
          <wp:inline distT="0" distB="0" distL="0" distR="0">
            <wp:extent cx="2476500" cy="2476500"/>
            <wp:effectExtent t="0" r="0" b="0" l="0"/>
            <wp:docPr id="1" name="Earthrise over the Moon" descr="Earthrise over the Moon" title="Earthrise over the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476500"/>
                    </a:xfrm>
                    <a:prstGeom prst="rect">
                      <a:avLst/>
                    </a:prstGeom>
                  </pic:spPr>
                </pic:pic>
              </a:graphicData>
            </a:graphic>
          </wp:inline>
        </w:drawing>
      </w:r>
    </w:p>
    <w:p>
      <w:pPr>
        <w:pStyle w:val="Caption"/>
      </w:pPr>
      <w:r>
        <w:t xml:space="preserve">Figure </w:t>
      </w:r>
      <w:fldSimple w:instr="SEQ Figure \* ARABIC">
        <w:r>
          <w:t xml:space="preserve">2</w:t>
        </w:r>
      </w:fldSimple>
      <w:r>
        <w:t xml:space="preserve">: Earthrise, photographed from Apollo 8 on 24 December 1968. Photo: NASA.</w:t>
      </w:r>
    </w:p>
    <w:p>
      <w:pPr>
        <w:pStyle w:val="Normal"/>
      </w:pPr>
      <w:r>
        <w:t xml:space="preserve">This month not a picture from the observatory but a historic one: the Earthrise that William Anders photographed in 1968 on the fourth orbit of the Moon. It fits the theme of the talk, and it is a reminder of why we look up in the first place.</w:t>
      </w:r>
    </w:p>
    <w:p>
      <w:pPr>
        <w:sectPr>
          <w:footnotePr>
            <w:pos w:val="pageBottom"/>
            <w:numFmt w:val="decimal"/>
            <w:numStart w:val="1"/>
            <w:numRestart w:val="continuous"/>
          </w:footnotePr>
          <w:endnotePr>
            <w:pos w:val="docEnd"/>
            <w:numFmt w:val="lowerRoman"/>
            <w:numStart w:val="1"/>
            <w:numRestart w:val="continuous"/>
          </w:endnotePr>
          <w:type w:val="continuous"/>
          <w:pgSz w:w="11906" w:h="16838" w:orient="portrait"/>
          <w:pgMar w:top="850" w:right="850" w:bottom="850" w:left="850" w:header="454" w:footer="454" w:gutter="0"/>
          <w:pgNumType/>
          <w:cols w:space="454" w:num="2" w:equalWidth="true"/>
          <w:docGrid w:linePitch="360"/>
        </w:sectPr>
      </w:pPr>
    </w:p>
    <w:p>
      <w:pPr>
        <w:pStyle w:val="Heading2"/>
        <w:outlineLvl w:val="1"/>
      </w:pPr>
      <w:r>
        <w:t xml:space="preserve">Observing nights this autumn</w:t>
      </w:r>
    </w:p>
    <w:p>
      <w:pPr>
        <w:pStyle w:val="Normal"/>
      </w:pPr>
      <w:r>
        <w:t xml:space="preserve">Observing nights take place at the Oak Hill observatory whenever the sky is clear. Whether an evening goes ahead is decided by the leader by 5 pm; the announcement is then on the website and in the members’ group. Dress warmly and bring a red torch.</w:t>
      </w:r>
    </w:p>
    <w:tbl>
      <w:tblPr>
        <w:tblStyle w:val="ListTableAccent"/>
        <w:tblW w:type="dxa" w:w="10205"/>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108"/>
          <w:bottom w:type="dxa" w:w="0"/>
          <w:right w:type="dxa" w:w="108"/>
        </w:tblCellMar>
        <w:tblLook w:firstRow="true" w:lastRow="false" w:firstColumn="true" w:lastColumn="false" w:noHBand="false" w:noVBand="true"/>
      </w:tblPr>
      <w:tblGrid>
        <w:gridCol w:w="1811"/>
        <w:gridCol w:w="3950"/>
        <w:gridCol w:w="2798"/>
        <w:gridCol w:w="1646"/>
      </w:tblGrid>
      <w:tr>
        <w:trPr>
          <w:tblHeader/>
        </w:trPr>
        <w:tc>
          <w:tcPr>
            <w:tcW w:type="dxa" w:w="1811"/>
            <w:tcBorders>
              <w:top w:val="nil" w:color="auto" w:sz="0"/>
              <w:left w:val="nil" w:color="auto" w:sz="0"/>
              <w:bottom w:val="single" w:color="4472C4" w:sz="8"/>
              <w:right w:val="nil" w:color="auto" w:sz="0"/>
            </w:tcBorders>
            <w:shd w:fill="B4C6E7" w:val="clear"/>
          </w:tcPr>
          <w:p>
            <w:pPr>
              <w:pStyle w:val="Normal"/>
              <w:spacing w:after="0" w:before="0"/>
            </w:pPr>
            <w:r>
              <w:rPr>
                <w:b/>
                <w:bCs/>
                <w:color w:val="4472C4"/>
              </w:rPr>
              <w:t xml:space="preserve">Date</w:t>
            </w:r>
          </w:p>
        </w:tc>
        <w:tc>
          <w:tcPr>
            <w:tcW w:type="dxa" w:w="3950"/>
            <w:tcBorders>
              <w:top w:val="nil" w:color="auto" w:sz="0"/>
              <w:left w:val="nil" w:color="auto" w:sz="0"/>
              <w:bottom w:val="single" w:color="4472C4" w:sz="8"/>
              <w:right w:val="nil" w:color="auto" w:sz="0"/>
            </w:tcBorders>
          </w:tcPr>
          <w:p>
            <w:pPr>
              <w:pStyle w:val="Normal"/>
              <w:spacing w:after="0" w:before="0"/>
            </w:pPr>
            <w:r>
              <w:rPr>
                <w:b/>
                <w:bCs/>
                <w:color w:val="4472C4"/>
              </w:rPr>
              <w:t xml:space="preserve">Objects</w:t>
            </w:r>
          </w:p>
        </w:tc>
        <w:tc>
          <w:tcPr>
            <w:tcW w:type="dxa" w:w="2798"/>
            <w:tcBorders>
              <w:top w:val="nil" w:color="auto" w:sz="0"/>
              <w:left w:val="nil" w:color="auto" w:sz="0"/>
              <w:bottom w:val="single" w:color="4472C4" w:sz="8"/>
              <w:right w:val="nil" w:color="auto" w:sz="0"/>
            </w:tcBorders>
          </w:tcPr>
          <w:p>
            <w:pPr>
              <w:pStyle w:val="Normal"/>
              <w:spacing w:after="0" w:before="0"/>
            </w:pPr>
            <w:r>
              <w:rPr>
                <w:b/>
                <w:bCs/>
                <w:color w:val="4472C4"/>
              </w:rPr>
              <w:t xml:space="preserve">Instrument</w:t>
            </w:r>
          </w:p>
        </w:tc>
        <w:tc>
          <w:tcPr>
            <w:tcW w:type="dxa" w:w="1646"/>
            <w:tcBorders>
              <w:top w:val="nil" w:color="auto" w:sz="0"/>
              <w:left w:val="nil" w:color="auto" w:sz="0"/>
              <w:bottom w:val="single" w:color="4472C4" w:sz="8"/>
              <w:right w:val="nil" w:color="auto" w:sz="0"/>
            </w:tcBorders>
          </w:tcPr>
          <w:p>
            <w:pPr>
              <w:pStyle w:val="Normal"/>
              <w:spacing w:after="0" w:before="0"/>
            </w:pPr>
            <w:r>
              <w:rPr>
                <w:b/>
                <w:bCs/>
                <w:color w:val="4472C4"/>
              </w:rPr>
              <w:t xml:space="preserve">Led by</w:t>
            </w:r>
          </w:p>
        </w:tc>
      </w:tr>
      <w:tr>
        <w:tc>
          <w:tcPr>
            <w:tcW w:type="dxa" w:w="1811"/>
            <w:tcBorders>
              <w:top w:val="single" w:color="4472C4" w:sz="8"/>
              <w:left w:val="nil" w:color="auto" w:sz="0"/>
              <w:bottom w:val="single" w:color="000000" w:sz="4"/>
              <w:right w:val="nil" w:color="auto" w:sz="0"/>
            </w:tcBorders>
            <w:shd w:fill="B4C6E7" w:val="clear"/>
          </w:tcPr>
          <w:p>
            <w:pPr>
              <w:pStyle w:val="Normal"/>
              <w:spacing w:after="0" w:before="0"/>
            </w:pPr>
            <w:r>
              <w:rPr>
                <w:b/>
                <w:bCs/>
              </w:rPr>
              <w:t xml:space="preserve">19 September</w:t>
            </w:r>
          </w:p>
        </w:tc>
        <w:tc>
          <w:tcPr>
            <w:tcW w:type="dxa" w:w="3950"/>
            <w:tcBorders>
              <w:top w:val="single" w:color="4472C4" w:sz="8"/>
              <w:left w:val="nil" w:color="auto" w:sz="0"/>
              <w:bottom w:val="single" w:color="000000" w:sz="4"/>
              <w:right w:val="nil" w:color="auto" w:sz="0"/>
            </w:tcBorders>
            <w:shd w:fill="D9E2F3" w:val="clear"/>
          </w:tcPr>
          <w:p>
            <w:pPr>
              <w:pStyle w:val="Normal"/>
              <w:spacing w:after="0" w:before="0"/>
            </w:pPr>
            <w:r>
              <w:t xml:space="preserve">Saturn, Neptune</w:t>
            </w:r>
          </w:p>
        </w:tc>
        <w:tc>
          <w:tcPr>
            <w:tcW w:type="dxa" w:w="2798"/>
            <w:tcBorders>
              <w:top w:val="single" w:color="4472C4" w:sz="8"/>
              <w:left w:val="nil" w:color="auto" w:sz="0"/>
              <w:bottom w:val="single" w:color="000000" w:sz="4"/>
              <w:right w:val="nil" w:color="auto" w:sz="0"/>
            </w:tcBorders>
            <w:shd w:fill="D9E2F3" w:val="clear"/>
          </w:tcPr>
          <w:p>
            <w:pPr>
              <w:pStyle w:val="Normal"/>
              <w:spacing w:after="0" w:before="0"/>
            </w:pPr>
            <w:r>
              <w:t xml:space="preserve">8-inch Newtonian</w:t>
            </w:r>
          </w:p>
        </w:tc>
        <w:tc>
          <w:tcPr>
            <w:tcW w:type="dxa" w:w="1646"/>
            <w:tcBorders>
              <w:top w:val="single" w:color="4472C4" w:sz="8"/>
              <w:left w:val="nil" w:color="auto" w:sz="0"/>
              <w:bottom w:val="single" w:color="000000" w:sz="4"/>
              <w:right w:val="nil" w:color="auto" w:sz="0"/>
            </w:tcBorders>
            <w:shd w:fill="D9E2F3" w:val="clear"/>
          </w:tcPr>
          <w:p>
            <w:pPr>
              <w:pStyle w:val="Normal"/>
              <w:spacing w:after="0" w:before="0"/>
            </w:pPr>
            <w:r>
              <w:t xml:space="preserve">K. Brandt</w:t>
            </w:r>
          </w:p>
        </w:tc>
      </w:tr>
      <w:tr>
        <w:tc>
          <w:tcPr>
            <w:tcW w:type="dxa" w:w="1811"/>
            <w:tcBorders>
              <w:top w:val="single" w:color="000000" w:sz="4"/>
              <w:left w:val="nil" w:color="auto" w:sz="0"/>
              <w:bottom w:val="single" w:color="000000" w:sz="4"/>
              <w:right w:val="nil" w:color="auto" w:sz="0"/>
            </w:tcBorders>
            <w:shd w:fill="B4C6E7" w:val="clear"/>
          </w:tcPr>
          <w:p>
            <w:pPr>
              <w:pStyle w:val="Normal"/>
              <w:spacing w:after="0" w:before="0"/>
            </w:pPr>
            <w:r>
              <w:rPr>
                <w:b/>
                <w:bCs/>
              </w:rPr>
              <w:t xml:space="preserve">3 October</w:t>
            </w:r>
          </w:p>
        </w:tc>
        <w:tc>
          <w:tcPr>
            <w:tcW w:type="dxa" w:w="3950"/>
            <w:tcBorders>
              <w:top w:val="single" w:color="000000" w:sz="4"/>
              <w:left w:val="nil" w:color="auto" w:sz="0"/>
              <w:bottom w:val="single" w:color="000000" w:sz="4"/>
              <w:right w:val="nil" w:color="auto" w:sz="0"/>
            </w:tcBorders>
          </w:tcPr>
          <w:p>
            <w:pPr>
              <w:pStyle w:val="Normal"/>
              <w:spacing w:after="0" w:before="0"/>
            </w:pPr>
            <w:r>
              <w:t xml:space="preserve">Andromeda Galaxy, the Double Cluster</w:t>
            </w:r>
          </w:p>
        </w:tc>
        <w:tc>
          <w:tcPr>
            <w:tcW w:type="dxa" w:w="2798"/>
            <w:tcBorders>
              <w:top w:val="single" w:color="000000" w:sz="4"/>
              <w:left w:val="nil" w:color="auto" w:sz="0"/>
              <w:bottom w:val="single" w:color="000000" w:sz="4"/>
              <w:right w:val="nil" w:color="auto" w:sz="0"/>
            </w:tcBorders>
          </w:tcPr>
          <w:p>
            <w:pPr>
              <w:pStyle w:val="Normal"/>
              <w:spacing w:after="0" w:before="0"/>
            </w:pPr>
            <w:r>
              <w:t xml:space="preserve">Binoculars, refractor</w:t>
            </w:r>
          </w:p>
        </w:tc>
        <w:tc>
          <w:tcPr>
            <w:tcW w:type="dxa" w:w="1646"/>
            <w:tcBorders>
              <w:top w:val="single" w:color="000000" w:sz="4"/>
              <w:left w:val="nil" w:color="auto" w:sz="0"/>
              <w:bottom w:val="single" w:color="000000" w:sz="4"/>
              <w:right w:val="nil" w:color="auto" w:sz="0"/>
            </w:tcBorders>
          </w:tcPr>
          <w:p>
            <w:pPr>
              <w:pStyle w:val="Normal"/>
              <w:spacing w:after="0" w:before="0"/>
            </w:pPr>
            <w:r>
              <w:t xml:space="preserve">S. Öztürk</w:t>
            </w:r>
          </w:p>
        </w:tc>
      </w:tr>
      <w:tr>
        <w:tc>
          <w:tcPr>
            <w:tcW w:type="dxa" w:w="1811"/>
            <w:tcBorders>
              <w:top w:val="single" w:color="000000" w:sz="4"/>
              <w:left w:val="nil" w:color="auto" w:sz="0"/>
              <w:bottom w:val="single" w:color="000000" w:sz="4"/>
              <w:right w:val="nil" w:color="auto" w:sz="0"/>
            </w:tcBorders>
            <w:shd w:fill="B4C6E7" w:val="clear"/>
          </w:tcPr>
          <w:p>
            <w:pPr>
              <w:pStyle w:val="Normal"/>
              <w:spacing w:after="0" w:before="0"/>
            </w:pPr>
            <w:r>
              <w:rPr>
                <w:b/>
                <w:bCs/>
              </w:rPr>
              <w:t xml:space="preserve">17 October</w:t>
            </w:r>
          </w:p>
        </w:tc>
        <w:tc>
          <w:tcPr>
            <w:tcW w:type="dxa" w:w="3950"/>
            <w:tcBorders>
              <w:top w:val="single" w:color="000000" w:sz="4"/>
              <w:left w:val="nil" w:color="auto" w:sz="0"/>
              <w:bottom w:val="single" w:color="000000" w:sz="4"/>
              <w:right w:val="nil" w:color="auto" w:sz="0"/>
            </w:tcBorders>
            <w:shd w:fill="D9E2F3" w:val="clear"/>
          </w:tcPr>
          <w:p>
            <w:pPr>
              <w:pStyle w:val="Normal"/>
              <w:spacing w:after="0" w:before="0"/>
            </w:pPr>
            <w:r>
              <w:t xml:space="preserve">Moon (waxing), Jupiter</w:t>
            </w:r>
          </w:p>
        </w:tc>
        <w:tc>
          <w:tcPr>
            <w:tcW w:type="dxa" w:w="2798"/>
            <w:tcBorders>
              <w:top w:val="single" w:color="000000" w:sz="4"/>
              <w:left w:val="nil" w:color="auto" w:sz="0"/>
              <w:bottom w:val="single" w:color="000000" w:sz="4"/>
              <w:right w:val="nil" w:color="auto" w:sz="0"/>
            </w:tcBorders>
            <w:shd w:fill="D9E2F3" w:val="clear"/>
          </w:tcPr>
          <w:p>
            <w:pPr>
              <w:pStyle w:val="Normal"/>
              <w:spacing w:after="0" w:before="0"/>
            </w:pPr>
            <w:r>
              <w:t xml:space="preserve">8-inch Newtonian</w:t>
            </w:r>
          </w:p>
        </w:tc>
        <w:tc>
          <w:tcPr>
            <w:tcW w:type="dxa" w:w="1646"/>
            <w:tcBorders>
              <w:top w:val="single" w:color="000000" w:sz="4"/>
              <w:left w:val="nil" w:color="auto" w:sz="0"/>
              <w:bottom w:val="single" w:color="000000" w:sz="4"/>
              <w:right w:val="nil" w:color="auto" w:sz="0"/>
            </w:tcBorders>
            <w:shd w:fill="D9E2F3" w:val="clear"/>
          </w:tcPr>
          <w:p>
            <w:pPr>
              <w:pStyle w:val="Normal"/>
              <w:spacing w:after="0" w:before="0"/>
            </w:pPr>
            <w:r>
              <w:t xml:space="preserve">K. Brandt</w:t>
            </w:r>
          </w:p>
        </w:tc>
      </w:tr>
      <w:tr>
        <w:tc>
          <w:tcPr>
            <w:tcW w:type="dxa" w:w="1811"/>
            <w:tcBorders>
              <w:top w:val="single" w:color="000000" w:sz="4"/>
              <w:left w:val="nil" w:color="auto" w:sz="0"/>
              <w:bottom w:val="single" w:color="000000" w:sz="4"/>
              <w:right w:val="nil" w:color="auto" w:sz="0"/>
            </w:tcBorders>
            <w:shd w:fill="B4C6E7" w:val="clear"/>
          </w:tcPr>
          <w:p>
            <w:pPr>
              <w:pStyle w:val="Normal"/>
              <w:spacing w:after="0" w:before="0"/>
            </w:pPr>
            <w:r>
              <w:rPr>
                <w:b/>
                <w:bCs/>
              </w:rPr>
              <w:t xml:space="preserve">31 October</w:t>
            </w:r>
          </w:p>
        </w:tc>
        <w:tc>
          <w:tcPr>
            <w:tcW w:type="dxa" w:w="3950"/>
            <w:tcBorders>
              <w:top w:val="single" w:color="000000" w:sz="4"/>
              <w:left w:val="nil" w:color="auto" w:sz="0"/>
              <w:bottom w:val="single" w:color="000000" w:sz="4"/>
              <w:right w:val="nil" w:color="auto" w:sz="0"/>
            </w:tcBorders>
          </w:tcPr>
          <w:p>
            <w:pPr>
              <w:pStyle w:val="Normal"/>
              <w:spacing w:after="0" w:before="0"/>
            </w:pPr>
            <w:r>
              <w:t xml:space="preserve">Pleiades, Orion Nebula</w:t>
            </w:r>
          </w:p>
        </w:tc>
        <w:tc>
          <w:tcPr>
            <w:tcW w:type="dxa" w:w="2798"/>
            <w:tcBorders>
              <w:top w:val="single" w:color="000000" w:sz="4"/>
              <w:left w:val="nil" w:color="auto" w:sz="0"/>
              <w:bottom w:val="single" w:color="000000" w:sz="4"/>
              <w:right w:val="nil" w:color="auto" w:sz="0"/>
            </w:tcBorders>
          </w:tcPr>
          <w:p>
            <w:pPr>
              <w:pStyle w:val="Normal"/>
              <w:spacing w:after="0" w:before="0"/>
            </w:pPr>
            <w:r>
              <w:t xml:space="preserve">Refractor</w:t>
            </w:r>
          </w:p>
        </w:tc>
        <w:tc>
          <w:tcPr>
            <w:tcW w:type="dxa" w:w="1646"/>
            <w:tcBorders>
              <w:top w:val="single" w:color="000000" w:sz="4"/>
              <w:left w:val="nil" w:color="auto" w:sz="0"/>
              <w:bottom w:val="single" w:color="000000" w:sz="4"/>
              <w:right w:val="nil" w:color="auto" w:sz="0"/>
            </w:tcBorders>
          </w:tcPr>
          <w:p>
            <w:pPr>
              <w:pStyle w:val="Normal"/>
              <w:spacing w:after="0" w:before="0"/>
            </w:pPr>
            <w:r>
              <w:t xml:space="preserve">A. Lindgren</w:t>
            </w:r>
          </w:p>
        </w:tc>
      </w:tr>
      <w:tr>
        <w:tc>
          <w:tcPr>
            <w:tcW w:type="dxa" w:w="1811"/>
            <w:tcBorders>
              <w:top w:val="single" w:color="000000" w:sz="4"/>
              <w:left w:val="nil" w:color="auto" w:sz="0"/>
              <w:bottom w:val="nil" w:color="auto" w:sz="0"/>
              <w:right w:val="nil" w:color="auto" w:sz="0"/>
            </w:tcBorders>
            <w:shd w:fill="B4C6E7" w:val="clear"/>
          </w:tcPr>
          <w:p>
            <w:pPr>
              <w:pStyle w:val="Normal"/>
              <w:spacing w:after="0" w:before="0"/>
            </w:pPr>
            <w:r>
              <w:rPr>
                <w:b/>
                <w:bCs/>
              </w:rPr>
              <w:t xml:space="preserve">14 November</w:t>
            </w:r>
          </w:p>
        </w:tc>
        <w:tc>
          <w:tcPr>
            <w:tcW w:type="dxa" w:w="3950"/>
            <w:tcBorders>
              <w:top w:val="single" w:color="000000" w:sz="4"/>
              <w:left w:val="nil" w:color="auto" w:sz="0"/>
              <w:bottom w:val="nil" w:color="auto" w:sz="0"/>
              <w:right w:val="nil" w:color="auto" w:sz="0"/>
            </w:tcBorders>
            <w:shd w:fill="D9E2F3" w:val="clear"/>
          </w:tcPr>
          <w:p>
            <w:pPr>
              <w:pStyle w:val="Normal"/>
              <w:spacing w:after="0" w:before="0"/>
            </w:pPr>
            <w:r>
              <w:t xml:space="preserve">Leonids, Uranus</w:t>
            </w:r>
          </w:p>
        </w:tc>
        <w:tc>
          <w:tcPr>
            <w:tcW w:type="dxa" w:w="2798"/>
            <w:tcBorders>
              <w:top w:val="single" w:color="000000" w:sz="4"/>
              <w:left w:val="nil" w:color="auto" w:sz="0"/>
              <w:bottom w:val="nil" w:color="auto" w:sz="0"/>
              <w:right w:val="nil" w:color="auto" w:sz="0"/>
            </w:tcBorders>
            <w:shd w:fill="D9E2F3" w:val="clear"/>
          </w:tcPr>
          <w:p>
            <w:pPr>
              <w:pStyle w:val="Normal"/>
              <w:spacing w:after="0" w:before="0"/>
            </w:pPr>
            <w:r>
              <w:t xml:space="preserve">Binoculars</w:t>
            </w:r>
          </w:p>
        </w:tc>
        <w:tc>
          <w:tcPr>
            <w:tcW w:type="dxa" w:w="1646"/>
            <w:tcBorders>
              <w:top w:val="single" w:color="000000" w:sz="4"/>
              <w:left w:val="nil" w:color="auto" w:sz="0"/>
              <w:bottom w:val="nil" w:color="auto" w:sz="0"/>
              <w:right w:val="nil" w:color="auto" w:sz="0"/>
            </w:tcBorders>
            <w:shd w:fill="D9E2F3" w:val="clear"/>
          </w:tcPr>
          <w:p>
            <w:pPr>
              <w:pStyle w:val="Normal"/>
              <w:spacing w:after="0" w:before="0"/>
            </w:pPr>
            <w:r>
              <w:t xml:space="preserve">S. Öztürk</w:t>
            </w:r>
          </w:p>
        </w:tc>
      </w:tr>
    </w:tbl>
    <w:p>
      <w:pPr>
        <w:pStyle w:val="Normal"/>
        <w:spacing w:after="40"/>
      </w:pPr>
    </w:p>
    <w:p>
      <w:pPr>
        <w:pStyle w:val="Normal"/>
      </w:pPr>
      <w:r>
        <w:t xml:space="preserve">For the Leonids on 14 November we meet at 11 pm; the meteors are most frequent after midnight. Members bringing their own telescope will find power sockets on the east side of the observatory.</w:t>
      </w:r>
    </w:p>
    <w:p>
      <w:pPr>
        <w:pStyle w:val="Heading2"/>
        <w:outlineLvl w:val="1"/>
      </w:pPr>
      <w:r>
        <w:t xml:space="preserve">Treasurer’s report, first half of 2026</w:t>
      </w:r>
    </w:p>
    <w:p>
      <w:pPr>
        <w:pStyle w:val="Normal"/>
      </w:pPr>
      <w:r>
        <w:drawing>
          <wp:anchor xmlns:wp="http://schemas.openxmlformats.org/drawingml/2006/wordprocessingDrawing" distT="0" distB="0" distL="144000" distR="144000" simplePos="0" relativeHeight="251658240" behindDoc="0" locked="0" layoutInCell="1" allowOverlap="0">
            <wp:simplePos x="0" y="0"/>
            <wp:positionH relativeFrom="margin">
              <wp:align>right</wp:align>
            </wp:positionH>
            <wp:positionV relativeFrom="paragraph">
              <wp:posOffset>635</wp:posOffset>
            </wp:positionV>
            <wp:extent cx="2000250" cy="2247900"/>
            <wp:wrapSquare wrapText="left"/>
            <wp:docPr id="9001" name="TextBox1"/>
            <a:graphic xmlns:a="http://schemas.openxmlformats.org/drawingml/2006/main">
              <a:graphicData uri="http://schemas.microsoft.com/office/word/2010/wordprocessingShape">
                <wps:wsp xmlns:wps="http://schemas.microsoft.com/office/word/2010/wordprocessingShape">
                  <wps:cNvSpPr txBox="1"/>
                  <wps:spPr>
                    <a:xfrm>
                      <a:off x="0" y="0"/>
                      <a:ext cx="2000250" cy="2247900"/>
                    </a:xfrm>
                    <a:prstGeom prst="rect">
                      <a:avLst/>
                    </a:prstGeom>
                    <a:solidFill>
                      <a:srgbClr val="EEF3F8"/>
                    </a:solidFill>
                    <a:ln w="9525">
                      <a:solidFill>
                        <a:srgbClr val="1F3A5F"/>
                      </a:solidFill>
                    </a:ln>
                  </wps:spPr>
                  <wps:txbx>
                    <w:txbxContent>
                      <w:p>
                        <w:pPr>
                          <w:spacing w:after="80"/>
                        </w:pPr>
                        <w:r>
                          <w:rPr>
                            <w:b/>
                            <w:color w:val="1F3A5F"/>
                          </w:rPr>
                          <w:t xml:space="preserve">Dates this autumn</w:t>
                        </w:r>
                      </w:p>
                      <w:p>
                        <w:pPr>
                          <w:numPr>
                            <w:ilvl w:val="0"/>
                            <w:numId w:val="2"/>
                          </w:numPr>
                        </w:pPr>
                        <w:r>
                          <w:rPr>
                            <w:b/>
                          </w:rPr>
                          <w:t xml:space="preserve">12 September</w:t>
                        </w:r>
                        <w:r>
                          <w:br/>
                        </w:r>
                        <w:r>
                          <w:t xml:space="preserve">Members’ evening, 7:30 pm</w:t>
                        </w:r>
                      </w:p>
                      <w:p>
                        <w:pPr>
                          <w:numPr>
                            <w:ilvl w:val="0"/>
                            <w:numId w:val="2"/>
                          </w:numPr>
                        </w:pPr>
                        <w:r>
                          <w:rPr>
                            <w:b/>
                          </w:rPr>
                          <w:t xml:space="preserve">26 September</w:t>
                        </w:r>
                        <w:r>
                          <w:br/>
                        </w:r>
                        <w:r>
                          <w:t xml:space="preserve">Talk: “Back to the Moon”</w:t>
                        </w:r>
                      </w:p>
                      <w:p>
                        <w:pPr>
                          <w:numPr>
                            <w:ilvl w:val="0"/>
                            <w:numId w:val="2"/>
                          </w:numPr>
                        </w:pPr>
                        <w:r>
                          <w:rPr>
                            <w:b/>
                          </w:rPr>
                          <w:t xml:space="preserve">10 October</w:t>
                        </w:r>
                        <w:r>
                          <w:br/>
                        </w:r>
                        <w:r>
                          <w:t xml:space="preserve">Public observing night, observatory</w:t>
                        </w:r>
                      </w:p>
                      <w:p>
                        <w:pPr>
                          <w:numPr>
                            <w:ilvl w:val="0"/>
                            <w:numId w:val="2"/>
                          </w:numPr>
                        </w:pPr>
                        <w:r>
                          <w:rPr>
                            <w:b/>
                          </w:rPr>
                          <w:t xml:space="preserve">7 November</w:t>
                        </w:r>
                        <w:r>
                          <w:br/>
                        </w:r>
                        <w:r>
                          <w:t xml:space="preserve">Annual general meeting</w:t>
                        </w:r>
                      </w:p>
                      <w:p>
                        <w:pPr>
                          <w:spacing w:before="80"/>
                        </w:pPr>
                        <w:r>
                          <w:rPr>
                            <w:i/>
                          </w:rPr>
                          <w:t xml:space="preserve">Guests are welcome at every event.</w:t>
                        </w:r>
                      </w:p>
                    </w:txbxContent>
                  </wps:txbx>
                  <wps:bodyPr rot="0" vert="horz" wrap="square" lIns="54000" tIns="54000" rIns="54000" bIns="54000" anchor="t">
                    <a:noAutofit/>
                  </wps:bodyPr>
                </wps:wsp>
              </a:graphicData>
            </a:graphic>
          </wp:anchor>
        </w:drawing>
      </w:r>
      <w:r>
        <w:t xml:space="preserve">The society is on a sound footing. Subscriptions cover the running costs; the telescope service was a one-off expense met from the reserve. The totals in the table are computed from the individual items.</w:t>
      </w:r>
    </w:p>
    <w:tbl>
      <w:tblPr>
        <w:tblStyle w:val="Financial"/>
        <w:tblW w:type="dxa" w:w="10205"/>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108"/>
          <w:bottom w:type="dxa" w:w="0"/>
          <w:right w:type="dxa" w:w="108"/>
        </w:tblCellMar>
        <w:tblLook w:firstRow="true" w:lastRow="true" w:firstColumn="true" w:lastColumn="false" w:noHBand="true" w:noVBand="true"/>
      </w:tblPr>
      <w:tblGrid>
        <w:gridCol w:w="4639"/>
        <w:gridCol w:w="2783"/>
        <w:gridCol w:w="2783"/>
      </w:tblGrid>
      <w:tr>
        <w:trPr>
          <w:tblHeader/>
        </w:trPr>
        <w:tc>
          <w:tcPr>
            <w:tcW w:type="dxa" w:w="4639"/>
            <w:tcBorders>
              <w:top w:val="single" w:color="000000" w:sz="8"/>
              <w:left w:val="nil" w:color="auto" w:sz="0"/>
              <w:bottom w:val="single" w:color="000000" w:sz="6"/>
              <w:right w:val="nil" w:color="auto" w:sz="0"/>
            </w:tcBorders>
          </w:tcPr>
          <w:p>
            <w:pPr>
              <w:pStyle w:val="Normal"/>
              <w:spacing w:after="0" w:before="0"/>
            </w:pPr>
            <w:r>
              <w:rPr>
                <w:b/>
                <w:bCs/>
              </w:rPr>
              <w:t xml:space="preserve">Item</w:t>
            </w:r>
          </w:p>
        </w:tc>
        <w:tc>
          <w:tcPr>
            <w:tcW w:type="dxa" w:w="2783"/>
            <w:tcBorders>
              <w:top w:val="single" w:color="000000" w:sz="8"/>
              <w:left w:val="nil" w:color="auto" w:sz="0"/>
              <w:bottom w:val="single" w:color="000000" w:sz="6"/>
              <w:right w:val="nil" w:color="auto" w:sz="0"/>
            </w:tcBorders>
          </w:tcPr>
          <w:p>
            <w:pPr>
              <w:pStyle w:val="Normal"/>
              <w:spacing w:after="0" w:before="0"/>
            </w:pPr>
            <w:r>
              <w:rPr>
                <w:b/>
                <w:bCs/>
              </w:rPr>
              <w:t xml:space="preserve">Income (€)</w:t>
            </w:r>
          </w:p>
        </w:tc>
        <w:tc>
          <w:tcPr>
            <w:tcW w:type="dxa" w:w="2783"/>
            <w:tcBorders>
              <w:top w:val="single" w:color="000000" w:sz="8"/>
              <w:left w:val="nil" w:color="auto" w:sz="0"/>
              <w:bottom w:val="single" w:color="000000" w:sz="6"/>
              <w:right w:val="nil" w:color="auto" w:sz="0"/>
            </w:tcBorders>
          </w:tcPr>
          <w:p>
            <w:pPr>
              <w:pStyle w:val="Normal"/>
              <w:spacing w:after="0" w:before="0"/>
            </w:pPr>
            <w:r>
              <w:rPr>
                <w:b/>
                <w:bCs/>
              </w:rPr>
              <w:t xml:space="preserve">Expenditure (€)</w:t>
            </w:r>
          </w:p>
        </w:tc>
      </w:tr>
      <w:tr>
        <w:tc>
          <w:tcPr>
            <w:tcW w:type="dxa" w:w="4639"/>
            <w:tcBorders>
              <w:top w:val="single" w:color="000000" w:sz="6"/>
              <w:left w:val="nil" w:color="auto" w:sz="0"/>
              <w:bottom w:val="nil" w:color="auto" w:sz="0"/>
              <w:right w:val="nil" w:color="auto" w:sz="0"/>
            </w:tcBorders>
          </w:tcPr>
          <w:p>
            <w:pPr>
              <w:pStyle w:val="Normal"/>
              <w:spacing w:after="0" w:before="0"/>
            </w:pPr>
            <w:r>
              <w:rPr>
                <w:b/>
                <w:bCs/>
              </w:rPr>
              <w:t xml:space="preserve">Subscriptions</w:t>
            </w:r>
          </w:p>
        </w:tc>
        <w:tc>
          <w:tcPr>
            <w:tcW w:type="dxa" w:w="2783"/>
            <w:tcBorders>
              <w:top w:val="single" w:color="000000" w:sz="6"/>
              <w:left w:val="nil" w:color="auto" w:sz="0"/>
              <w:bottom w:val="nil" w:color="auto" w:sz="0"/>
              <w:right w:val="nil" w:color="auto" w:sz="0"/>
            </w:tcBorders>
          </w:tcPr>
          <w:p>
            <w:pPr>
              <w:pStyle w:val="Normal"/>
              <w:spacing w:after="0" w:before="0"/>
              <w:jc w:val="right"/>
            </w:pPr>
            <w:r>
              <w:t xml:space="preserve">2450.00</w:t>
            </w:r>
          </w:p>
        </w:tc>
        <w:tc>
          <w:tcPr>
            <w:tcW w:type="dxa" w:w="2783"/>
            <w:tcBorders>
              <w:top w:val="single" w:color="000000" w:sz="6"/>
              <w:left w:val="nil" w:color="auto" w:sz="0"/>
              <w:bottom w:val="nil" w:color="auto" w:sz="0"/>
              <w:right w:val="nil" w:color="auto" w:sz="0"/>
            </w:tcBorders>
          </w:tcPr>
          <w:p>
            <w:pPr>
              <w:pStyle w:val="Normal"/>
              <w:spacing w:after="0" w:before="0"/>
              <w:jc w:val="right"/>
            </w:pPr>
          </w:p>
        </w:tc>
      </w:tr>
      <w:tr>
        <w:tc>
          <w:tcPr>
            <w:tcW w:type="dxa" w:w="4639"/>
            <w:tcBorders>
              <w:top w:val="nil" w:color="auto" w:sz="0"/>
              <w:left w:val="nil" w:color="auto" w:sz="0"/>
              <w:bottom w:val="nil" w:color="auto" w:sz="0"/>
              <w:right w:val="nil" w:color="auto" w:sz="0"/>
            </w:tcBorders>
          </w:tcPr>
          <w:p>
            <w:pPr>
              <w:pStyle w:val="Normal"/>
              <w:spacing w:after="0" w:before="0"/>
            </w:pPr>
            <w:r>
              <w:rPr>
                <w:b/>
                <w:bCs/>
              </w:rPr>
              <w:t xml:space="preserve">Donations</w:t>
            </w:r>
          </w:p>
        </w:tc>
        <w:tc>
          <w:tcPr>
            <w:tcW w:type="dxa" w:w="2783"/>
            <w:tcBorders>
              <w:top w:val="nil" w:color="auto" w:sz="0"/>
              <w:left w:val="nil" w:color="auto" w:sz="0"/>
              <w:bottom w:val="nil" w:color="auto" w:sz="0"/>
              <w:right w:val="nil" w:color="auto" w:sz="0"/>
            </w:tcBorders>
          </w:tcPr>
          <w:p>
            <w:pPr>
              <w:pStyle w:val="Normal"/>
              <w:spacing w:after="0" w:before="0"/>
              <w:jc w:val="right"/>
            </w:pPr>
            <w:r>
              <w:t xml:space="preserve">380.00</w:t>
            </w:r>
          </w:p>
        </w:tc>
        <w:tc>
          <w:tcPr>
            <w:tcW w:type="dxa" w:w="2783"/>
            <w:tcBorders>
              <w:top w:val="nil" w:color="auto" w:sz="0"/>
              <w:left w:val="nil" w:color="auto" w:sz="0"/>
              <w:bottom w:val="nil" w:color="auto" w:sz="0"/>
              <w:right w:val="nil" w:color="auto" w:sz="0"/>
            </w:tcBorders>
          </w:tcPr>
          <w:p>
            <w:pPr>
              <w:pStyle w:val="Normal"/>
              <w:spacing w:after="0" w:before="0"/>
              <w:jc w:val="right"/>
            </w:pPr>
          </w:p>
        </w:tc>
      </w:tr>
      <w:tr>
        <w:tc>
          <w:tcPr>
            <w:tcW w:type="dxa" w:w="4639"/>
            <w:tcBorders>
              <w:top w:val="nil" w:color="auto" w:sz="0"/>
              <w:left w:val="nil" w:color="auto" w:sz="0"/>
              <w:bottom w:val="nil" w:color="auto" w:sz="0"/>
              <w:right w:val="nil" w:color="auto" w:sz="0"/>
            </w:tcBorders>
          </w:tcPr>
          <w:p>
            <w:pPr>
              <w:pStyle w:val="Normal"/>
              <w:spacing w:after="0" w:before="0"/>
            </w:pPr>
            <w:r>
              <w:rPr>
                <w:b/>
                <w:bCs/>
              </w:rPr>
              <w:t xml:space="preserve">Talks and events</w:t>
            </w:r>
          </w:p>
        </w:tc>
        <w:tc>
          <w:tcPr>
            <w:tcW w:type="dxa" w:w="2783"/>
            <w:tcBorders>
              <w:top w:val="nil" w:color="auto" w:sz="0"/>
              <w:left w:val="nil" w:color="auto" w:sz="0"/>
              <w:bottom w:val="nil" w:color="auto" w:sz="0"/>
              <w:right w:val="nil" w:color="auto" w:sz="0"/>
            </w:tcBorders>
          </w:tcPr>
          <w:p>
            <w:pPr>
              <w:pStyle w:val="Normal"/>
              <w:spacing w:after="0" w:before="0"/>
              <w:jc w:val="right"/>
            </w:pPr>
            <w:r>
              <w:t xml:space="preserve">215.50</w:t>
            </w:r>
          </w:p>
        </w:tc>
        <w:tc>
          <w:tcPr>
            <w:tcW w:type="dxa" w:w="2783"/>
            <w:tcBorders>
              <w:top w:val="nil" w:color="auto" w:sz="0"/>
              <w:left w:val="nil" w:color="auto" w:sz="0"/>
              <w:bottom w:val="nil" w:color="auto" w:sz="0"/>
              <w:right w:val="nil" w:color="auto" w:sz="0"/>
            </w:tcBorders>
          </w:tcPr>
          <w:p>
            <w:pPr>
              <w:pStyle w:val="Normal"/>
              <w:spacing w:after="0" w:before="0"/>
              <w:jc w:val="right"/>
            </w:pPr>
          </w:p>
        </w:tc>
      </w:tr>
      <w:tr>
        <w:tc>
          <w:tcPr>
            <w:tcW w:type="dxa" w:w="4639"/>
            <w:tcBorders>
              <w:top w:val="nil" w:color="auto" w:sz="0"/>
              <w:left w:val="nil" w:color="auto" w:sz="0"/>
              <w:bottom w:val="nil" w:color="auto" w:sz="0"/>
              <w:right w:val="nil" w:color="auto" w:sz="0"/>
            </w:tcBorders>
          </w:tcPr>
          <w:p>
            <w:pPr>
              <w:pStyle w:val="Normal"/>
              <w:spacing w:after="0" w:before="0"/>
            </w:pPr>
            <w:r>
              <w:rPr>
                <w:b/>
                <w:bCs/>
              </w:rPr>
              <w:t xml:space="preserve">Telescope service</w:t>
            </w:r>
          </w:p>
        </w:tc>
        <w:tc>
          <w:tcPr>
            <w:tcW w:type="dxa" w:w="2783"/>
            <w:tcBorders>
              <w:top w:val="nil" w:color="auto" w:sz="0"/>
              <w:left w:val="nil" w:color="auto" w:sz="0"/>
              <w:bottom w:val="nil" w:color="auto" w:sz="0"/>
              <w:right w:val="nil" w:color="auto" w:sz="0"/>
            </w:tcBorders>
          </w:tcPr>
          <w:p>
            <w:pPr>
              <w:pStyle w:val="Normal"/>
              <w:spacing w:after="0" w:before="0"/>
              <w:jc w:val="right"/>
            </w:pPr>
          </w:p>
        </w:tc>
        <w:tc>
          <w:tcPr>
            <w:tcW w:type="dxa" w:w="2783"/>
            <w:tcBorders>
              <w:top w:val="nil" w:color="auto" w:sz="0"/>
              <w:left w:val="nil" w:color="auto" w:sz="0"/>
              <w:bottom w:val="nil" w:color="auto" w:sz="0"/>
              <w:right w:val="nil" w:color="auto" w:sz="0"/>
            </w:tcBorders>
          </w:tcPr>
          <w:p>
            <w:pPr>
              <w:pStyle w:val="Normal"/>
              <w:spacing w:after="0" w:before="0"/>
              <w:jc w:val="right"/>
            </w:pPr>
            <w:r>
              <w:t xml:space="preserve">640.00</w:t>
            </w:r>
          </w:p>
        </w:tc>
      </w:tr>
      <w:tr>
        <w:tc>
          <w:tcPr>
            <w:tcW w:type="dxa" w:w="4639"/>
            <w:tcBorders>
              <w:top w:val="nil" w:color="auto" w:sz="0"/>
              <w:left w:val="nil" w:color="auto" w:sz="0"/>
              <w:bottom w:val="nil" w:color="auto" w:sz="0"/>
              <w:right w:val="nil" w:color="auto" w:sz="0"/>
            </w:tcBorders>
          </w:tcPr>
          <w:p>
            <w:pPr>
              <w:pStyle w:val="Normal"/>
              <w:spacing w:after="0" w:before="0"/>
            </w:pPr>
            <w:r>
              <w:rPr>
                <w:b/>
                <w:bCs/>
              </w:rPr>
              <w:t xml:space="preserve">Rent, society rooms</w:t>
            </w:r>
          </w:p>
        </w:tc>
        <w:tc>
          <w:tcPr>
            <w:tcW w:type="dxa" w:w="2783"/>
            <w:tcBorders>
              <w:top w:val="nil" w:color="auto" w:sz="0"/>
              <w:left w:val="nil" w:color="auto" w:sz="0"/>
              <w:bottom w:val="nil" w:color="auto" w:sz="0"/>
              <w:right w:val="nil" w:color="auto" w:sz="0"/>
            </w:tcBorders>
          </w:tcPr>
          <w:p>
            <w:pPr>
              <w:pStyle w:val="Normal"/>
              <w:spacing w:after="0" w:before="0"/>
              <w:jc w:val="right"/>
            </w:pPr>
          </w:p>
        </w:tc>
        <w:tc>
          <w:tcPr>
            <w:tcW w:type="dxa" w:w="2783"/>
            <w:tcBorders>
              <w:top w:val="nil" w:color="auto" w:sz="0"/>
              <w:left w:val="nil" w:color="auto" w:sz="0"/>
              <w:bottom w:val="nil" w:color="auto" w:sz="0"/>
              <w:right w:val="nil" w:color="auto" w:sz="0"/>
            </w:tcBorders>
          </w:tcPr>
          <w:p>
            <w:pPr>
              <w:pStyle w:val="Normal"/>
              <w:spacing w:after="0" w:before="0"/>
              <w:jc w:val="right"/>
            </w:pPr>
            <w:r>
              <w:t xml:space="preserve">900.00</w:t>
            </w:r>
          </w:p>
        </w:tc>
      </w:tr>
      <w:tr>
        <w:tc>
          <w:tcPr>
            <w:tcW w:type="dxa" w:w="4639"/>
            <w:tcBorders>
              <w:top w:val="nil" w:color="auto" w:sz="0"/>
              <w:left w:val="nil" w:color="auto" w:sz="0"/>
              <w:bottom w:val="nil" w:color="auto" w:sz="0"/>
              <w:right w:val="nil" w:color="auto" w:sz="0"/>
            </w:tcBorders>
          </w:tcPr>
          <w:p>
            <w:pPr>
              <w:pStyle w:val="Normal"/>
              <w:spacing w:after="0" w:before="0"/>
            </w:pPr>
            <w:r>
              <w:rPr>
                <w:b/>
                <w:bCs/>
              </w:rPr>
              <w:t xml:space="preserve">Insurance</w:t>
            </w:r>
          </w:p>
        </w:tc>
        <w:tc>
          <w:tcPr>
            <w:tcW w:type="dxa" w:w="2783"/>
            <w:tcBorders>
              <w:top w:val="nil" w:color="auto" w:sz="0"/>
              <w:left w:val="nil" w:color="auto" w:sz="0"/>
              <w:bottom w:val="nil" w:color="auto" w:sz="0"/>
              <w:right w:val="nil" w:color="auto" w:sz="0"/>
            </w:tcBorders>
          </w:tcPr>
          <w:p>
            <w:pPr>
              <w:pStyle w:val="Normal"/>
              <w:spacing w:after="0" w:before="0"/>
              <w:jc w:val="right"/>
            </w:pPr>
          </w:p>
        </w:tc>
        <w:tc>
          <w:tcPr>
            <w:tcW w:type="dxa" w:w="2783"/>
            <w:tcBorders>
              <w:top w:val="nil" w:color="auto" w:sz="0"/>
              <w:left w:val="nil" w:color="auto" w:sz="0"/>
              <w:bottom w:val="nil" w:color="auto" w:sz="0"/>
              <w:right w:val="nil" w:color="auto" w:sz="0"/>
            </w:tcBorders>
          </w:tcPr>
          <w:p>
            <w:pPr>
              <w:pStyle w:val="Normal"/>
              <w:spacing w:after="0" w:before="0"/>
              <w:jc w:val="right"/>
            </w:pPr>
            <w:r>
              <w:t xml:space="preserve">210.00</w:t>
            </w:r>
          </w:p>
        </w:tc>
      </w:tr>
      <w:tr>
        <w:tc>
          <w:tcPr>
            <w:tcW w:type="dxa" w:w="4639"/>
            <w:tcBorders>
              <w:top w:val="nil" w:color="auto" w:sz="0"/>
              <w:left w:val="nil" w:color="auto" w:sz="0"/>
              <w:bottom w:val="single" w:color="000000" w:sz="6"/>
              <w:right w:val="nil" w:color="auto" w:sz="0"/>
            </w:tcBorders>
          </w:tcPr>
          <w:p>
            <w:pPr>
              <w:pStyle w:val="Normal"/>
              <w:spacing w:after="0" w:before="0"/>
            </w:pPr>
            <w:r>
              <w:rPr>
                <w:b/>
                <w:bCs/>
              </w:rPr>
              <w:t xml:space="preserve">Total</w:t>
            </w:r>
          </w:p>
        </w:tc>
        <w:tc>
          <w:tcPr>
            <w:tcW w:type="dxa" w:w="2783"/>
            <w:tcBorders>
              <w:top w:val="nil" w:color="auto" w:sz="0"/>
              <w:left w:val="nil" w:color="auto" w:sz="0"/>
              <w:bottom w:val="single" w:color="000000" w:sz="6"/>
              <w:right w:val="nil" w:color="auto" w:sz="0"/>
            </w:tcBorders>
          </w:tcPr>
          <w:p>
            <w:pPr>
              <w:pStyle w:val="Normal"/>
              <w:spacing w:after="0" w:before="0"/>
              <w:jc w:val="right"/>
            </w:pPr>
            <w:fldSimple w:instr="==SUM(B2:B7) \# &quot;0.00&quot;">
              <w:r>
                <w:t xml:space="preserve">3045.50</w:t>
              </w:r>
            </w:fldSimple>
          </w:p>
        </w:tc>
        <w:tc>
          <w:tcPr>
            <w:tcW w:type="dxa" w:w="2783"/>
            <w:tcBorders>
              <w:top w:val="nil" w:color="auto" w:sz="0"/>
              <w:left w:val="nil" w:color="auto" w:sz="0"/>
              <w:bottom w:val="single" w:color="000000" w:sz="6"/>
              <w:right w:val="nil" w:color="auto" w:sz="0"/>
            </w:tcBorders>
          </w:tcPr>
          <w:p>
            <w:pPr>
              <w:pStyle w:val="Normal"/>
              <w:spacing w:after="0" w:before="0"/>
              <w:jc w:val="right"/>
            </w:pPr>
            <w:fldSimple w:instr="==SUM(C2:C7) \# &quot;0.00&quot;">
              <w:r>
                <w:t xml:space="preserve">1750.00</w:t>
              </w:r>
            </w:fldSimple>
          </w:p>
        </w:tc>
      </w:tr>
      <w:tr>
        <w:tc>
          <w:tcPr>
            <w:tcW w:type="dxa" w:w="4639"/>
            <w:tcBorders>
              <w:top w:val="single" w:color="000000" w:sz="6"/>
              <w:left w:val="nil" w:color="auto" w:sz="0"/>
              <w:bottom w:val="single" w:color="000000" w:sz="8"/>
              <w:right w:val="nil" w:color="auto" w:sz="0"/>
            </w:tcBorders>
          </w:tcPr>
          <w:p>
            <w:pPr>
              <w:pStyle w:val="Normal"/>
              <w:spacing w:after="0" w:before="0"/>
            </w:pPr>
            <w:r>
              <w:rPr>
                <w:b/>
                <w:bCs/>
              </w:rPr>
              <w:t xml:space="preserve">Balance</w:t>
            </w:r>
          </w:p>
        </w:tc>
        <w:tc>
          <w:tcPr>
            <w:tcW w:type="dxa" w:w="2783"/>
            <w:tcBorders>
              <w:top w:val="single" w:color="000000" w:sz="6"/>
              <w:left w:val="nil" w:color="auto" w:sz="0"/>
              <w:bottom w:val="single" w:color="000000" w:sz="8"/>
              <w:right w:val="nil" w:color="auto" w:sz="0"/>
            </w:tcBorders>
          </w:tcPr>
          <w:p>
            <w:pPr>
              <w:pStyle w:val="Normal"/>
              <w:spacing w:after="0" w:before="0"/>
              <w:jc w:val="right"/>
            </w:pPr>
            <w:fldSimple w:instr="==B8-C8 \# &quot;0.00&quot;">
              <w:r>
                <w:t xml:space="preserve">1295.50</w:t>
              </w:r>
            </w:fldSimple>
          </w:p>
        </w:tc>
        <w:tc>
          <w:tcPr>
            <w:tcW w:type="dxa" w:w="2783"/>
            <w:tcBorders>
              <w:top w:val="single" w:color="000000" w:sz="6"/>
              <w:left w:val="nil" w:color="auto" w:sz="0"/>
              <w:bottom w:val="single" w:color="000000" w:sz="8"/>
              <w:right w:val="nil" w:color="auto" w:sz="0"/>
            </w:tcBorders>
          </w:tcPr>
          <w:p>
            <w:pPr>
              <w:pStyle w:val="Normal"/>
              <w:spacing w:after="0" w:before="0"/>
              <w:jc w:val="right"/>
            </w:pPr>
          </w:p>
        </w:tc>
      </w:tr>
    </w:tbl>
    <w:p>
      <w:pPr>
        <w:pStyle w:val="Normal"/>
        <w:spacing w:after="40"/>
      </w:pPr>
    </w:p>
    <w:p>
      <w:pPr>
        <w:pStyle w:val="Normal"/>
      </w:pPr>
      <w:r>
        <w:t xml:space="preserve">The full report will be available at the annual general meeting on 7 November. The treasurer is happy to answer questions by e-mail beforehand.</w:t>
      </w:r>
    </w:p>
    <w:p>
      <w:pPr>
        <w:pStyle w:val="Normal"/>
        <w:pBdr>
          <w:top w:val="single" w:color="5A6B7F" w:sz="4" w:space="4"/>
        </w:pBdr>
        <w:spacing w:before="280"/>
      </w:pPr>
      <w:r>
        <w:rPr>
          <w:b/>
          <w:bCs/>
          <w:color w:val="5A6B7F"/>
        </w:rPr>
        <w:t xml:space="preserve">Imprint: </w:t>
      </w:r>
      <w:r>
        <w:rPr>
          <w:color w:val="5A6B7F"/>
        </w:rPr>
        <w:t xml:space="preserve">Eden Astronomy Society, Oak Hill Observatory. Edited by the committee. Published four times a year. Contributions for the next issue to the editors by 15 November.</w:t>
      </w:r>
    </w:p>
    <w:sectPr>
      <w:footnotePr>
        <w:pos w:val="pageBottom"/>
        <w:numFmt w:val="decimal"/>
        <w:numStart w:val="1"/>
        <w:numRestart w:val="continuous"/>
      </w:footnotePr>
      <w:endnotePr>
        <w:pos w:val="docEnd"/>
        <w:numFmt w:val="lowerRoman"/>
        <w:numStart w:val="1"/>
        <w:numRestart w:val="continuous"/>
      </w:endnotePr>
      <w:type w:val="continuous"/>
      <w:pgSz w:w="11906" w:h="16838" w:orient="portrait"/>
      <w:pgMar w:top="850" w:right="850" w:bottom="850" w:left="850"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tabs>
        <w:tab w:val="right" w:pos="10205"/>
      </w:tabs>
    </w:pPr>
    <w:r>
      <w:rPr>
        <w:color w:val="5A6B7F"/>
      </w:rPr>
      <w:t xml:space="preserve">Eden Astronomy Society  ·  Newsletter 3/2026</w:t>
    </w:r>
    <w:r>
      <w:rPr>
        <w:color w:val="5A6B7F"/>
      </w:rPr>
      <w:tab/>
      <w:t xml:space="preserve">Page </w:t>
    </w:r>
    <w: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abstractNum>
  <w:num w:numId="2">
    <w:abstractNumId w:val="2"/>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09"/>
  <w:autoHyphenation/>
  <w:evenAndOddHeaders w:val="false"/>
  <w:footnotePr>
    <w:pos w:val="pageBottom"/>
    <w:numFmt w:val="decimal"/>
    <w:numStart w:val="1"/>
    <w:numRestart w:val="continuous"/>
  </w:footnotePr>
  <w:endnotePr>
    <w:pos w:val="docEnd"/>
    <w:numFmt w:val="lowerRoman"/>
    <w:numStart w:val="1"/>
    <w:numRestart w:val="continuous"/>
  </w:endnotePr>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en-GB"/>
      </w:rPr>
    </w:rPrDefault>
    <w:pPrDefault>
      <w:pPr>
        <w:spacing w:after="0" w:line="240" w:lineRule="auto"/>
      </w:pPr>
    </w:pPrDefault>
  </w:docDefaults>
  <w:style w:type="paragraph" w:styleId="Title">
    <w:name w:val="Title"/>
    <w:basedOn w:val="Heading"/>
    <w:next w:val="Normal"/>
    <w:qFormat/>
    <w:pPr>
      <w:jc w:val="center"/>
    </w:pPr>
    <w:rPr>
      <w:kern w:val="1"/>
      <w:sz w:val="56"/>
      <w:szCs w:val="56"/>
    </w:rPr>
  </w:style>
  <w:style w:type="paragraph" w:styleId="Heading1">
    <w:name w:val="Heading 1"/>
    <w:basedOn w:val="Heading"/>
    <w:next w:val="Normal"/>
    <w:qFormat/>
    <w:pPr>
      <w:keepNext/>
    </w:pPr>
    <w:rPr>
      <w:kern w:val="1"/>
      <w:sz w:val="36"/>
      <w:szCs w:val="36"/>
    </w:rPr>
  </w:style>
  <w:style w:type="paragraph" w:styleId="Heading2">
    <w:name w:val="Heading 2"/>
    <w:basedOn w:val="Heading"/>
    <w:next w:val="Normal"/>
    <w:qFormat/>
    <w:pPr>
      <w:keepNext/>
      <w:spacing w:after="60" w:before="160"/>
    </w:pPr>
    <w:rPr>
      <w:color w:val="1F3A5F"/>
      <w:kern w:val="1"/>
      <w:sz w:val="24"/>
      <w:szCs w:val="24"/>
    </w:rPr>
  </w:style>
  <w:style w:type="paragraph" w:styleId="Heading3">
    <w:name w:val="Heading 3"/>
    <w:basedOn w:val="Heading"/>
    <w:next w:val="Normal"/>
    <w:qFormat/>
    <w:pPr>
      <w:keepNext/>
    </w:pPr>
    <w:rPr>
      <w:kern w:val="1"/>
      <w:sz w:val="28"/>
      <w:szCs w:val="28"/>
    </w:rPr>
  </w:style>
  <w:style w:type="paragraph" w:styleId="Heading4">
    <w:name w:val="Heading 4"/>
    <w:basedOn w:val="Heading"/>
    <w:next w:val="Normal"/>
    <w:qFormat/>
    <w:pPr>
      <w:keepNext/>
    </w:pPr>
    <w:rPr>
      <w:i/>
      <w:iCs/>
      <w:kern w:val="1"/>
      <w:sz w:val="26"/>
      <w:szCs w:val="26"/>
    </w:rPr>
  </w:style>
  <w:style w:type="paragraph" w:styleId="Heading5">
    <w:name w:val="Heading 5"/>
    <w:basedOn w:val="Heading"/>
    <w:next w:val="Normal"/>
    <w:qFormat/>
    <w:pPr>
      <w:keepNext/>
    </w:pPr>
    <w:rPr>
      <w:kern w:val="1"/>
      <w:sz w:val="24"/>
      <w:szCs w:val="24"/>
    </w:rPr>
  </w:style>
  <w:style w:type="paragraph" w:styleId="Heading6">
    <w:name w:val="Heading 6"/>
    <w:basedOn w:val="Heading"/>
    <w:next w:val="Normal"/>
    <w:qFormat/>
    <w:pPr>
      <w:keepNext/>
    </w:pPr>
    <w:rPr>
      <w:i/>
      <w:iCs/>
      <w:kern w:val="1"/>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ind w:start="340" w:hanging="340"/>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ind w:start="340" w:hanging="340"/>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default="1" w:styleId="Normal">
    <w:name w:val="Normal"/>
    <w:qFormat/>
    <w:pPr>
      <w:spacing w:after="100"/>
      <w:jc w:val="both"/>
    </w:pPr>
    <w:rPr>
      <w:rFonts w:ascii="Arial" w:cs="Arial" w:eastAsia="Arial" w:hAnsi="Arial"/>
      <w:kern w:val="1"/>
      <w:sz w:val="20"/>
      <w:szCs w:val="20"/>
    </w:rPr>
  </w:style>
  <w:style w:type="paragraph" w:styleId="Heading">
    <w:name w:val="Heading"/>
    <w:basedOn w:val="Normal"/>
    <w:next w:val="Normal"/>
    <w:qFormat/>
    <w:pPr>
      <w:spacing w:after="120" w:before="240"/>
    </w:pPr>
    <w:rPr>
      <w:rFonts w:ascii="Arial" w:cs="Arial" w:eastAsia="Arial" w:hAnsi="Arial"/>
      <w:b/>
      <w:bCs/>
      <w:kern w:val="1"/>
    </w:rPr>
  </w:style>
  <w:style w:type="paragraph" w:styleId="Heading7">
    <w:name w:val="Heading 7"/>
    <w:basedOn w:val="Heading"/>
    <w:next w:val="Normal"/>
    <w:qFormat/>
    <w:pPr>
      <w:keepNext/>
    </w:pPr>
    <w:rPr>
      <w:kern w:val="1"/>
      <w:sz w:val="24"/>
      <w:szCs w:val="24"/>
    </w:rPr>
  </w:style>
  <w:style w:type="paragraph" w:styleId="Heading8">
    <w:name w:val="Heading 8"/>
    <w:basedOn w:val="Heading"/>
    <w:next w:val="Normal"/>
    <w:qFormat/>
    <w:pPr>
      <w:keepNext/>
    </w:pPr>
    <w:rPr>
      <w:i/>
      <w:iCs/>
      <w:kern w:val="1"/>
      <w:sz w:val="24"/>
      <w:szCs w:val="24"/>
    </w:rPr>
  </w:style>
  <w:style w:type="paragraph" w:styleId="Heading9">
    <w:name w:val="Heading 9"/>
    <w:basedOn w:val="Heading"/>
    <w:next w:val="Normal"/>
    <w:qFormat/>
    <w:pPr>
      <w:keepNext/>
    </w:pPr>
    <w:rPr>
      <w:kern w:val="1"/>
      <w:sz w:val="24"/>
      <w:szCs w:val="24"/>
    </w:rPr>
  </w:style>
  <w:style w:type="paragraph" w:styleId="Heading10">
    <w:name w:val="Heading 10"/>
    <w:basedOn w:val="Heading"/>
    <w:next w:val="Normal"/>
    <w:qFormat/>
    <w:pPr>
      <w:keepNext/>
    </w:pPr>
    <w:rPr>
      <w:i/>
      <w:iCs/>
      <w:kern w:val="1"/>
      <w:sz w:val="24"/>
      <w:szCs w:val="24"/>
    </w:rPr>
  </w:style>
  <w:style w:type="paragraph" w:styleId="Subtitle">
    <w:name w:val="Subtitle"/>
    <w:basedOn w:val="Heading"/>
    <w:next w:val="Normal"/>
    <w:qFormat/>
    <w:pPr>
      <w:jc w:val="center"/>
    </w:pPr>
    <w:rPr>
      <w:kern w:val="1"/>
      <w:sz w:val="36"/>
      <w:szCs w:val="36"/>
    </w:rPr>
  </w:style>
  <w:style w:type="paragraph" w:styleId="Quotations">
    <w:name w:val="Quotations"/>
    <w:basedOn w:val="Normal"/>
    <w:next w:val="Normal"/>
    <w:qFormat/>
    <w:pPr>
      <w:spacing w:after="280"/>
      <w:ind w:left="567"/>
    </w:pPr>
    <w:rPr>
      <w:kern w:val="1"/>
    </w:rPr>
  </w:style>
  <w:style w:type="paragraph" w:styleId="Caption">
    <w:name w:val="Caption"/>
    <w:basedOn w:val="Normal"/>
    <w:next w:val="Caption"/>
    <w:qFormat/>
    <w:pPr>
      <w:spacing w:after="120" w:before="120"/>
    </w:pPr>
    <w:rPr>
      <w:i/>
      <w:iCs/>
      <w:kern w:val="1"/>
      <w:sz w:val="20"/>
      <w:szCs w:val="20"/>
    </w:rPr>
  </w:style>
  <w:style w:type="character" w:styleId="Emphasis">
    <w:name w:val="Emphasis"/>
    <w:uiPriority w:val="99"/>
    <w:unhideWhenUsed/>
    <w:qFormat/>
    <w:rPr>
      <w:i/>
      <w:iCs/>
      <w:kern w:val="1"/>
    </w:rPr>
  </w:style>
  <w:style w:type="character" w:styleId="StrongEmphasis">
    <w:name w:val="Strong Emphasis"/>
    <w:uiPriority w:val="99"/>
    <w:unhideWhenUsed/>
    <w:qFormat/>
    <w:rPr>
      <w:b/>
      <w:bCs/>
      <w:kern w:val="1"/>
    </w:rPr>
  </w:style>
  <w:style w:type="character" w:styleId="SourceText">
    <w:name w:val="Source Text"/>
    <w:uiPriority w:val="99"/>
    <w:unhideWhenUsed/>
    <w:qFormat/>
    <w:rPr>
      <w:rFonts w:ascii="Courier New" w:cs="Courier New" w:eastAsia="Courier New" w:hAnsi="Courier New"/>
      <w:kern w:val="1"/>
    </w:rPr>
  </w:style>
  <w:style w:type="table" w:styleId="ListTableAccent">
    <w:name w:val="List Table Accent"/>
    <w:basedOn w:val="TableNormal"/>
    <w:uiPriority w:val="59"/>
  </w:style>
  <w:style w:type="table" w:styleId="Financial">
    <w:name w:val="Financial"/>
    <w:basedOn w:val="TableNormal"/>
    <w:uiPriority w:val="59"/>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afea057bf8ebb5095378c325bcd7a734404ef4c.jpg"/><Relationship Id="rId9" Type="http://schemas.openxmlformats.org/officeDocument/2006/relationships/image" Target="media/8b2feaa0f4a7ba3e45854a8d0490aff3fac3f3f5.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Newsletter 3/2026</dc:title>
  <dc:subject>Eden Astronomy Society</dc:subject>
  <dc:creator>The committee</dc:creator>
  <cp:keywords>astronomy, society</cp:keywords>
  <cp:lastModifiedBy>The committee</cp:lastModifiedBy>
  <cp:revision>1</cp:revision>
  <dcterms:created xsi:type="dcterms:W3CDTF">2026-09-05T09:04:33.837Z</dcterms:created>
  <dcterms:modified xsi:type="dcterms:W3CDTF">2026-09-05T09:04:33.837Z</dcterms:modified>
</cp:coreProperties>
</file>

<file path=docProps/custom.xml><?xml version="1.0" encoding="utf-8"?>
<Properties xmlns="http://schemas.openxmlformats.org/officeDocument/2006/custom-properties" xmlns:vt="http://schemas.openxmlformats.org/officeDocument/2006/docPropsVTypes"/>
</file>